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23942" w14:paraId="1643A4CA" w14:textId="77777777" w:rsidTr="004847FF">
        <w:trPr>
          <w:trHeight w:val="450"/>
        </w:trPr>
        <w:tc>
          <w:tcPr>
            <w:tcW w:w="5000" w:type="pct"/>
            <w:gridSpan w:val="2"/>
            <w:tcBorders>
              <w:top w:val="nil"/>
              <w:left w:val="nil"/>
              <w:right w:val="nil"/>
            </w:tcBorders>
          </w:tcPr>
          <w:p w14:paraId="4C55E51F" w14:textId="77777777" w:rsidR="00602F7D" w:rsidRPr="00C23942" w:rsidRDefault="00602F7D" w:rsidP="00F2643C">
            <w:pPr>
              <w:pStyle w:val="Heading2"/>
              <w:jc w:val="left"/>
              <w:rPr>
                <w:rFonts w:ascii="Arial" w:hAnsi="Arial" w:cs="Arial"/>
                <w:b w:val="0"/>
                <w:bCs w:val="0"/>
                <w:lang w:val="en-US"/>
              </w:rPr>
            </w:pPr>
          </w:p>
        </w:tc>
      </w:tr>
      <w:tr w:rsidR="0000007A" w:rsidRPr="00C23942" w14:paraId="127EAD7E" w14:textId="77777777" w:rsidTr="00F33C84">
        <w:trPr>
          <w:trHeight w:val="413"/>
        </w:trPr>
        <w:tc>
          <w:tcPr>
            <w:tcW w:w="1234" w:type="pct"/>
          </w:tcPr>
          <w:p w14:paraId="3C159AA5" w14:textId="77777777" w:rsidR="0000007A" w:rsidRPr="00C23942" w:rsidRDefault="00D27A79" w:rsidP="00696CAD">
            <w:pPr>
              <w:pStyle w:val="BodyText"/>
              <w:ind w:left="90"/>
              <w:jc w:val="left"/>
              <w:rPr>
                <w:rFonts w:ascii="Arial" w:hAnsi="Arial" w:cs="Arial"/>
                <w:bCs/>
                <w:sz w:val="20"/>
                <w:szCs w:val="20"/>
                <w:lang w:val="en-GB"/>
              </w:rPr>
            </w:pPr>
            <w:r w:rsidRPr="00C23942">
              <w:rPr>
                <w:rFonts w:ascii="Arial" w:hAnsi="Arial" w:cs="Arial"/>
                <w:bCs/>
                <w:sz w:val="20"/>
                <w:szCs w:val="20"/>
                <w:lang w:val="en-GB"/>
              </w:rPr>
              <w:t xml:space="preserve">Book </w:t>
            </w:r>
            <w:r w:rsidR="0000007A" w:rsidRPr="00C2394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C0492A4" w:rsidR="0000007A" w:rsidRPr="00C23942" w:rsidRDefault="00794FC0" w:rsidP="00054BC4">
            <w:pPr>
              <w:pStyle w:val="NormalWeb"/>
              <w:rPr>
                <w:rFonts w:ascii="Arial" w:hAnsi="Arial" w:cs="Arial"/>
                <w:b/>
                <w:bCs/>
                <w:sz w:val="20"/>
                <w:szCs w:val="20"/>
                <w:u w:val="single"/>
              </w:rPr>
            </w:pPr>
            <w:r w:rsidRPr="00C23942">
              <w:rPr>
                <w:rFonts w:ascii="Arial" w:hAnsi="Arial" w:cs="Arial"/>
                <w:b/>
                <w:bCs/>
                <w:sz w:val="20"/>
                <w:szCs w:val="20"/>
                <w:u w:val="single"/>
              </w:rPr>
              <w:t>Newer Frontiers in Urology, Volume II</w:t>
            </w:r>
          </w:p>
        </w:tc>
      </w:tr>
      <w:tr w:rsidR="0000007A" w:rsidRPr="00C23942" w14:paraId="73C90375" w14:textId="77777777" w:rsidTr="002E7787">
        <w:trPr>
          <w:trHeight w:val="290"/>
        </w:trPr>
        <w:tc>
          <w:tcPr>
            <w:tcW w:w="1234" w:type="pct"/>
          </w:tcPr>
          <w:p w14:paraId="20D28135" w14:textId="77777777" w:rsidR="0000007A" w:rsidRPr="00C23942" w:rsidRDefault="0000007A" w:rsidP="00696CAD">
            <w:pPr>
              <w:pStyle w:val="BodyText"/>
              <w:ind w:left="90"/>
              <w:jc w:val="left"/>
              <w:rPr>
                <w:rFonts w:ascii="Arial" w:hAnsi="Arial" w:cs="Arial"/>
                <w:bCs/>
                <w:sz w:val="20"/>
                <w:szCs w:val="20"/>
                <w:lang w:val="en-GB"/>
              </w:rPr>
            </w:pPr>
            <w:r w:rsidRPr="00C2394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D5FAE9" w:rsidR="0000007A" w:rsidRPr="00C23942" w:rsidRDefault="00E72A8E" w:rsidP="00F3669D">
            <w:pPr>
              <w:pStyle w:val="NormalWeb"/>
              <w:spacing w:before="0" w:beforeAutospacing="0" w:after="0" w:afterAutospacing="0"/>
              <w:rPr>
                <w:rFonts w:ascii="Arial" w:hAnsi="Arial" w:cs="Arial"/>
                <w:b/>
                <w:bCs/>
                <w:sz w:val="20"/>
                <w:szCs w:val="20"/>
                <w:highlight w:val="yellow"/>
                <w:lang w:val="en-GB"/>
              </w:rPr>
            </w:pPr>
            <w:r w:rsidRPr="00C23942">
              <w:rPr>
                <w:rFonts w:ascii="Arial" w:hAnsi="Arial" w:cs="Arial"/>
                <w:b/>
                <w:bCs/>
                <w:sz w:val="20"/>
                <w:szCs w:val="20"/>
                <w:lang w:val="en-GB"/>
              </w:rPr>
              <w:t>Ms_BP</w:t>
            </w:r>
            <w:r w:rsidR="00FC432A" w:rsidRPr="00C23942">
              <w:rPr>
                <w:rFonts w:ascii="Arial" w:hAnsi="Arial" w:cs="Arial"/>
                <w:b/>
                <w:bCs/>
                <w:sz w:val="20"/>
                <w:szCs w:val="20"/>
                <w:lang w:val="en-GB"/>
              </w:rPr>
              <w:t>R</w:t>
            </w:r>
            <w:r w:rsidRPr="00C23942">
              <w:rPr>
                <w:rFonts w:ascii="Arial" w:hAnsi="Arial" w:cs="Arial"/>
                <w:b/>
                <w:bCs/>
                <w:sz w:val="20"/>
                <w:szCs w:val="20"/>
                <w:lang w:val="en-GB"/>
              </w:rPr>
              <w:t>_</w:t>
            </w:r>
            <w:r w:rsidR="00794FC0" w:rsidRPr="00C23942">
              <w:rPr>
                <w:rFonts w:ascii="Arial" w:hAnsi="Arial" w:cs="Arial"/>
                <w:b/>
                <w:bCs/>
                <w:sz w:val="20"/>
                <w:szCs w:val="20"/>
                <w:lang w:val="en-GB"/>
              </w:rPr>
              <w:t>6828.2</w:t>
            </w:r>
          </w:p>
        </w:tc>
      </w:tr>
      <w:tr w:rsidR="0000007A" w:rsidRPr="00C23942" w14:paraId="05B60576" w14:textId="77777777" w:rsidTr="002109D6">
        <w:trPr>
          <w:trHeight w:val="331"/>
        </w:trPr>
        <w:tc>
          <w:tcPr>
            <w:tcW w:w="1234" w:type="pct"/>
          </w:tcPr>
          <w:p w14:paraId="0196A627" w14:textId="77777777" w:rsidR="0000007A" w:rsidRPr="00C23942" w:rsidRDefault="0000007A" w:rsidP="00696CAD">
            <w:pPr>
              <w:pStyle w:val="BodyText"/>
              <w:ind w:left="90"/>
              <w:jc w:val="left"/>
              <w:rPr>
                <w:rFonts w:ascii="Arial" w:hAnsi="Arial" w:cs="Arial"/>
                <w:bCs/>
                <w:sz w:val="20"/>
                <w:szCs w:val="20"/>
                <w:lang w:val="en-GB"/>
              </w:rPr>
            </w:pPr>
            <w:r w:rsidRPr="00C2394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BFA2709" w:rsidR="0000007A" w:rsidRPr="00C23942" w:rsidRDefault="00794FC0" w:rsidP="000450FC">
            <w:pPr>
              <w:pStyle w:val="NormalWeb"/>
              <w:spacing w:before="0" w:beforeAutospacing="0" w:after="0" w:afterAutospacing="0"/>
              <w:rPr>
                <w:rFonts w:ascii="Arial" w:hAnsi="Arial" w:cs="Arial"/>
                <w:b/>
                <w:sz w:val="20"/>
                <w:szCs w:val="20"/>
                <w:highlight w:val="yellow"/>
                <w:lang w:val="en-GB"/>
              </w:rPr>
            </w:pPr>
            <w:r w:rsidRPr="00C23942">
              <w:rPr>
                <w:rFonts w:ascii="Arial" w:hAnsi="Arial" w:cs="Arial"/>
                <w:b/>
                <w:sz w:val="20"/>
                <w:szCs w:val="20"/>
                <w:lang w:val="en-GB"/>
              </w:rPr>
              <w:t>Role of Immunohistochemistry in Bladder Cancer</w:t>
            </w:r>
          </w:p>
        </w:tc>
      </w:tr>
      <w:tr w:rsidR="00CF0BBB" w:rsidRPr="00C23942" w14:paraId="6D508B1C" w14:textId="77777777" w:rsidTr="002E7787">
        <w:trPr>
          <w:trHeight w:val="332"/>
        </w:trPr>
        <w:tc>
          <w:tcPr>
            <w:tcW w:w="1234" w:type="pct"/>
          </w:tcPr>
          <w:p w14:paraId="32FC28F7" w14:textId="77777777" w:rsidR="00CF0BBB" w:rsidRPr="00C23942" w:rsidRDefault="00CF0BBB" w:rsidP="00696CAD">
            <w:pPr>
              <w:pStyle w:val="BodyText"/>
              <w:ind w:left="90"/>
              <w:jc w:val="left"/>
              <w:rPr>
                <w:rFonts w:ascii="Arial" w:hAnsi="Arial" w:cs="Arial"/>
                <w:bCs/>
                <w:sz w:val="20"/>
                <w:szCs w:val="20"/>
                <w:lang w:val="en-GB"/>
              </w:rPr>
            </w:pPr>
            <w:r w:rsidRPr="00C2394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5AA3BD" w:rsidR="00CF0BBB" w:rsidRPr="00C23942" w:rsidRDefault="00794FC0" w:rsidP="000450FC">
            <w:pPr>
              <w:pStyle w:val="NormalWeb"/>
              <w:spacing w:before="0" w:beforeAutospacing="0" w:after="0" w:afterAutospacing="0"/>
              <w:rPr>
                <w:rFonts w:ascii="Arial" w:hAnsi="Arial" w:cs="Arial"/>
                <w:b/>
                <w:sz w:val="20"/>
                <w:szCs w:val="20"/>
                <w:lang w:val="en-GB"/>
              </w:rPr>
            </w:pPr>
            <w:r w:rsidRPr="00C23942">
              <w:rPr>
                <w:rFonts w:ascii="Arial" w:hAnsi="Arial" w:cs="Arial"/>
                <w:b/>
                <w:sz w:val="20"/>
                <w:szCs w:val="20"/>
                <w:lang w:val="en-GB"/>
              </w:rPr>
              <w:t>Book chapter</w:t>
            </w:r>
          </w:p>
        </w:tc>
      </w:tr>
    </w:tbl>
    <w:p w14:paraId="45F5983C" w14:textId="77777777" w:rsidR="00037D52" w:rsidRPr="00C23942" w:rsidRDefault="00037D52" w:rsidP="0000007A">
      <w:pPr>
        <w:pStyle w:val="BodyText"/>
        <w:rPr>
          <w:rFonts w:ascii="Arial" w:hAnsi="Arial" w:cs="Arial"/>
          <w:b/>
          <w:bCs/>
          <w:sz w:val="20"/>
          <w:szCs w:val="20"/>
          <w:u w:val="single"/>
          <w:lang w:val="en-GB"/>
        </w:rPr>
      </w:pPr>
    </w:p>
    <w:p w14:paraId="79DE1CF8" w14:textId="77777777" w:rsidR="00605952" w:rsidRPr="00C2394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23942" w14:paraId="71A94C1F" w14:textId="77777777" w:rsidTr="007222C8">
        <w:tc>
          <w:tcPr>
            <w:tcW w:w="5000" w:type="pct"/>
            <w:gridSpan w:val="3"/>
            <w:tcBorders>
              <w:top w:val="nil"/>
              <w:left w:val="nil"/>
              <w:right w:val="nil"/>
            </w:tcBorders>
            <w:noWrap/>
          </w:tcPr>
          <w:p w14:paraId="0BC15285" w14:textId="75BEB51F" w:rsidR="00F1171E" w:rsidRPr="00C23942" w:rsidRDefault="00F1171E" w:rsidP="007222C8">
            <w:pPr>
              <w:pStyle w:val="Heading2"/>
              <w:jc w:val="left"/>
              <w:rPr>
                <w:rFonts w:ascii="Arial" w:hAnsi="Arial" w:cs="Arial"/>
                <w:lang w:val="en-GB"/>
              </w:rPr>
            </w:pPr>
            <w:r w:rsidRPr="00C23942">
              <w:rPr>
                <w:rFonts w:ascii="Arial" w:hAnsi="Arial" w:cs="Arial"/>
                <w:highlight w:val="yellow"/>
                <w:lang w:val="en-GB"/>
              </w:rPr>
              <w:t>PART  1:</w:t>
            </w:r>
            <w:r w:rsidRPr="00C23942">
              <w:rPr>
                <w:rFonts w:ascii="Arial" w:hAnsi="Arial" w:cs="Arial"/>
                <w:lang w:val="en-GB"/>
              </w:rPr>
              <w:t xml:space="preserve"> Comments</w:t>
            </w:r>
          </w:p>
          <w:p w14:paraId="1287753C" w14:textId="77777777" w:rsidR="00F1171E" w:rsidRPr="00C23942" w:rsidRDefault="00F1171E" w:rsidP="007222C8">
            <w:pPr>
              <w:rPr>
                <w:rFonts w:ascii="Arial" w:hAnsi="Arial" w:cs="Arial"/>
                <w:sz w:val="20"/>
                <w:szCs w:val="20"/>
                <w:lang w:val="en-GB"/>
              </w:rPr>
            </w:pPr>
          </w:p>
        </w:tc>
      </w:tr>
      <w:tr w:rsidR="00F1171E" w:rsidRPr="00C23942" w14:paraId="5EA12279" w14:textId="77777777" w:rsidTr="007222C8">
        <w:tc>
          <w:tcPr>
            <w:tcW w:w="1265" w:type="pct"/>
            <w:noWrap/>
          </w:tcPr>
          <w:p w14:paraId="7AE9682F" w14:textId="77777777" w:rsidR="00F1171E" w:rsidRPr="00C23942" w:rsidRDefault="00F1171E" w:rsidP="007222C8">
            <w:pPr>
              <w:pStyle w:val="Heading2"/>
              <w:jc w:val="left"/>
              <w:rPr>
                <w:rFonts w:ascii="Arial" w:hAnsi="Arial" w:cs="Arial"/>
                <w:lang w:val="en-GB"/>
              </w:rPr>
            </w:pPr>
          </w:p>
        </w:tc>
        <w:tc>
          <w:tcPr>
            <w:tcW w:w="2212" w:type="pct"/>
          </w:tcPr>
          <w:p w14:paraId="5B8DBE06" w14:textId="77777777" w:rsidR="00F1171E" w:rsidRPr="00C23942" w:rsidRDefault="00F1171E" w:rsidP="007222C8">
            <w:pPr>
              <w:pStyle w:val="Heading2"/>
              <w:jc w:val="left"/>
              <w:rPr>
                <w:rFonts w:ascii="Arial" w:hAnsi="Arial" w:cs="Arial"/>
                <w:lang w:val="en-GB"/>
              </w:rPr>
            </w:pPr>
            <w:r w:rsidRPr="00C23942">
              <w:rPr>
                <w:rFonts w:ascii="Arial" w:hAnsi="Arial" w:cs="Arial"/>
                <w:lang w:val="en-GB"/>
              </w:rPr>
              <w:t>Reviewer’s comment</w:t>
            </w:r>
          </w:p>
          <w:p w14:paraId="693A9C4D" w14:textId="77777777" w:rsidR="00421DBF" w:rsidRPr="00C23942" w:rsidRDefault="00421DBF" w:rsidP="00421DBF">
            <w:pPr>
              <w:rPr>
                <w:rFonts w:ascii="Arial" w:hAnsi="Arial" w:cs="Arial"/>
                <w:b/>
                <w:bCs/>
                <w:sz w:val="20"/>
                <w:szCs w:val="20"/>
              </w:rPr>
            </w:pPr>
            <w:r w:rsidRPr="00C2394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23942" w:rsidRDefault="00421DBF" w:rsidP="00421DBF">
            <w:pPr>
              <w:rPr>
                <w:rFonts w:ascii="Arial" w:hAnsi="Arial" w:cs="Arial"/>
                <w:sz w:val="20"/>
                <w:szCs w:val="20"/>
                <w:lang w:val="en-GB"/>
              </w:rPr>
            </w:pPr>
          </w:p>
        </w:tc>
        <w:tc>
          <w:tcPr>
            <w:tcW w:w="1523" w:type="pct"/>
          </w:tcPr>
          <w:p w14:paraId="57792C30" w14:textId="77777777" w:rsidR="00F1171E" w:rsidRPr="00C23942" w:rsidRDefault="00F1171E" w:rsidP="007222C8">
            <w:pPr>
              <w:pStyle w:val="Heading2"/>
              <w:jc w:val="left"/>
              <w:rPr>
                <w:rFonts w:ascii="Arial" w:hAnsi="Arial" w:cs="Arial"/>
                <w:b w:val="0"/>
                <w:lang w:val="en-GB"/>
              </w:rPr>
            </w:pPr>
            <w:r w:rsidRPr="00C23942">
              <w:rPr>
                <w:rFonts w:ascii="Arial" w:hAnsi="Arial" w:cs="Arial"/>
                <w:lang w:val="en-GB"/>
              </w:rPr>
              <w:t>Author’s Feedback</w:t>
            </w:r>
            <w:r w:rsidRPr="00C23942">
              <w:rPr>
                <w:rFonts w:ascii="Arial" w:hAnsi="Arial" w:cs="Arial"/>
                <w:b w:val="0"/>
                <w:lang w:val="en-GB"/>
              </w:rPr>
              <w:t xml:space="preserve"> </w:t>
            </w:r>
            <w:r w:rsidRPr="00C23942">
              <w:rPr>
                <w:rFonts w:ascii="Arial" w:hAnsi="Arial" w:cs="Arial"/>
                <w:b w:val="0"/>
                <w:i/>
                <w:lang w:val="en-GB"/>
              </w:rPr>
              <w:t>(Please correct the manuscript and highlight that part in the manuscript. It is mandatory that authors should write his/her feedback here)</w:t>
            </w:r>
          </w:p>
        </w:tc>
      </w:tr>
      <w:tr w:rsidR="00273730" w:rsidRPr="00C23942" w14:paraId="5C0AB4EC" w14:textId="77777777" w:rsidTr="007222C8">
        <w:trPr>
          <w:trHeight w:val="1264"/>
        </w:trPr>
        <w:tc>
          <w:tcPr>
            <w:tcW w:w="1265" w:type="pct"/>
            <w:noWrap/>
          </w:tcPr>
          <w:p w14:paraId="66B47184" w14:textId="48030299" w:rsidR="00273730" w:rsidRPr="00C23942" w:rsidRDefault="00273730" w:rsidP="00273730">
            <w:pPr>
              <w:ind w:left="360"/>
              <w:rPr>
                <w:rFonts w:ascii="Arial" w:hAnsi="Arial" w:cs="Arial"/>
                <w:b/>
                <w:bCs/>
                <w:sz w:val="20"/>
                <w:szCs w:val="20"/>
                <w:lang w:val="en-GB"/>
              </w:rPr>
            </w:pPr>
            <w:r w:rsidRPr="00C2394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273730" w:rsidRPr="00C23942" w:rsidRDefault="00273730" w:rsidP="00273730">
            <w:pPr>
              <w:ind w:left="360"/>
              <w:rPr>
                <w:rFonts w:ascii="Arial" w:eastAsia="MS Mincho" w:hAnsi="Arial" w:cs="Arial"/>
                <w:b/>
                <w:bCs/>
                <w:sz w:val="20"/>
                <w:szCs w:val="20"/>
                <w:lang w:val="en-GB"/>
              </w:rPr>
            </w:pPr>
          </w:p>
        </w:tc>
        <w:tc>
          <w:tcPr>
            <w:tcW w:w="2212" w:type="pct"/>
          </w:tcPr>
          <w:p w14:paraId="7DBC9196" w14:textId="2987CF0B" w:rsidR="00273730" w:rsidRPr="00C23942" w:rsidRDefault="00273730" w:rsidP="00273730">
            <w:pPr>
              <w:tabs>
                <w:tab w:val="left" w:pos="2583"/>
              </w:tabs>
              <w:rPr>
                <w:rFonts w:ascii="Arial" w:hAnsi="Arial" w:cs="Arial"/>
                <w:sz w:val="20"/>
                <w:szCs w:val="20"/>
                <w:lang w:val="en-GB"/>
              </w:rPr>
            </w:pPr>
            <w:r w:rsidRPr="00C23942">
              <w:rPr>
                <w:rFonts w:ascii="Arial" w:hAnsi="Arial" w:cs="Arial"/>
                <w:sz w:val="20"/>
                <w:szCs w:val="20"/>
              </w:rPr>
              <w:t>This chapter is timely because immunohistochemistry (IHC) remains a widely accessible bridge between routine histopathology and molecular stratification in bladder cancer. By consolidating diagnostic panels (including differential diagnosis of CIS vs reactive atypia), surrogate luminal/basal subtyping approaches, and biomarker concepts relevant to staging and therapy selection, the manuscript can support more standardized practice across diverse pathology settings. Its translational strength is the workflow-oriented synthesis of markers that can inform clinicopathologic reporting where comprehensive transcriptomics is not routinely available. The chapter would be further strengthened by explicit discussion of assay standardization and limitations (e.g., PD</w:t>
            </w:r>
            <w:r w:rsidRPr="00C23942">
              <w:rPr>
                <w:rFonts w:ascii="Cambria Math" w:hAnsi="Cambria Math" w:cs="Cambria Math"/>
                <w:sz w:val="20"/>
                <w:szCs w:val="20"/>
              </w:rPr>
              <w:t>‑</w:t>
            </w:r>
            <w:r w:rsidRPr="00C23942">
              <w:rPr>
                <w:rFonts w:ascii="Arial" w:hAnsi="Arial" w:cs="Arial"/>
                <w:sz w:val="20"/>
                <w:szCs w:val="20"/>
              </w:rPr>
              <w:t>L1 assay/score non-interchangeability) and by updating regulatory/indication statements to reflect recent changes.</w:t>
            </w:r>
          </w:p>
        </w:tc>
        <w:tc>
          <w:tcPr>
            <w:tcW w:w="1523" w:type="pct"/>
          </w:tcPr>
          <w:p w14:paraId="462A339C" w14:textId="77777777" w:rsidR="00273730" w:rsidRPr="00C23942" w:rsidRDefault="00273730" w:rsidP="00273730">
            <w:pPr>
              <w:pStyle w:val="Heading2"/>
              <w:jc w:val="left"/>
              <w:rPr>
                <w:rFonts w:ascii="Arial" w:hAnsi="Arial" w:cs="Arial"/>
                <w:b w:val="0"/>
                <w:lang w:val="en-GB"/>
              </w:rPr>
            </w:pPr>
          </w:p>
        </w:tc>
      </w:tr>
      <w:tr w:rsidR="00273730" w:rsidRPr="00C23942" w14:paraId="0D8B5B2C" w14:textId="77777777" w:rsidTr="007222C8">
        <w:trPr>
          <w:trHeight w:val="1262"/>
        </w:trPr>
        <w:tc>
          <w:tcPr>
            <w:tcW w:w="1265" w:type="pct"/>
            <w:noWrap/>
          </w:tcPr>
          <w:p w14:paraId="21CBA5FE" w14:textId="77777777" w:rsidR="00273730" w:rsidRPr="00C23942" w:rsidRDefault="00273730" w:rsidP="00273730">
            <w:pPr>
              <w:ind w:left="360"/>
              <w:rPr>
                <w:rFonts w:ascii="Arial" w:hAnsi="Arial" w:cs="Arial"/>
                <w:b/>
                <w:bCs/>
                <w:sz w:val="20"/>
                <w:szCs w:val="20"/>
                <w:lang w:val="en-GB"/>
              </w:rPr>
            </w:pPr>
            <w:r w:rsidRPr="00C23942">
              <w:rPr>
                <w:rFonts w:ascii="Arial" w:hAnsi="Arial" w:cs="Arial"/>
                <w:b/>
                <w:bCs/>
                <w:sz w:val="20"/>
                <w:szCs w:val="20"/>
                <w:lang w:val="en-GB"/>
              </w:rPr>
              <w:t>Is the title of the article suitable?</w:t>
            </w:r>
          </w:p>
          <w:p w14:paraId="1CABB61A" w14:textId="77777777" w:rsidR="00273730" w:rsidRPr="00C23942" w:rsidRDefault="00273730" w:rsidP="00273730">
            <w:pPr>
              <w:ind w:left="360"/>
              <w:rPr>
                <w:rFonts w:ascii="Arial" w:hAnsi="Arial" w:cs="Arial"/>
                <w:b/>
                <w:bCs/>
                <w:sz w:val="20"/>
                <w:szCs w:val="20"/>
                <w:lang w:val="en-GB"/>
              </w:rPr>
            </w:pPr>
            <w:r w:rsidRPr="00C23942">
              <w:rPr>
                <w:rFonts w:ascii="Arial" w:hAnsi="Arial" w:cs="Arial"/>
                <w:b/>
                <w:bCs/>
                <w:sz w:val="20"/>
                <w:szCs w:val="20"/>
                <w:lang w:val="en-GB"/>
              </w:rPr>
              <w:t>(If not please suggest an alternative title)</w:t>
            </w:r>
          </w:p>
          <w:p w14:paraId="0275B919" w14:textId="77777777" w:rsidR="00273730" w:rsidRPr="00C23942" w:rsidRDefault="00273730" w:rsidP="00273730">
            <w:pPr>
              <w:pStyle w:val="Heading2"/>
              <w:jc w:val="left"/>
              <w:rPr>
                <w:rFonts w:ascii="Arial" w:hAnsi="Arial" w:cs="Arial"/>
                <w:u w:val="single"/>
                <w:lang w:val="en-GB"/>
              </w:rPr>
            </w:pPr>
          </w:p>
        </w:tc>
        <w:tc>
          <w:tcPr>
            <w:tcW w:w="2212" w:type="pct"/>
          </w:tcPr>
          <w:p w14:paraId="794AA9A7" w14:textId="718426B3" w:rsidR="00273730" w:rsidRPr="00C23942" w:rsidRDefault="00273730" w:rsidP="00273730">
            <w:pPr>
              <w:tabs>
                <w:tab w:val="left" w:pos="2613"/>
              </w:tabs>
              <w:rPr>
                <w:rFonts w:ascii="Arial" w:hAnsi="Arial" w:cs="Arial"/>
                <w:sz w:val="20"/>
                <w:szCs w:val="20"/>
                <w:lang w:val="en-GB"/>
              </w:rPr>
            </w:pPr>
            <w:r w:rsidRPr="00C23942">
              <w:rPr>
                <w:rFonts w:ascii="Arial" w:hAnsi="Arial" w:cs="Arial"/>
                <w:sz w:val="20"/>
                <w:szCs w:val="20"/>
              </w:rPr>
              <w:t>The title is accurate but broad. If the goal is discoverability and clarity, a slightly more specific option could be: “Immunohistochemistry in Bladder Cancer: Diagnostic Panels, Molecular Subtyping, and Predictive Biomarkers” or “From Diagnosis to Therapeutic Stratification: IHC Applications in Bladder Cancer Pathology”.</w:t>
            </w:r>
          </w:p>
        </w:tc>
        <w:tc>
          <w:tcPr>
            <w:tcW w:w="1523" w:type="pct"/>
          </w:tcPr>
          <w:p w14:paraId="405B6701" w14:textId="77777777" w:rsidR="00273730" w:rsidRPr="00C23942" w:rsidRDefault="00273730" w:rsidP="00273730">
            <w:pPr>
              <w:pStyle w:val="Heading2"/>
              <w:jc w:val="left"/>
              <w:rPr>
                <w:rFonts w:ascii="Arial" w:hAnsi="Arial" w:cs="Arial"/>
                <w:b w:val="0"/>
                <w:lang w:val="en-GB"/>
              </w:rPr>
            </w:pPr>
          </w:p>
        </w:tc>
      </w:tr>
      <w:tr w:rsidR="00273730" w:rsidRPr="00C23942" w14:paraId="5604762A" w14:textId="77777777" w:rsidTr="007222C8">
        <w:trPr>
          <w:trHeight w:val="1262"/>
        </w:trPr>
        <w:tc>
          <w:tcPr>
            <w:tcW w:w="1265" w:type="pct"/>
            <w:noWrap/>
          </w:tcPr>
          <w:p w14:paraId="3635573D" w14:textId="77777777" w:rsidR="00273730" w:rsidRPr="00C23942" w:rsidRDefault="00273730" w:rsidP="00273730">
            <w:pPr>
              <w:pStyle w:val="Heading2"/>
              <w:ind w:left="360"/>
              <w:jc w:val="left"/>
              <w:rPr>
                <w:rFonts w:ascii="Arial" w:hAnsi="Arial" w:cs="Arial"/>
                <w:lang w:val="en-GB"/>
              </w:rPr>
            </w:pPr>
            <w:r w:rsidRPr="00C23942">
              <w:rPr>
                <w:rFonts w:ascii="Arial" w:hAnsi="Arial" w:cs="Arial"/>
                <w:lang w:val="en-GB"/>
              </w:rPr>
              <w:t>Is the abstract of the article comprehensive? Do you suggest the addition (or deletion) of some points in this section? Please write your suggestions here.</w:t>
            </w:r>
          </w:p>
          <w:p w14:paraId="3760981A" w14:textId="77777777" w:rsidR="00273730" w:rsidRPr="00C23942" w:rsidRDefault="00273730" w:rsidP="00273730">
            <w:pPr>
              <w:pStyle w:val="Heading2"/>
              <w:jc w:val="left"/>
              <w:rPr>
                <w:rFonts w:ascii="Arial" w:hAnsi="Arial" w:cs="Arial"/>
                <w:u w:val="single"/>
                <w:lang w:val="en-GB"/>
              </w:rPr>
            </w:pPr>
          </w:p>
        </w:tc>
        <w:tc>
          <w:tcPr>
            <w:tcW w:w="2212" w:type="pct"/>
          </w:tcPr>
          <w:p w14:paraId="0FB7E83A" w14:textId="66208E5C" w:rsidR="00273730" w:rsidRPr="00C23942" w:rsidRDefault="00273730" w:rsidP="00273730">
            <w:pPr>
              <w:ind w:left="360"/>
              <w:rPr>
                <w:rFonts w:ascii="Arial" w:hAnsi="Arial" w:cs="Arial"/>
                <w:b/>
                <w:bCs/>
                <w:sz w:val="20"/>
                <w:szCs w:val="20"/>
                <w:lang w:val="en-GB"/>
              </w:rPr>
            </w:pPr>
            <w:r w:rsidRPr="00C23942">
              <w:rPr>
                <w:rFonts w:ascii="Arial" w:hAnsi="Arial" w:cs="Arial"/>
                <w:sz w:val="20"/>
                <w:szCs w:val="20"/>
              </w:rPr>
              <w:t>The abstract is broadly comprehensive and follows a logical sequence (diagnostic → subtyping → staging/prognosis → predictive biomarkers → future directions). Two concise improvements would be: (</w:t>
            </w:r>
            <w:proofErr w:type="spellStart"/>
            <w:r w:rsidRPr="00C23942">
              <w:rPr>
                <w:rFonts w:ascii="Arial" w:hAnsi="Arial" w:cs="Arial"/>
                <w:sz w:val="20"/>
                <w:szCs w:val="20"/>
              </w:rPr>
              <w:t>i</w:t>
            </w:r>
            <w:proofErr w:type="spellEnd"/>
            <w:r w:rsidRPr="00C23942">
              <w:rPr>
                <w:rFonts w:ascii="Arial" w:hAnsi="Arial" w:cs="Arial"/>
                <w:sz w:val="20"/>
                <w:szCs w:val="20"/>
              </w:rPr>
              <w:t>) explicitly flag that marker performance/cutoffs vary by assay and clinical context (particularly PD</w:t>
            </w:r>
            <w:r w:rsidRPr="00C23942">
              <w:rPr>
                <w:rFonts w:ascii="Cambria Math" w:hAnsi="Cambria Math" w:cs="Cambria Math"/>
                <w:sz w:val="20"/>
                <w:szCs w:val="20"/>
              </w:rPr>
              <w:t>‑</w:t>
            </w:r>
            <w:r w:rsidRPr="00C23942">
              <w:rPr>
                <w:rFonts w:ascii="Arial" w:hAnsi="Arial" w:cs="Arial"/>
                <w:sz w:val="20"/>
                <w:szCs w:val="20"/>
              </w:rPr>
              <w:t>L1), and (ii) add one sentence on pre-analytical/analytical standardization and interpretive variability. Minor copy-editing is recommended for typographic consistency (e.g., spacing in “PD</w:t>
            </w:r>
            <w:r w:rsidRPr="00C23942">
              <w:rPr>
                <w:rFonts w:ascii="Cambria Math" w:hAnsi="Cambria Math" w:cs="Cambria Math"/>
                <w:sz w:val="20"/>
                <w:szCs w:val="20"/>
              </w:rPr>
              <w:t>‑</w:t>
            </w:r>
            <w:r w:rsidRPr="00C23942">
              <w:rPr>
                <w:rFonts w:ascii="Arial" w:hAnsi="Arial" w:cs="Arial"/>
                <w:sz w:val="20"/>
                <w:szCs w:val="20"/>
              </w:rPr>
              <w:t>L1”).</w:t>
            </w:r>
          </w:p>
        </w:tc>
        <w:tc>
          <w:tcPr>
            <w:tcW w:w="1523" w:type="pct"/>
          </w:tcPr>
          <w:p w14:paraId="1D54B730" w14:textId="77777777" w:rsidR="00273730" w:rsidRPr="00C23942" w:rsidRDefault="00273730" w:rsidP="00273730">
            <w:pPr>
              <w:pStyle w:val="Heading2"/>
              <w:jc w:val="left"/>
              <w:rPr>
                <w:rFonts w:ascii="Arial" w:hAnsi="Arial" w:cs="Arial"/>
                <w:b w:val="0"/>
                <w:lang w:val="en-GB"/>
              </w:rPr>
            </w:pPr>
          </w:p>
        </w:tc>
      </w:tr>
      <w:tr w:rsidR="00273730" w:rsidRPr="00C23942" w14:paraId="2F579F54" w14:textId="77777777" w:rsidTr="007222C8">
        <w:trPr>
          <w:trHeight w:val="859"/>
        </w:trPr>
        <w:tc>
          <w:tcPr>
            <w:tcW w:w="1265" w:type="pct"/>
            <w:noWrap/>
          </w:tcPr>
          <w:p w14:paraId="04361F46" w14:textId="368783AB" w:rsidR="00273730" w:rsidRPr="00C23942" w:rsidRDefault="00273730" w:rsidP="00273730">
            <w:pPr>
              <w:ind w:left="360"/>
              <w:rPr>
                <w:rFonts w:ascii="Arial" w:hAnsi="Arial" w:cs="Arial"/>
                <w:b/>
                <w:bCs/>
                <w:sz w:val="20"/>
                <w:szCs w:val="20"/>
                <w:u w:val="single"/>
                <w:lang w:val="en-GB"/>
              </w:rPr>
            </w:pPr>
            <w:r w:rsidRPr="00C23942">
              <w:rPr>
                <w:rFonts w:ascii="Arial" w:hAnsi="Arial" w:cs="Arial"/>
                <w:b/>
                <w:bCs/>
                <w:sz w:val="20"/>
                <w:szCs w:val="20"/>
                <w:lang w:val="en-GB"/>
              </w:rPr>
              <w:t xml:space="preserve">Is the manuscript scientifically, correct? Please write here. </w:t>
            </w:r>
          </w:p>
        </w:tc>
        <w:tc>
          <w:tcPr>
            <w:tcW w:w="2212" w:type="pct"/>
          </w:tcPr>
          <w:p w14:paraId="2B5A7721" w14:textId="70E63D70" w:rsidR="00273730" w:rsidRPr="00C23942" w:rsidRDefault="00273730" w:rsidP="00273730">
            <w:pPr>
              <w:tabs>
                <w:tab w:val="left" w:pos="2197"/>
              </w:tabs>
              <w:rPr>
                <w:rFonts w:ascii="Arial" w:hAnsi="Arial" w:cs="Arial"/>
                <w:sz w:val="20"/>
                <w:szCs w:val="20"/>
                <w:lang w:val="en-GB"/>
              </w:rPr>
            </w:pPr>
            <w:r w:rsidRPr="00C23942">
              <w:rPr>
                <w:rFonts w:ascii="Arial" w:hAnsi="Arial" w:cs="Arial"/>
                <w:sz w:val="20"/>
                <w:szCs w:val="20"/>
              </w:rPr>
              <w:t>The scientific framework is appropriate for a book chapter; however, several statements should be tightened with date-anchored wording and stronger source support. In particular, sections describing immune checkpoint inhibitor indications should avoid implying static FDA approval status, because urothelial carcinoma accelerated-approval indications for atezolizumab were later removed from the label (e.g., label notes “Accelerated Approval Indication Removed” for urothelial carcinoma in 4/2021). If the text discusses availability/withdrawal of specific indications, it should clearly indicate jurisdiction (US vs EU/other) and provide a current regulatory reference. Additionally, any quantitative performance claims (e.g., very high sensitivity/specificity) should be presented as study-dependent and contextualized by cohort size/specimen type.</w:t>
            </w:r>
          </w:p>
        </w:tc>
        <w:tc>
          <w:tcPr>
            <w:tcW w:w="1523" w:type="pct"/>
          </w:tcPr>
          <w:p w14:paraId="4898F764" w14:textId="77777777" w:rsidR="00273730" w:rsidRPr="00C23942" w:rsidRDefault="00273730" w:rsidP="00273730">
            <w:pPr>
              <w:pStyle w:val="Heading2"/>
              <w:jc w:val="left"/>
              <w:rPr>
                <w:rFonts w:ascii="Arial" w:hAnsi="Arial" w:cs="Arial"/>
                <w:b w:val="0"/>
                <w:lang w:val="en-GB"/>
              </w:rPr>
            </w:pPr>
          </w:p>
        </w:tc>
      </w:tr>
      <w:tr w:rsidR="00273730" w:rsidRPr="00C23942" w14:paraId="73739464" w14:textId="77777777" w:rsidTr="007222C8">
        <w:trPr>
          <w:trHeight w:val="703"/>
        </w:trPr>
        <w:tc>
          <w:tcPr>
            <w:tcW w:w="1265" w:type="pct"/>
            <w:noWrap/>
          </w:tcPr>
          <w:p w14:paraId="09C25322" w14:textId="77777777" w:rsidR="00273730" w:rsidRPr="00C23942" w:rsidRDefault="00273730" w:rsidP="00273730">
            <w:pPr>
              <w:ind w:left="360"/>
              <w:rPr>
                <w:rFonts w:ascii="Arial" w:hAnsi="Arial" w:cs="Arial"/>
                <w:b/>
                <w:bCs/>
                <w:sz w:val="20"/>
                <w:szCs w:val="20"/>
                <w:lang w:val="en-GB"/>
              </w:rPr>
            </w:pPr>
            <w:r w:rsidRPr="00C2394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273730" w:rsidRPr="00C23942" w:rsidRDefault="00273730" w:rsidP="00273730">
            <w:pPr>
              <w:ind w:left="360"/>
              <w:rPr>
                <w:rFonts w:ascii="Arial" w:hAnsi="Arial" w:cs="Arial"/>
                <w:b/>
                <w:bCs/>
                <w:sz w:val="20"/>
                <w:szCs w:val="20"/>
                <w:u w:val="single"/>
                <w:lang w:val="en-GB"/>
              </w:rPr>
            </w:pPr>
            <w:r w:rsidRPr="00C23942">
              <w:rPr>
                <w:rFonts w:ascii="Arial" w:hAnsi="Arial" w:cs="Arial"/>
                <w:b/>
                <w:bCs/>
                <w:sz w:val="20"/>
                <w:szCs w:val="20"/>
                <w:u w:val="single"/>
                <w:lang w:val="en-GB"/>
              </w:rPr>
              <w:t>-</w:t>
            </w:r>
          </w:p>
        </w:tc>
        <w:tc>
          <w:tcPr>
            <w:tcW w:w="2212" w:type="pct"/>
          </w:tcPr>
          <w:p w14:paraId="24FE0567" w14:textId="3024C130" w:rsidR="00273730" w:rsidRPr="00C23942" w:rsidRDefault="00273730" w:rsidP="00273730">
            <w:pPr>
              <w:pStyle w:val="ListParagraph"/>
              <w:ind w:left="0"/>
              <w:rPr>
                <w:rFonts w:ascii="Arial" w:hAnsi="Arial" w:cs="Arial"/>
                <w:b/>
                <w:bCs/>
                <w:sz w:val="20"/>
                <w:szCs w:val="20"/>
                <w:lang w:val="en-GB"/>
              </w:rPr>
            </w:pPr>
            <w:r w:rsidRPr="00C23942">
              <w:rPr>
                <w:rFonts w:ascii="Arial" w:hAnsi="Arial" w:cs="Arial"/>
                <w:sz w:val="20"/>
                <w:szCs w:val="20"/>
              </w:rPr>
              <w:t xml:space="preserve">The reference set appears generally current for core pathology guidance and IHC marker discussions. To broaden the biomarker landscape and link tissue IHC with complementary diagnostic avenues (including urine-based biomarker concepts), add: Matuszczak M, </w:t>
            </w:r>
            <w:proofErr w:type="spellStart"/>
            <w:r w:rsidRPr="00C23942">
              <w:rPr>
                <w:rFonts w:ascii="Arial" w:hAnsi="Arial" w:cs="Arial"/>
                <w:sz w:val="20"/>
                <w:szCs w:val="20"/>
              </w:rPr>
              <w:t>Salagierski</w:t>
            </w:r>
            <w:proofErr w:type="spellEnd"/>
            <w:r w:rsidRPr="00C23942">
              <w:rPr>
                <w:rFonts w:ascii="Arial" w:hAnsi="Arial" w:cs="Arial"/>
                <w:sz w:val="20"/>
                <w:szCs w:val="20"/>
              </w:rPr>
              <w:t xml:space="preserve"> M. “Diagnostic and Prognostic Potential of Biomarkers CYFRA 21.1, ERCC1, p53, FGFR3 and TATI in Bladder Cancers.” Int. J. Mol. Sci. 2020;21(9):3360. DOI: 10.3390/ijms21093360. This can be cited in the introduction/biomarkers overview and/or future directions as context for TP53/FGFR3 relevance beyond tissue IHC.</w:t>
            </w:r>
          </w:p>
        </w:tc>
        <w:tc>
          <w:tcPr>
            <w:tcW w:w="1523" w:type="pct"/>
          </w:tcPr>
          <w:p w14:paraId="40220055" w14:textId="77777777" w:rsidR="00273730" w:rsidRPr="00C23942" w:rsidRDefault="00273730" w:rsidP="00273730">
            <w:pPr>
              <w:pStyle w:val="Heading2"/>
              <w:jc w:val="left"/>
              <w:rPr>
                <w:rFonts w:ascii="Arial" w:hAnsi="Arial" w:cs="Arial"/>
                <w:b w:val="0"/>
                <w:lang w:val="en-GB"/>
              </w:rPr>
            </w:pPr>
          </w:p>
        </w:tc>
      </w:tr>
      <w:tr w:rsidR="00273730" w:rsidRPr="00C23942" w14:paraId="73CC4A50" w14:textId="77777777" w:rsidTr="007222C8">
        <w:trPr>
          <w:trHeight w:val="386"/>
        </w:trPr>
        <w:tc>
          <w:tcPr>
            <w:tcW w:w="1265" w:type="pct"/>
            <w:noWrap/>
          </w:tcPr>
          <w:p w14:paraId="029CE8D0" w14:textId="77777777" w:rsidR="00273730" w:rsidRPr="00C23942" w:rsidRDefault="00273730" w:rsidP="00273730">
            <w:pPr>
              <w:pStyle w:val="Heading2"/>
              <w:jc w:val="left"/>
              <w:rPr>
                <w:rFonts w:ascii="Arial" w:hAnsi="Arial" w:cs="Arial"/>
                <w:b w:val="0"/>
                <w:lang w:val="en-GB"/>
              </w:rPr>
            </w:pPr>
          </w:p>
          <w:p w14:paraId="589C16C7" w14:textId="77777777" w:rsidR="00273730" w:rsidRPr="00C23942" w:rsidRDefault="00273730" w:rsidP="00273730">
            <w:pPr>
              <w:pStyle w:val="Heading2"/>
              <w:ind w:left="360"/>
              <w:jc w:val="left"/>
              <w:rPr>
                <w:rFonts w:ascii="Arial" w:hAnsi="Arial" w:cs="Arial"/>
                <w:bCs w:val="0"/>
                <w:lang w:val="en-GB"/>
              </w:rPr>
            </w:pPr>
            <w:r w:rsidRPr="00C23942">
              <w:rPr>
                <w:rFonts w:ascii="Arial" w:hAnsi="Arial" w:cs="Arial"/>
                <w:bCs w:val="0"/>
                <w:lang w:val="en-GB"/>
              </w:rPr>
              <w:t>Is the language/English quality of the article suitable for scholarly communications?</w:t>
            </w:r>
          </w:p>
          <w:p w14:paraId="7722B85E" w14:textId="77777777" w:rsidR="00273730" w:rsidRPr="00C23942" w:rsidRDefault="00273730" w:rsidP="00273730">
            <w:pPr>
              <w:rPr>
                <w:rFonts w:ascii="Arial" w:hAnsi="Arial" w:cs="Arial"/>
                <w:sz w:val="20"/>
                <w:szCs w:val="20"/>
                <w:lang w:val="en-GB"/>
              </w:rPr>
            </w:pPr>
          </w:p>
        </w:tc>
        <w:tc>
          <w:tcPr>
            <w:tcW w:w="2212" w:type="pct"/>
          </w:tcPr>
          <w:p w14:paraId="149A6CEF" w14:textId="06AEAA23" w:rsidR="00273730" w:rsidRPr="00C23942" w:rsidRDefault="00273730" w:rsidP="00273730">
            <w:pPr>
              <w:tabs>
                <w:tab w:val="left" w:pos="2227"/>
              </w:tabs>
              <w:rPr>
                <w:rFonts w:ascii="Arial" w:hAnsi="Arial" w:cs="Arial"/>
                <w:sz w:val="20"/>
                <w:szCs w:val="20"/>
                <w:lang w:val="en-GB"/>
              </w:rPr>
            </w:pPr>
            <w:r w:rsidRPr="00C23942">
              <w:rPr>
                <w:rFonts w:ascii="Arial" w:hAnsi="Arial" w:cs="Arial"/>
                <w:sz w:val="20"/>
                <w:szCs w:val="20"/>
              </w:rPr>
              <w:t>The chapter is generally readable, but it would benefit from professional copy-editing for typography, hyphenation/spacing consistency (e.g., “PD</w:t>
            </w:r>
            <w:r w:rsidRPr="00C23942">
              <w:rPr>
                <w:rFonts w:ascii="Cambria Math" w:hAnsi="Cambria Math" w:cs="Cambria Math"/>
                <w:sz w:val="20"/>
                <w:szCs w:val="20"/>
              </w:rPr>
              <w:t>‑</w:t>
            </w:r>
            <w:r w:rsidRPr="00C23942">
              <w:rPr>
                <w:rFonts w:ascii="Arial" w:hAnsi="Arial" w:cs="Arial"/>
                <w:sz w:val="20"/>
                <w:szCs w:val="20"/>
              </w:rPr>
              <w:t>L1”), and smoothing occasional run-on sentences. Table formatting should be reviewed for alignment and readability in print/PDF output.</w:t>
            </w:r>
          </w:p>
        </w:tc>
        <w:tc>
          <w:tcPr>
            <w:tcW w:w="1523" w:type="pct"/>
          </w:tcPr>
          <w:p w14:paraId="0351CA58" w14:textId="77777777" w:rsidR="00273730" w:rsidRPr="00C23942" w:rsidRDefault="00273730" w:rsidP="00273730">
            <w:pPr>
              <w:rPr>
                <w:rFonts w:ascii="Arial" w:hAnsi="Arial" w:cs="Arial"/>
                <w:sz w:val="20"/>
                <w:szCs w:val="20"/>
                <w:lang w:val="en-GB"/>
              </w:rPr>
            </w:pPr>
          </w:p>
        </w:tc>
      </w:tr>
      <w:tr w:rsidR="00273730" w:rsidRPr="00C23942" w14:paraId="20A16C0C" w14:textId="77777777" w:rsidTr="007222C8">
        <w:trPr>
          <w:trHeight w:val="1178"/>
        </w:trPr>
        <w:tc>
          <w:tcPr>
            <w:tcW w:w="1265" w:type="pct"/>
            <w:noWrap/>
          </w:tcPr>
          <w:p w14:paraId="7F4BCFAE" w14:textId="77777777" w:rsidR="00273730" w:rsidRPr="00C23942" w:rsidRDefault="00273730" w:rsidP="00273730">
            <w:pPr>
              <w:pStyle w:val="Heading2"/>
              <w:jc w:val="left"/>
              <w:rPr>
                <w:rFonts w:ascii="Arial" w:hAnsi="Arial" w:cs="Arial"/>
                <w:b w:val="0"/>
                <w:bCs w:val="0"/>
                <w:lang w:val="en-GB"/>
              </w:rPr>
            </w:pPr>
            <w:r w:rsidRPr="00C23942">
              <w:rPr>
                <w:rFonts w:ascii="Arial" w:hAnsi="Arial" w:cs="Arial"/>
                <w:bCs w:val="0"/>
                <w:u w:val="single"/>
                <w:lang w:val="en-GB"/>
              </w:rPr>
              <w:t>Optional/General</w:t>
            </w:r>
            <w:r w:rsidRPr="00C23942">
              <w:rPr>
                <w:rFonts w:ascii="Arial" w:hAnsi="Arial" w:cs="Arial"/>
                <w:bCs w:val="0"/>
                <w:lang w:val="en-GB"/>
              </w:rPr>
              <w:t xml:space="preserve"> </w:t>
            </w:r>
            <w:r w:rsidRPr="00C23942">
              <w:rPr>
                <w:rFonts w:ascii="Arial" w:hAnsi="Arial" w:cs="Arial"/>
                <w:b w:val="0"/>
                <w:bCs w:val="0"/>
                <w:lang w:val="en-GB"/>
              </w:rPr>
              <w:t>comments</w:t>
            </w:r>
          </w:p>
          <w:p w14:paraId="1A6B3748" w14:textId="77777777" w:rsidR="00273730" w:rsidRPr="00C23942" w:rsidRDefault="00273730" w:rsidP="00273730">
            <w:pPr>
              <w:pStyle w:val="Heading2"/>
              <w:jc w:val="left"/>
              <w:rPr>
                <w:rFonts w:ascii="Arial" w:hAnsi="Arial" w:cs="Arial"/>
                <w:b w:val="0"/>
                <w:lang w:val="en-GB"/>
              </w:rPr>
            </w:pPr>
          </w:p>
        </w:tc>
        <w:tc>
          <w:tcPr>
            <w:tcW w:w="2212" w:type="pct"/>
          </w:tcPr>
          <w:p w14:paraId="7EB58C99" w14:textId="4237BF1F" w:rsidR="00273730" w:rsidRPr="00C23942" w:rsidRDefault="00273730" w:rsidP="00273730">
            <w:pPr>
              <w:tabs>
                <w:tab w:val="left" w:pos="1410"/>
              </w:tabs>
              <w:rPr>
                <w:rFonts w:ascii="Arial" w:hAnsi="Arial" w:cs="Arial"/>
                <w:sz w:val="20"/>
                <w:szCs w:val="20"/>
                <w:lang w:val="en-GB"/>
              </w:rPr>
            </w:pPr>
            <w:r w:rsidRPr="00C23942">
              <w:rPr>
                <w:rFonts w:ascii="Arial" w:hAnsi="Arial" w:cs="Arial"/>
                <w:sz w:val="20"/>
                <w:szCs w:val="20"/>
              </w:rPr>
              <w:t>Consider adding a short, practice-oriented subsection that lists recommended minimal IHC panels by clinical question (e.g., CIS vs reactive atypia; variant histology triage; luminal vs basal surrogate subtyping; predictive biomarkers such as PD</w:t>
            </w:r>
            <w:r w:rsidRPr="00C23942">
              <w:rPr>
                <w:rFonts w:ascii="Cambria Math" w:hAnsi="Cambria Math" w:cs="Cambria Math"/>
                <w:sz w:val="20"/>
                <w:szCs w:val="20"/>
              </w:rPr>
              <w:t>‑</w:t>
            </w:r>
            <w:r w:rsidRPr="00C23942">
              <w:rPr>
                <w:rFonts w:ascii="Arial" w:hAnsi="Arial" w:cs="Arial"/>
                <w:sz w:val="20"/>
                <w:szCs w:val="20"/>
              </w:rPr>
              <w:t>L1/HER2 where applicable). For PD</w:t>
            </w:r>
            <w:r w:rsidRPr="00C23942">
              <w:rPr>
                <w:rFonts w:ascii="Cambria Math" w:hAnsi="Cambria Math" w:cs="Cambria Math"/>
                <w:sz w:val="20"/>
                <w:szCs w:val="20"/>
              </w:rPr>
              <w:t>‑</w:t>
            </w:r>
            <w:r w:rsidRPr="00C23942">
              <w:rPr>
                <w:rFonts w:ascii="Arial" w:hAnsi="Arial" w:cs="Arial"/>
                <w:sz w:val="20"/>
                <w:szCs w:val="20"/>
              </w:rPr>
              <w:t>L1, explicitly distinguish assay platform and scoring algorithm, and note that assays/scores are not necessarily interchangeable. For HER2, note the growing relevance of accurate HER2 assessment in pan-solid tumor therapeutic development, including the U.S. tumor-agnostic accelerated approval of trastuzumab deruxtecan for unresectable/metastatic HER2-positive (IHC 3+) solid tumors (April 2024).</w:t>
            </w:r>
          </w:p>
          <w:p w14:paraId="15DFD0E8" w14:textId="77777777" w:rsidR="00273730" w:rsidRPr="00C23942" w:rsidRDefault="00273730" w:rsidP="00273730">
            <w:pPr>
              <w:rPr>
                <w:rFonts w:ascii="Arial" w:hAnsi="Arial" w:cs="Arial"/>
                <w:sz w:val="20"/>
                <w:szCs w:val="20"/>
                <w:lang w:val="en-GB"/>
              </w:rPr>
            </w:pPr>
          </w:p>
        </w:tc>
        <w:tc>
          <w:tcPr>
            <w:tcW w:w="1523" w:type="pct"/>
          </w:tcPr>
          <w:p w14:paraId="465E098E" w14:textId="77777777" w:rsidR="00273730" w:rsidRPr="00C23942" w:rsidRDefault="00273730" w:rsidP="00273730">
            <w:pPr>
              <w:rPr>
                <w:rFonts w:ascii="Arial" w:hAnsi="Arial" w:cs="Arial"/>
                <w:sz w:val="20"/>
                <w:szCs w:val="20"/>
                <w:lang w:val="en-GB"/>
              </w:rPr>
            </w:pPr>
          </w:p>
        </w:tc>
      </w:tr>
    </w:tbl>
    <w:p w14:paraId="6BBACB91" w14:textId="77777777" w:rsidR="00F1171E" w:rsidRPr="00C23942" w:rsidRDefault="00F1171E" w:rsidP="00F1171E">
      <w:pPr>
        <w:pStyle w:val="BodyText"/>
        <w:rPr>
          <w:rFonts w:ascii="Arial" w:hAnsi="Arial" w:cs="Arial"/>
          <w:b/>
          <w:bCs/>
          <w:sz w:val="20"/>
          <w:szCs w:val="20"/>
          <w:u w:val="single"/>
          <w:lang w:val="en-GB"/>
        </w:rPr>
      </w:pPr>
    </w:p>
    <w:p w14:paraId="78207741" w14:textId="77777777" w:rsidR="00F1171E" w:rsidRPr="00C23942" w:rsidRDefault="00F1171E" w:rsidP="00F1171E">
      <w:pPr>
        <w:pStyle w:val="BodyText"/>
        <w:rPr>
          <w:rFonts w:ascii="Arial" w:hAnsi="Arial" w:cs="Arial"/>
          <w:b/>
          <w:bCs/>
          <w:sz w:val="20"/>
          <w:szCs w:val="20"/>
          <w:u w:val="single"/>
          <w:lang w:val="en-GB"/>
        </w:rPr>
      </w:pPr>
    </w:p>
    <w:p w14:paraId="108BE2F1" w14:textId="77777777" w:rsidR="00F1171E" w:rsidRPr="00C23942" w:rsidRDefault="00F1171E" w:rsidP="00F1171E">
      <w:pPr>
        <w:pStyle w:val="BodyText"/>
        <w:rPr>
          <w:rFonts w:ascii="Arial" w:hAnsi="Arial" w:cs="Arial"/>
          <w:b/>
          <w:bCs/>
          <w:sz w:val="20"/>
          <w:szCs w:val="20"/>
          <w:u w:val="single"/>
          <w:lang w:val="en-GB"/>
        </w:rPr>
      </w:pPr>
    </w:p>
    <w:p w14:paraId="618DE16F" w14:textId="77777777" w:rsidR="00F1171E" w:rsidRPr="00C23942" w:rsidRDefault="00F1171E" w:rsidP="00F1171E">
      <w:pPr>
        <w:pStyle w:val="BodyText"/>
        <w:rPr>
          <w:rFonts w:ascii="Arial" w:hAnsi="Arial" w:cs="Arial"/>
          <w:b/>
          <w:bCs/>
          <w:sz w:val="20"/>
          <w:szCs w:val="20"/>
          <w:u w:val="single"/>
          <w:lang w:val="en-GB"/>
        </w:rPr>
      </w:pPr>
    </w:p>
    <w:p w14:paraId="1B0E4DC5" w14:textId="77777777" w:rsidR="00F1171E" w:rsidRPr="00C23942" w:rsidRDefault="00F1171E" w:rsidP="00F1171E">
      <w:pPr>
        <w:pStyle w:val="BodyText"/>
        <w:rPr>
          <w:rFonts w:ascii="Arial" w:hAnsi="Arial" w:cs="Arial"/>
          <w:b/>
          <w:bCs/>
          <w:sz w:val="20"/>
          <w:szCs w:val="20"/>
          <w:u w:val="single"/>
          <w:lang w:val="en-GB"/>
        </w:rPr>
      </w:pPr>
    </w:p>
    <w:p w14:paraId="0ECA4E5E" w14:textId="77777777" w:rsidR="00F1171E" w:rsidRPr="00C23942" w:rsidRDefault="00F1171E" w:rsidP="00F1171E">
      <w:pPr>
        <w:pStyle w:val="BodyText"/>
        <w:rPr>
          <w:rFonts w:ascii="Arial" w:hAnsi="Arial" w:cs="Arial"/>
          <w:b/>
          <w:bCs/>
          <w:sz w:val="20"/>
          <w:szCs w:val="20"/>
          <w:u w:val="single"/>
          <w:lang w:val="en-GB"/>
        </w:rPr>
      </w:pPr>
    </w:p>
    <w:p w14:paraId="022D30C9" w14:textId="77777777" w:rsidR="00F1171E" w:rsidRPr="00C23942" w:rsidRDefault="00F1171E" w:rsidP="00F1171E">
      <w:pPr>
        <w:pStyle w:val="BodyText"/>
        <w:rPr>
          <w:rFonts w:ascii="Arial" w:hAnsi="Arial" w:cs="Arial"/>
          <w:b/>
          <w:bCs/>
          <w:sz w:val="20"/>
          <w:szCs w:val="20"/>
          <w:u w:val="single"/>
          <w:lang w:val="en-GB"/>
        </w:rPr>
      </w:pPr>
    </w:p>
    <w:p w14:paraId="1AB5512F" w14:textId="77777777" w:rsidR="00F1171E" w:rsidRPr="00C2394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D1ED9" w:rsidRPr="00C23942" w14:paraId="0A823098" w14:textId="77777777" w:rsidTr="00ED1ED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D1425FB" w14:textId="77777777" w:rsidR="00ED1ED9" w:rsidRPr="00C23942" w:rsidRDefault="00ED1ED9">
            <w:pPr>
              <w:spacing w:line="276" w:lineRule="auto"/>
              <w:rPr>
                <w:rFonts w:ascii="Arial" w:eastAsia="Arial Unicode MS" w:hAnsi="Arial" w:cs="Arial"/>
                <w:b/>
                <w:sz w:val="20"/>
                <w:szCs w:val="20"/>
                <w:u w:val="single"/>
                <w:lang w:val="en-GB"/>
              </w:rPr>
            </w:pPr>
            <w:bookmarkStart w:id="0" w:name="_Hlk156057883"/>
            <w:bookmarkStart w:id="1" w:name="_Hlk156057704"/>
            <w:r w:rsidRPr="00C23942">
              <w:rPr>
                <w:rFonts w:ascii="Arial" w:eastAsia="Arial Unicode MS" w:hAnsi="Arial" w:cs="Arial"/>
                <w:b/>
                <w:sz w:val="20"/>
                <w:szCs w:val="20"/>
                <w:highlight w:val="yellow"/>
                <w:u w:val="single"/>
                <w:lang w:val="en-GB"/>
              </w:rPr>
              <w:t>PART  2:</w:t>
            </w:r>
            <w:r w:rsidRPr="00C23942">
              <w:rPr>
                <w:rFonts w:ascii="Arial" w:eastAsia="Arial Unicode MS" w:hAnsi="Arial" w:cs="Arial"/>
                <w:b/>
                <w:sz w:val="20"/>
                <w:szCs w:val="20"/>
                <w:u w:val="single"/>
                <w:lang w:val="en-GB"/>
              </w:rPr>
              <w:t xml:space="preserve"> </w:t>
            </w:r>
          </w:p>
          <w:p w14:paraId="6901F0DD" w14:textId="77777777" w:rsidR="00ED1ED9" w:rsidRPr="00C23942" w:rsidRDefault="00ED1ED9">
            <w:pPr>
              <w:spacing w:line="276" w:lineRule="auto"/>
              <w:rPr>
                <w:rFonts w:ascii="Arial" w:eastAsia="Arial Unicode MS" w:hAnsi="Arial" w:cs="Arial"/>
                <w:b/>
                <w:sz w:val="20"/>
                <w:szCs w:val="20"/>
                <w:u w:val="single"/>
                <w:lang w:val="en-GB"/>
              </w:rPr>
            </w:pPr>
          </w:p>
        </w:tc>
      </w:tr>
      <w:tr w:rsidR="00ED1ED9" w:rsidRPr="00C23942" w14:paraId="08362310" w14:textId="77777777" w:rsidTr="00ED1ED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8EF6AF" w14:textId="77777777" w:rsidR="00ED1ED9" w:rsidRPr="00C23942" w:rsidRDefault="00ED1ED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A6BA4" w14:textId="77777777" w:rsidR="00ED1ED9" w:rsidRPr="00C23942" w:rsidRDefault="00ED1ED9">
            <w:pPr>
              <w:keepNext/>
              <w:spacing w:line="276" w:lineRule="auto"/>
              <w:outlineLvl w:val="1"/>
              <w:rPr>
                <w:rFonts w:ascii="Arial" w:eastAsia="MS Mincho" w:hAnsi="Arial" w:cs="Arial"/>
                <w:b/>
                <w:bCs/>
                <w:sz w:val="20"/>
                <w:szCs w:val="20"/>
                <w:lang w:val="en-GB"/>
              </w:rPr>
            </w:pPr>
            <w:r w:rsidRPr="00C2394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1206B23" w14:textId="77777777" w:rsidR="00ED1ED9" w:rsidRPr="00C23942" w:rsidRDefault="00ED1ED9">
            <w:pPr>
              <w:spacing w:after="160" w:line="252" w:lineRule="auto"/>
              <w:rPr>
                <w:rFonts w:ascii="Arial" w:eastAsia="Calibri" w:hAnsi="Arial" w:cs="Arial"/>
                <w:kern w:val="2"/>
                <w:sz w:val="20"/>
                <w:szCs w:val="20"/>
                <w:lang w:val="en-IN"/>
              </w:rPr>
            </w:pPr>
            <w:r w:rsidRPr="00C23942">
              <w:rPr>
                <w:rFonts w:ascii="Arial" w:eastAsia="Calibri" w:hAnsi="Arial" w:cs="Arial"/>
                <w:b/>
                <w:kern w:val="2"/>
                <w:sz w:val="20"/>
                <w:szCs w:val="20"/>
                <w:lang w:val="en-IN"/>
              </w:rPr>
              <w:t>Author’s Feedback</w:t>
            </w:r>
            <w:r w:rsidRPr="00C23942">
              <w:rPr>
                <w:rFonts w:ascii="Arial" w:eastAsia="Calibri" w:hAnsi="Arial" w:cs="Arial"/>
                <w:kern w:val="2"/>
                <w:sz w:val="20"/>
                <w:szCs w:val="20"/>
                <w:lang w:val="en-IN"/>
              </w:rPr>
              <w:t xml:space="preserve"> (It is mandatory that authors should write his/her feedback here)</w:t>
            </w:r>
          </w:p>
          <w:p w14:paraId="13BB0186" w14:textId="77777777" w:rsidR="00ED1ED9" w:rsidRPr="00C23942" w:rsidRDefault="00ED1ED9">
            <w:pPr>
              <w:keepNext/>
              <w:spacing w:line="276" w:lineRule="auto"/>
              <w:outlineLvl w:val="1"/>
              <w:rPr>
                <w:rFonts w:ascii="Arial" w:eastAsia="MS Mincho" w:hAnsi="Arial" w:cs="Arial"/>
                <w:bCs/>
                <w:sz w:val="20"/>
                <w:szCs w:val="20"/>
                <w:lang w:val="en-GB"/>
              </w:rPr>
            </w:pPr>
          </w:p>
        </w:tc>
      </w:tr>
      <w:tr w:rsidR="00ED1ED9" w:rsidRPr="00C23942" w14:paraId="637D1071" w14:textId="77777777" w:rsidTr="00ED1ED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EBC4D4" w14:textId="77777777" w:rsidR="00ED1ED9" w:rsidRPr="00C23942" w:rsidRDefault="00ED1ED9">
            <w:pPr>
              <w:spacing w:line="276" w:lineRule="auto"/>
              <w:rPr>
                <w:rFonts w:ascii="Arial" w:eastAsia="Arial Unicode MS" w:hAnsi="Arial" w:cs="Arial"/>
                <w:b/>
                <w:sz w:val="20"/>
                <w:szCs w:val="20"/>
                <w:lang w:val="en-GB"/>
              </w:rPr>
            </w:pPr>
            <w:r w:rsidRPr="00C23942">
              <w:rPr>
                <w:rFonts w:ascii="Arial" w:eastAsia="Arial Unicode MS" w:hAnsi="Arial" w:cs="Arial"/>
                <w:b/>
                <w:sz w:val="20"/>
                <w:szCs w:val="20"/>
                <w:lang w:val="en-GB"/>
              </w:rPr>
              <w:t xml:space="preserve">Are there ethical issues in this manuscript? </w:t>
            </w:r>
          </w:p>
          <w:p w14:paraId="32EAAC58" w14:textId="77777777" w:rsidR="00ED1ED9" w:rsidRPr="00C23942" w:rsidRDefault="00ED1ED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26FB4" w14:textId="77777777" w:rsidR="00ED1ED9" w:rsidRPr="00C23942" w:rsidRDefault="00ED1ED9">
            <w:pPr>
              <w:spacing w:line="276" w:lineRule="auto"/>
              <w:rPr>
                <w:rFonts w:ascii="Arial" w:eastAsia="Arial Unicode MS" w:hAnsi="Arial" w:cs="Arial"/>
                <w:i/>
                <w:iCs/>
                <w:sz w:val="20"/>
                <w:szCs w:val="20"/>
                <w:u w:val="single"/>
                <w:lang w:val="en-GB"/>
              </w:rPr>
            </w:pPr>
            <w:r w:rsidRPr="00C23942">
              <w:rPr>
                <w:rFonts w:ascii="Arial" w:eastAsia="Arial Unicode MS" w:hAnsi="Arial" w:cs="Arial"/>
                <w:i/>
                <w:iCs/>
                <w:sz w:val="20"/>
                <w:szCs w:val="20"/>
                <w:u w:val="single"/>
                <w:lang w:val="en-GB"/>
              </w:rPr>
              <w:t xml:space="preserve">(If yes, </w:t>
            </w:r>
            <w:proofErr w:type="gramStart"/>
            <w:r w:rsidRPr="00C23942">
              <w:rPr>
                <w:rFonts w:ascii="Arial" w:eastAsia="Arial Unicode MS" w:hAnsi="Arial" w:cs="Arial"/>
                <w:i/>
                <w:iCs/>
                <w:sz w:val="20"/>
                <w:szCs w:val="20"/>
                <w:u w:val="single"/>
                <w:lang w:val="en-GB"/>
              </w:rPr>
              <w:t>Kindly</w:t>
            </w:r>
            <w:proofErr w:type="gramEnd"/>
            <w:r w:rsidRPr="00C23942">
              <w:rPr>
                <w:rFonts w:ascii="Arial" w:eastAsia="Arial Unicode MS" w:hAnsi="Arial" w:cs="Arial"/>
                <w:i/>
                <w:iCs/>
                <w:sz w:val="20"/>
                <w:szCs w:val="20"/>
                <w:u w:val="single"/>
                <w:lang w:val="en-GB"/>
              </w:rPr>
              <w:t xml:space="preserve"> please write down the ethical issues here in details)</w:t>
            </w:r>
          </w:p>
          <w:p w14:paraId="5CE42E05" w14:textId="77777777" w:rsidR="00ED1ED9" w:rsidRPr="00C23942" w:rsidRDefault="00ED1ED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8C669BB" w14:textId="77777777" w:rsidR="00ED1ED9" w:rsidRPr="00C23942" w:rsidRDefault="00ED1ED9">
            <w:pPr>
              <w:spacing w:line="276" w:lineRule="auto"/>
              <w:rPr>
                <w:rFonts w:ascii="Arial" w:eastAsia="Arial Unicode MS" w:hAnsi="Arial" w:cs="Arial"/>
                <w:sz w:val="20"/>
                <w:szCs w:val="20"/>
                <w:lang w:val="en-GB"/>
              </w:rPr>
            </w:pPr>
          </w:p>
          <w:p w14:paraId="2ED304B3" w14:textId="77777777" w:rsidR="00ED1ED9" w:rsidRPr="00C23942" w:rsidRDefault="00ED1ED9">
            <w:pPr>
              <w:spacing w:line="276" w:lineRule="auto"/>
              <w:rPr>
                <w:rFonts w:ascii="Arial" w:eastAsia="Arial Unicode MS" w:hAnsi="Arial" w:cs="Arial"/>
                <w:sz w:val="20"/>
                <w:szCs w:val="20"/>
                <w:lang w:val="en-GB"/>
              </w:rPr>
            </w:pPr>
          </w:p>
          <w:p w14:paraId="706811BA" w14:textId="77777777" w:rsidR="00ED1ED9" w:rsidRPr="00C23942" w:rsidRDefault="00ED1ED9">
            <w:pPr>
              <w:spacing w:line="276" w:lineRule="auto"/>
              <w:rPr>
                <w:rFonts w:ascii="Arial" w:eastAsia="Arial Unicode MS" w:hAnsi="Arial" w:cs="Arial"/>
                <w:sz w:val="20"/>
                <w:szCs w:val="20"/>
                <w:lang w:val="en-GB"/>
              </w:rPr>
            </w:pPr>
          </w:p>
        </w:tc>
      </w:tr>
      <w:bookmarkEnd w:id="0"/>
    </w:tbl>
    <w:p w14:paraId="4FECB344" w14:textId="77777777" w:rsidR="00ED1ED9" w:rsidRPr="00C23942" w:rsidRDefault="00ED1ED9" w:rsidP="00ED1ED9">
      <w:pPr>
        <w:rPr>
          <w:rFonts w:ascii="Arial" w:hAnsi="Arial" w:cs="Arial"/>
          <w:sz w:val="20"/>
          <w:szCs w:val="20"/>
        </w:rPr>
      </w:pPr>
    </w:p>
    <w:p w14:paraId="46A606FA" w14:textId="77777777" w:rsidR="00ED1ED9" w:rsidRPr="00C23942" w:rsidRDefault="00ED1ED9" w:rsidP="00ED1ED9">
      <w:pPr>
        <w:rPr>
          <w:rFonts w:ascii="Arial" w:hAnsi="Arial" w:cs="Arial"/>
          <w:sz w:val="20"/>
          <w:szCs w:val="20"/>
        </w:rPr>
      </w:pPr>
    </w:p>
    <w:p w14:paraId="6A668567" w14:textId="77777777" w:rsidR="00ED1ED9" w:rsidRPr="00C23942" w:rsidRDefault="00ED1ED9" w:rsidP="00ED1ED9">
      <w:pPr>
        <w:rPr>
          <w:rFonts w:ascii="Arial" w:hAnsi="Arial" w:cs="Arial"/>
          <w:bCs/>
          <w:sz w:val="20"/>
          <w:szCs w:val="20"/>
          <w:u w:val="single"/>
          <w:lang w:val="en-GB"/>
        </w:rPr>
      </w:pPr>
    </w:p>
    <w:bookmarkEnd w:id="1"/>
    <w:p w14:paraId="7A189F6C" w14:textId="77777777" w:rsidR="00ED1ED9" w:rsidRPr="00C23942" w:rsidRDefault="00ED1ED9" w:rsidP="00ED1ED9">
      <w:pPr>
        <w:rPr>
          <w:rFonts w:ascii="Arial" w:hAnsi="Arial" w:cs="Arial"/>
          <w:sz w:val="20"/>
          <w:szCs w:val="20"/>
        </w:rPr>
      </w:pPr>
    </w:p>
    <w:p w14:paraId="03D7B77B" w14:textId="77777777" w:rsidR="00C23942" w:rsidRPr="00EA1E2C" w:rsidRDefault="00C23942" w:rsidP="00C23942">
      <w:pPr>
        <w:pStyle w:val="Affiliation"/>
        <w:spacing w:after="0" w:line="240" w:lineRule="auto"/>
        <w:jc w:val="left"/>
        <w:rPr>
          <w:rFonts w:ascii="Arial" w:hAnsi="Arial" w:cs="Arial"/>
          <w:b/>
          <w:u w:val="single"/>
        </w:rPr>
      </w:pPr>
      <w:r w:rsidRPr="00EA1E2C">
        <w:rPr>
          <w:rFonts w:ascii="Arial" w:hAnsi="Arial" w:cs="Arial"/>
          <w:b/>
          <w:u w:val="single"/>
        </w:rPr>
        <w:t>Reviewer details:</w:t>
      </w:r>
    </w:p>
    <w:p w14:paraId="05A6A81A" w14:textId="77777777" w:rsidR="00C23942" w:rsidRPr="00EA1E2C" w:rsidRDefault="00C23942" w:rsidP="00C23942">
      <w:pPr>
        <w:pStyle w:val="Affiliation"/>
        <w:spacing w:after="0" w:line="240" w:lineRule="auto"/>
        <w:jc w:val="left"/>
        <w:rPr>
          <w:rFonts w:ascii="Arial" w:hAnsi="Arial" w:cs="Arial"/>
          <w:b/>
        </w:rPr>
      </w:pPr>
      <w:r w:rsidRPr="00EA1E2C">
        <w:rPr>
          <w:rFonts w:ascii="Arial" w:hAnsi="Arial" w:cs="Arial"/>
          <w:b/>
          <w:color w:val="000000"/>
        </w:rPr>
        <w:t>Milena Kiljanczyk, Pomeranian Medical University, Poland</w:t>
      </w:r>
    </w:p>
    <w:p w14:paraId="48DC05A4" w14:textId="77777777" w:rsidR="004C3DF1" w:rsidRPr="00C23942" w:rsidRDefault="004C3DF1" w:rsidP="00ED1ED9">
      <w:pPr>
        <w:pStyle w:val="BodyText"/>
        <w:rPr>
          <w:rFonts w:ascii="Arial" w:hAnsi="Arial" w:cs="Arial"/>
          <w:b/>
          <w:sz w:val="20"/>
          <w:szCs w:val="20"/>
          <w:lang w:val="en-US"/>
        </w:rPr>
      </w:pPr>
    </w:p>
    <w:sectPr w:rsidR="004C3DF1" w:rsidRPr="00C2394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9BE9" w14:textId="77777777" w:rsidR="0070359C" w:rsidRPr="0000007A" w:rsidRDefault="0070359C" w:rsidP="0099583E">
      <w:r>
        <w:separator/>
      </w:r>
    </w:p>
  </w:endnote>
  <w:endnote w:type="continuationSeparator" w:id="0">
    <w:p w14:paraId="46BC1199" w14:textId="77777777" w:rsidR="0070359C" w:rsidRPr="0000007A" w:rsidRDefault="007035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15E6A" w14:textId="77777777" w:rsidR="0070359C" w:rsidRPr="0000007A" w:rsidRDefault="0070359C" w:rsidP="0099583E">
      <w:r>
        <w:separator/>
      </w:r>
    </w:p>
  </w:footnote>
  <w:footnote w:type="continuationSeparator" w:id="0">
    <w:p w14:paraId="0C4D79FD" w14:textId="77777777" w:rsidR="0070359C" w:rsidRPr="0000007A" w:rsidRDefault="007035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0234585">
    <w:abstractNumId w:val="3"/>
  </w:num>
  <w:num w:numId="2" w16cid:durableId="1252546230">
    <w:abstractNumId w:val="6"/>
  </w:num>
  <w:num w:numId="3" w16cid:durableId="1399863080">
    <w:abstractNumId w:val="5"/>
  </w:num>
  <w:num w:numId="4" w16cid:durableId="2144693854">
    <w:abstractNumId w:val="7"/>
  </w:num>
  <w:num w:numId="5" w16cid:durableId="1281760656">
    <w:abstractNumId w:val="4"/>
  </w:num>
  <w:num w:numId="6" w16cid:durableId="780685379">
    <w:abstractNumId w:val="0"/>
  </w:num>
  <w:num w:numId="7" w16cid:durableId="1359618276">
    <w:abstractNumId w:val="1"/>
  </w:num>
  <w:num w:numId="8" w16cid:durableId="2076706833">
    <w:abstractNumId w:val="9"/>
  </w:num>
  <w:num w:numId="9" w16cid:durableId="284770586">
    <w:abstractNumId w:val="8"/>
  </w:num>
  <w:num w:numId="10" w16cid:durableId="23596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89A"/>
    <w:rsid w:val="0006257C"/>
    <w:rsid w:val="000627FE"/>
    <w:rsid w:val="0007151E"/>
    <w:rsid w:val="00081012"/>
    <w:rsid w:val="00084D7C"/>
    <w:rsid w:val="000936AC"/>
    <w:rsid w:val="00095A59"/>
    <w:rsid w:val="000A2134"/>
    <w:rsid w:val="000A2D36"/>
    <w:rsid w:val="000A6F41"/>
    <w:rsid w:val="000B120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3730"/>
    <w:rsid w:val="00275984"/>
    <w:rsid w:val="00280EC9"/>
    <w:rsid w:val="00282BEE"/>
    <w:rsid w:val="00282FB4"/>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6900"/>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59C"/>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27D"/>
    <w:rsid w:val="00794FC0"/>
    <w:rsid w:val="007A62F8"/>
    <w:rsid w:val="007B1099"/>
    <w:rsid w:val="007B54A4"/>
    <w:rsid w:val="007C42E8"/>
    <w:rsid w:val="007C6CDF"/>
    <w:rsid w:val="007D0246"/>
    <w:rsid w:val="007F5873"/>
    <w:rsid w:val="007F7E8E"/>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D6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3988"/>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942"/>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1ED9"/>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2394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169919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