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03521" w14:paraId="1643A4CA" w14:textId="77777777" w:rsidTr="004847FF">
        <w:trPr>
          <w:trHeight w:val="450"/>
        </w:trPr>
        <w:tc>
          <w:tcPr>
            <w:tcW w:w="5000" w:type="pct"/>
            <w:gridSpan w:val="2"/>
            <w:tcBorders>
              <w:top w:val="nil"/>
              <w:left w:val="nil"/>
              <w:right w:val="nil"/>
            </w:tcBorders>
          </w:tcPr>
          <w:p w14:paraId="4C55E51F" w14:textId="77777777" w:rsidR="00602F7D" w:rsidRPr="00A03521" w:rsidRDefault="00602F7D" w:rsidP="00F2643C">
            <w:pPr>
              <w:pStyle w:val="Heading2"/>
              <w:jc w:val="left"/>
              <w:rPr>
                <w:rFonts w:ascii="Arial" w:hAnsi="Arial" w:cs="Arial"/>
                <w:b w:val="0"/>
                <w:bCs w:val="0"/>
                <w:lang w:val="en-US"/>
              </w:rPr>
            </w:pPr>
          </w:p>
        </w:tc>
      </w:tr>
      <w:tr w:rsidR="0000007A" w:rsidRPr="00A03521" w14:paraId="127EAD7E" w14:textId="77777777" w:rsidTr="00F33C84">
        <w:trPr>
          <w:trHeight w:val="413"/>
        </w:trPr>
        <w:tc>
          <w:tcPr>
            <w:tcW w:w="1234" w:type="pct"/>
          </w:tcPr>
          <w:p w14:paraId="3C159AA5" w14:textId="77777777" w:rsidR="0000007A" w:rsidRPr="00A03521" w:rsidRDefault="00D27A79" w:rsidP="00696CAD">
            <w:pPr>
              <w:pStyle w:val="BodyText"/>
              <w:ind w:left="90"/>
              <w:jc w:val="left"/>
              <w:rPr>
                <w:rFonts w:ascii="Arial" w:hAnsi="Arial" w:cs="Arial"/>
                <w:bCs/>
                <w:sz w:val="20"/>
                <w:szCs w:val="20"/>
                <w:lang w:val="en-GB"/>
              </w:rPr>
            </w:pPr>
            <w:r w:rsidRPr="00A03521">
              <w:rPr>
                <w:rFonts w:ascii="Arial" w:hAnsi="Arial" w:cs="Arial"/>
                <w:bCs/>
                <w:sz w:val="20"/>
                <w:szCs w:val="20"/>
                <w:lang w:val="en-GB"/>
              </w:rPr>
              <w:t xml:space="preserve">Book </w:t>
            </w:r>
            <w:r w:rsidR="0000007A" w:rsidRPr="00A0352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2FA7789" w:rsidR="0000007A" w:rsidRPr="00A03521" w:rsidRDefault="0018729B" w:rsidP="00054BC4">
            <w:pPr>
              <w:pStyle w:val="NormalWeb"/>
              <w:rPr>
                <w:rFonts w:ascii="Arial" w:hAnsi="Arial" w:cs="Arial"/>
                <w:b/>
                <w:bCs/>
                <w:sz w:val="20"/>
                <w:szCs w:val="20"/>
                <w:u w:val="single"/>
              </w:rPr>
            </w:pPr>
            <w:r w:rsidRPr="00A03521">
              <w:rPr>
                <w:rFonts w:ascii="Arial" w:hAnsi="Arial" w:cs="Arial"/>
                <w:b/>
                <w:bCs/>
                <w:sz w:val="20"/>
                <w:szCs w:val="20"/>
                <w:u w:val="single"/>
              </w:rPr>
              <w:t>Newer Frontiers in Urology, Volume II</w:t>
            </w:r>
          </w:p>
        </w:tc>
      </w:tr>
      <w:tr w:rsidR="0000007A" w:rsidRPr="00A03521" w14:paraId="73C90375" w14:textId="77777777" w:rsidTr="002E7787">
        <w:trPr>
          <w:trHeight w:val="290"/>
        </w:trPr>
        <w:tc>
          <w:tcPr>
            <w:tcW w:w="1234" w:type="pct"/>
          </w:tcPr>
          <w:p w14:paraId="20D28135" w14:textId="77777777" w:rsidR="0000007A" w:rsidRPr="00A03521" w:rsidRDefault="0000007A" w:rsidP="00696CAD">
            <w:pPr>
              <w:pStyle w:val="BodyText"/>
              <w:ind w:left="90"/>
              <w:jc w:val="left"/>
              <w:rPr>
                <w:rFonts w:ascii="Arial" w:hAnsi="Arial" w:cs="Arial"/>
                <w:bCs/>
                <w:sz w:val="20"/>
                <w:szCs w:val="20"/>
                <w:lang w:val="en-GB"/>
              </w:rPr>
            </w:pPr>
            <w:r w:rsidRPr="00A0352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7EBAE37" w:rsidR="0000007A" w:rsidRPr="00A03521" w:rsidRDefault="00E72A8E" w:rsidP="00F3669D">
            <w:pPr>
              <w:pStyle w:val="NormalWeb"/>
              <w:spacing w:before="0" w:beforeAutospacing="0" w:after="0" w:afterAutospacing="0"/>
              <w:rPr>
                <w:rFonts w:ascii="Arial" w:hAnsi="Arial" w:cs="Arial"/>
                <w:b/>
                <w:bCs/>
                <w:sz w:val="20"/>
                <w:szCs w:val="20"/>
                <w:highlight w:val="yellow"/>
                <w:lang w:val="en-GB"/>
              </w:rPr>
            </w:pPr>
            <w:r w:rsidRPr="00A03521">
              <w:rPr>
                <w:rFonts w:ascii="Arial" w:hAnsi="Arial" w:cs="Arial"/>
                <w:b/>
                <w:bCs/>
                <w:sz w:val="20"/>
                <w:szCs w:val="20"/>
                <w:lang w:val="en-GB"/>
              </w:rPr>
              <w:t>Ms_BP</w:t>
            </w:r>
            <w:r w:rsidR="00FC432A" w:rsidRPr="00A03521">
              <w:rPr>
                <w:rFonts w:ascii="Arial" w:hAnsi="Arial" w:cs="Arial"/>
                <w:b/>
                <w:bCs/>
                <w:sz w:val="20"/>
                <w:szCs w:val="20"/>
                <w:lang w:val="en-GB"/>
              </w:rPr>
              <w:t>R</w:t>
            </w:r>
            <w:r w:rsidRPr="00A03521">
              <w:rPr>
                <w:rFonts w:ascii="Arial" w:hAnsi="Arial" w:cs="Arial"/>
                <w:b/>
                <w:bCs/>
                <w:sz w:val="20"/>
                <w:szCs w:val="20"/>
                <w:lang w:val="en-GB"/>
              </w:rPr>
              <w:t>_</w:t>
            </w:r>
            <w:r w:rsidR="0018729B" w:rsidRPr="00A03521">
              <w:rPr>
                <w:rFonts w:ascii="Arial" w:hAnsi="Arial" w:cs="Arial"/>
                <w:b/>
                <w:bCs/>
                <w:sz w:val="20"/>
                <w:szCs w:val="20"/>
                <w:lang w:val="en-GB"/>
              </w:rPr>
              <w:t>6828.5</w:t>
            </w:r>
          </w:p>
        </w:tc>
      </w:tr>
      <w:tr w:rsidR="0000007A" w:rsidRPr="00A03521" w14:paraId="05B60576" w14:textId="77777777" w:rsidTr="002109D6">
        <w:trPr>
          <w:trHeight w:val="331"/>
        </w:trPr>
        <w:tc>
          <w:tcPr>
            <w:tcW w:w="1234" w:type="pct"/>
          </w:tcPr>
          <w:p w14:paraId="0196A627" w14:textId="77777777" w:rsidR="0000007A" w:rsidRPr="00A03521" w:rsidRDefault="0000007A" w:rsidP="00696CAD">
            <w:pPr>
              <w:pStyle w:val="BodyText"/>
              <w:ind w:left="90"/>
              <w:jc w:val="left"/>
              <w:rPr>
                <w:rFonts w:ascii="Arial" w:hAnsi="Arial" w:cs="Arial"/>
                <w:bCs/>
                <w:sz w:val="20"/>
                <w:szCs w:val="20"/>
                <w:lang w:val="en-GB"/>
              </w:rPr>
            </w:pPr>
            <w:r w:rsidRPr="00A0352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CCDF543" w:rsidR="0000007A" w:rsidRPr="00A03521" w:rsidRDefault="0018729B" w:rsidP="000450FC">
            <w:pPr>
              <w:pStyle w:val="NormalWeb"/>
              <w:spacing w:before="0" w:beforeAutospacing="0" w:after="0" w:afterAutospacing="0"/>
              <w:rPr>
                <w:rFonts w:ascii="Arial" w:hAnsi="Arial" w:cs="Arial"/>
                <w:b/>
                <w:sz w:val="20"/>
                <w:szCs w:val="20"/>
                <w:highlight w:val="yellow"/>
                <w:lang w:val="en-GB"/>
              </w:rPr>
            </w:pPr>
            <w:r w:rsidRPr="00A03521">
              <w:rPr>
                <w:rFonts w:ascii="Arial" w:hAnsi="Arial" w:cs="Arial"/>
                <w:b/>
                <w:sz w:val="20"/>
                <w:szCs w:val="20"/>
                <w:lang w:val="en-GB"/>
              </w:rPr>
              <w:t>Supine Percutaneous Nephrolithotomy (PCNL): Current status</w:t>
            </w:r>
          </w:p>
        </w:tc>
      </w:tr>
      <w:tr w:rsidR="00CF0BBB" w:rsidRPr="00A03521" w14:paraId="6D508B1C" w14:textId="77777777" w:rsidTr="002E7787">
        <w:trPr>
          <w:trHeight w:val="332"/>
        </w:trPr>
        <w:tc>
          <w:tcPr>
            <w:tcW w:w="1234" w:type="pct"/>
          </w:tcPr>
          <w:p w14:paraId="32FC28F7" w14:textId="77777777" w:rsidR="00CF0BBB" w:rsidRPr="00A03521" w:rsidRDefault="00CF0BBB" w:rsidP="00696CAD">
            <w:pPr>
              <w:pStyle w:val="BodyText"/>
              <w:ind w:left="90"/>
              <w:jc w:val="left"/>
              <w:rPr>
                <w:rFonts w:ascii="Arial" w:hAnsi="Arial" w:cs="Arial"/>
                <w:bCs/>
                <w:sz w:val="20"/>
                <w:szCs w:val="20"/>
                <w:lang w:val="en-GB"/>
              </w:rPr>
            </w:pPr>
            <w:r w:rsidRPr="00A0352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C0CC48F" w:rsidR="00CF0BBB" w:rsidRPr="00A03521" w:rsidRDefault="0018729B" w:rsidP="000450FC">
            <w:pPr>
              <w:pStyle w:val="NormalWeb"/>
              <w:spacing w:before="0" w:beforeAutospacing="0" w:after="0" w:afterAutospacing="0"/>
              <w:rPr>
                <w:rFonts w:ascii="Arial" w:hAnsi="Arial" w:cs="Arial"/>
                <w:b/>
                <w:sz w:val="20"/>
                <w:szCs w:val="20"/>
                <w:lang w:val="en-GB"/>
              </w:rPr>
            </w:pPr>
            <w:r w:rsidRPr="00A03521">
              <w:rPr>
                <w:rFonts w:ascii="Arial" w:hAnsi="Arial" w:cs="Arial"/>
                <w:b/>
                <w:sz w:val="20"/>
                <w:szCs w:val="20"/>
                <w:lang w:val="en-GB"/>
              </w:rPr>
              <w:t>Book chapter</w:t>
            </w:r>
          </w:p>
        </w:tc>
      </w:tr>
    </w:tbl>
    <w:p w14:paraId="45F5983C" w14:textId="77777777" w:rsidR="00037D52" w:rsidRPr="00A03521" w:rsidRDefault="00037D52" w:rsidP="0000007A">
      <w:pPr>
        <w:pStyle w:val="BodyText"/>
        <w:rPr>
          <w:rFonts w:ascii="Arial" w:hAnsi="Arial" w:cs="Arial"/>
          <w:b/>
          <w:bCs/>
          <w:sz w:val="20"/>
          <w:szCs w:val="20"/>
          <w:u w:val="single"/>
          <w:lang w:val="en-GB"/>
        </w:rPr>
      </w:pPr>
    </w:p>
    <w:p w14:paraId="17599C49" w14:textId="77777777" w:rsidR="00626025" w:rsidRPr="00A03521" w:rsidRDefault="00626025" w:rsidP="00D27A79">
      <w:pPr>
        <w:pStyle w:val="BodyText"/>
        <w:jc w:val="left"/>
        <w:rPr>
          <w:rFonts w:ascii="Arial" w:hAnsi="Arial" w:cs="Arial"/>
          <w:color w:val="222222"/>
          <w:sz w:val="20"/>
          <w:szCs w:val="20"/>
          <w:lang w:val="en-GB"/>
        </w:rPr>
      </w:pPr>
    </w:p>
    <w:p w14:paraId="5A743ECE" w14:textId="77777777" w:rsidR="00D27A79" w:rsidRPr="00A03521" w:rsidRDefault="00D27A79" w:rsidP="0018729B">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03521" w14:paraId="71A94C1F" w14:textId="77777777" w:rsidTr="007222C8">
        <w:tc>
          <w:tcPr>
            <w:tcW w:w="5000" w:type="pct"/>
            <w:gridSpan w:val="3"/>
            <w:tcBorders>
              <w:top w:val="nil"/>
              <w:left w:val="nil"/>
              <w:right w:val="nil"/>
            </w:tcBorders>
            <w:noWrap/>
          </w:tcPr>
          <w:p w14:paraId="0BC15285" w14:textId="75BEB51F" w:rsidR="00F1171E" w:rsidRPr="00A03521" w:rsidRDefault="00F1171E" w:rsidP="007222C8">
            <w:pPr>
              <w:pStyle w:val="Heading2"/>
              <w:jc w:val="left"/>
              <w:rPr>
                <w:rFonts w:ascii="Times New Roman" w:hAnsi="Times New Roman"/>
                <w:lang w:val="en-GB"/>
              </w:rPr>
            </w:pPr>
            <w:r w:rsidRPr="00A03521">
              <w:rPr>
                <w:rFonts w:ascii="Times New Roman" w:hAnsi="Times New Roman"/>
                <w:highlight w:val="yellow"/>
                <w:lang w:val="en-GB"/>
              </w:rPr>
              <w:t>PART  1:</w:t>
            </w:r>
            <w:r w:rsidRPr="00A03521">
              <w:rPr>
                <w:rFonts w:ascii="Times New Roman" w:hAnsi="Times New Roman"/>
                <w:lang w:val="en-GB"/>
              </w:rPr>
              <w:t xml:space="preserve"> Comments</w:t>
            </w:r>
          </w:p>
          <w:p w14:paraId="1287753C" w14:textId="77777777" w:rsidR="00F1171E" w:rsidRPr="00A03521" w:rsidRDefault="00F1171E" w:rsidP="007222C8">
            <w:pPr>
              <w:rPr>
                <w:sz w:val="20"/>
                <w:szCs w:val="20"/>
                <w:lang w:val="en-GB"/>
              </w:rPr>
            </w:pPr>
          </w:p>
        </w:tc>
      </w:tr>
      <w:tr w:rsidR="00F1171E" w:rsidRPr="00A03521" w14:paraId="5EA12279" w14:textId="77777777" w:rsidTr="007222C8">
        <w:tc>
          <w:tcPr>
            <w:tcW w:w="1265" w:type="pct"/>
            <w:noWrap/>
          </w:tcPr>
          <w:p w14:paraId="7AE9682F" w14:textId="77777777" w:rsidR="00F1171E" w:rsidRPr="00A03521" w:rsidRDefault="00F1171E" w:rsidP="007222C8">
            <w:pPr>
              <w:pStyle w:val="Heading2"/>
              <w:jc w:val="left"/>
              <w:rPr>
                <w:rFonts w:ascii="Times New Roman" w:hAnsi="Times New Roman"/>
                <w:lang w:val="en-GB"/>
              </w:rPr>
            </w:pPr>
          </w:p>
        </w:tc>
        <w:tc>
          <w:tcPr>
            <w:tcW w:w="2212" w:type="pct"/>
          </w:tcPr>
          <w:p w14:paraId="5B8DBE06" w14:textId="77777777" w:rsidR="00F1171E" w:rsidRPr="00A03521" w:rsidRDefault="00F1171E" w:rsidP="007222C8">
            <w:pPr>
              <w:pStyle w:val="Heading2"/>
              <w:jc w:val="left"/>
              <w:rPr>
                <w:rFonts w:ascii="Times New Roman" w:hAnsi="Times New Roman"/>
                <w:lang w:val="en-GB"/>
              </w:rPr>
            </w:pPr>
            <w:r w:rsidRPr="00A03521">
              <w:rPr>
                <w:rFonts w:ascii="Times New Roman" w:hAnsi="Times New Roman"/>
                <w:lang w:val="en-GB"/>
              </w:rPr>
              <w:t>Reviewer’s comment</w:t>
            </w:r>
          </w:p>
          <w:p w14:paraId="693A9C4D" w14:textId="77777777" w:rsidR="00421DBF" w:rsidRPr="00A03521" w:rsidRDefault="00421DBF" w:rsidP="00421DBF">
            <w:pPr>
              <w:rPr>
                <w:rFonts w:ascii="Arial" w:hAnsi="Arial" w:cs="Arial"/>
                <w:b/>
                <w:bCs/>
                <w:sz w:val="20"/>
                <w:szCs w:val="20"/>
              </w:rPr>
            </w:pPr>
            <w:r w:rsidRPr="00A0352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03521" w:rsidRDefault="00421DBF" w:rsidP="00421DBF">
            <w:pPr>
              <w:rPr>
                <w:sz w:val="20"/>
                <w:szCs w:val="20"/>
                <w:lang w:val="en-GB"/>
              </w:rPr>
            </w:pPr>
          </w:p>
        </w:tc>
        <w:tc>
          <w:tcPr>
            <w:tcW w:w="1523" w:type="pct"/>
          </w:tcPr>
          <w:p w14:paraId="57792C30" w14:textId="77777777" w:rsidR="00F1171E" w:rsidRPr="00A03521" w:rsidRDefault="00F1171E" w:rsidP="007222C8">
            <w:pPr>
              <w:pStyle w:val="Heading2"/>
              <w:jc w:val="left"/>
              <w:rPr>
                <w:rFonts w:ascii="Times New Roman" w:hAnsi="Times New Roman"/>
                <w:b w:val="0"/>
                <w:lang w:val="en-GB"/>
              </w:rPr>
            </w:pPr>
            <w:r w:rsidRPr="00A03521">
              <w:rPr>
                <w:rFonts w:ascii="Times New Roman" w:hAnsi="Times New Roman"/>
                <w:lang w:val="en-GB"/>
              </w:rPr>
              <w:t>Author’s Feedback</w:t>
            </w:r>
            <w:r w:rsidRPr="00A03521">
              <w:rPr>
                <w:rFonts w:ascii="Times New Roman" w:hAnsi="Times New Roman"/>
                <w:b w:val="0"/>
                <w:lang w:val="en-GB"/>
              </w:rPr>
              <w:t xml:space="preserve"> </w:t>
            </w:r>
            <w:r w:rsidRPr="00A03521">
              <w:rPr>
                <w:rFonts w:ascii="Times New Roman" w:hAnsi="Times New Roman"/>
                <w:b w:val="0"/>
                <w:i/>
                <w:lang w:val="en-GB"/>
              </w:rPr>
              <w:t>(Please correct the manuscript and highlight that part in the manuscript. It is mandatory that authors should write his/her feedback here)</w:t>
            </w:r>
          </w:p>
        </w:tc>
      </w:tr>
      <w:tr w:rsidR="00F1171E" w:rsidRPr="00A03521" w14:paraId="5C0AB4EC" w14:textId="77777777" w:rsidTr="007222C8">
        <w:trPr>
          <w:trHeight w:val="1264"/>
        </w:trPr>
        <w:tc>
          <w:tcPr>
            <w:tcW w:w="1265" w:type="pct"/>
            <w:noWrap/>
          </w:tcPr>
          <w:p w14:paraId="66B47184" w14:textId="48030299" w:rsidR="00F1171E" w:rsidRPr="00A03521" w:rsidRDefault="00F1171E" w:rsidP="007222C8">
            <w:pPr>
              <w:ind w:left="360"/>
              <w:rPr>
                <w:b/>
                <w:bCs/>
                <w:sz w:val="20"/>
                <w:szCs w:val="20"/>
                <w:lang w:val="en-GB"/>
              </w:rPr>
            </w:pPr>
            <w:r w:rsidRPr="00A03521">
              <w:rPr>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03521" w:rsidRDefault="00F1171E" w:rsidP="007222C8">
            <w:pPr>
              <w:ind w:left="360"/>
              <w:rPr>
                <w:rFonts w:eastAsia="MS Mincho"/>
                <w:b/>
                <w:bCs/>
                <w:sz w:val="20"/>
                <w:szCs w:val="20"/>
                <w:lang w:val="en-GB"/>
              </w:rPr>
            </w:pPr>
          </w:p>
        </w:tc>
        <w:tc>
          <w:tcPr>
            <w:tcW w:w="2212" w:type="pct"/>
          </w:tcPr>
          <w:p w14:paraId="7DBC9196" w14:textId="16C5EB9B" w:rsidR="00F1171E" w:rsidRPr="00A03521" w:rsidRDefault="00C3210A" w:rsidP="007222C8">
            <w:pPr>
              <w:pStyle w:val="ListParagraph"/>
              <w:ind w:left="0"/>
              <w:rPr>
                <w:b/>
                <w:bCs/>
                <w:sz w:val="20"/>
                <w:szCs w:val="20"/>
                <w:lang w:val="en-GB"/>
              </w:rPr>
            </w:pPr>
            <w:r w:rsidRPr="00A03521">
              <w:rPr>
                <w:b/>
                <w:bCs/>
                <w:sz w:val="20"/>
                <w:szCs w:val="20"/>
                <w:lang w:val="en-GB"/>
              </w:rPr>
              <w:t xml:space="preserve">The importance of this manuscript lies in its comprehensive and practical review of supine percutaneous nephrolithotomy (PCNL), an alternative approach to the traditional prone position. The manuscript provides a crucial update on the outcomes of this procedure and highlights its significant advantages, particularly regarding </w:t>
            </w:r>
            <w:proofErr w:type="spellStart"/>
            <w:r w:rsidRPr="00A03521">
              <w:rPr>
                <w:b/>
                <w:bCs/>
                <w:sz w:val="20"/>
                <w:szCs w:val="20"/>
                <w:lang w:val="en-GB"/>
              </w:rPr>
              <w:t>anesthesia</w:t>
            </w:r>
            <w:proofErr w:type="spellEnd"/>
            <w:r w:rsidRPr="00A03521">
              <w:rPr>
                <w:b/>
                <w:bCs/>
                <w:sz w:val="20"/>
                <w:szCs w:val="20"/>
                <w:lang w:val="en-GB"/>
              </w:rPr>
              <w:t xml:space="preserve"> safety, surgical team comfort (the ergonomic environment), and workflow efficiency through avoiding patient repositioning and the ability to combine procedures (ECIRS). It thus supports the growing adoption of this procedure as an emerging standard of care, especially for high-risk patients.</w:t>
            </w:r>
          </w:p>
        </w:tc>
        <w:tc>
          <w:tcPr>
            <w:tcW w:w="1523" w:type="pct"/>
          </w:tcPr>
          <w:p w14:paraId="462A339C" w14:textId="77777777" w:rsidR="00F1171E" w:rsidRPr="00A03521" w:rsidRDefault="00F1171E" w:rsidP="007222C8">
            <w:pPr>
              <w:pStyle w:val="Heading2"/>
              <w:jc w:val="left"/>
              <w:rPr>
                <w:rFonts w:ascii="Times New Roman" w:hAnsi="Times New Roman"/>
                <w:b w:val="0"/>
                <w:lang w:val="en-GB"/>
              </w:rPr>
            </w:pPr>
          </w:p>
        </w:tc>
      </w:tr>
      <w:tr w:rsidR="00F1171E" w:rsidRPr="00A03521" w14:paraId="0D8B5B2C" w14:textId="77777777" w:rsidTr="007222C8">
        <w:trPr>
          <w:trHeight w:val="1262"/>
        </w:trPr>
        <w:tc>
          <w:tcPr>
            <w:tcW w:w="1265" w:type="pct"/>
            <w:noWrap/>
          </w:tcPr>
          <w:p w14:paraId="21CBA5FE" w14:textId="77777777" w:rsidR="00F1171E" w:rsidRPr="00A03521" w:rsidRDefault="00F1171E" w:rsidP="007222C8">
            <w:pPr>
              <w:ind w:left="360"/>
              <w:rPr>
                <w:b/>
                <w:bCs/>
                <w:sz w:val="20"/>
                <w:szCs w:val="20"/>
                <w:lang w:val="en-GB"/>
              </w:rPr>
            </w:pPr>
            <w:r w:rsidRPr="00A03521">
              <w:rPr>
                <w:b/>
                <w:bCs/>
                <w:sz w:val="20"/>
                <w:szCs w:val="20"/>
                <w:lang w:val="en-GB"/>
              </w:rPr>
              <w:t>Is the title of the article suitable?</w:t>
            </w:r>
          </w:p>
          <w:p w14:paraId="1CABB61A" w14:textId="77777777" w:rsidR="00F1171E" w:rsidRPr="00A03521" w:rsidRDefault="00F1171E" w:rsidP="007222C8">
            <w:pPr>
              <w:ind w:left="360"/>
              <w:rPr>
                <w:b/>
                <w:bCs/>
                <w:sz w:val="20"/>
                <w:szCs w:val="20"/>
                <w:lang w:val="en-GB"/>
              </w:rPr>
            </w:pPr>
            <w:r w:rsidRPr="00A03521">
              <w:rPr>
                <w:b/>
                <w:bCs/>
                <w:sz w:val="20"/>
                <w:szCs w:val="20"/>
                <w:lang w:val="en-GB"/>
              </w:rPr>
              <w:t>(If not please suggest an alternative title)</w:t>
            </w:r>
          </w:p>
          <w:p w14:paraId="0275B919" w14:textId="77777777" w:rsidR="00F1171E" w:rsidRPr="00A03521" w:rsidRDefault="00F1171E" w:rsidP="007222C8">
            <w:pPr>
              <w:pStyle w:val="Heading2"/>
              <w:jc w:val="left"/>
              <w:rPr>
                <w:rFonts w:ascii="Times New Roman" w:hAnsi="Times New Roman"/>
                <w:u w:val="single"/>
                <w:lang w:val="en-GB"/>
              </w:rPr>
            </w:pPr>
          </w:p>
        </w:tc>
        <w:tc>
          <w:tcPr>
            <w:tcW w:w="2212" w:type="pct"/>
          </w:tcPr>
          <w:p w14:paraId="3168B859" w14:textId="77777777" w:rsidR="00C3210A" w:rsidRPr="00A03521" w:rsidRDefault="00C3210A" w:rsidP="00C3210A">
            <w:pPr>
              <w:ind w:left="36"/>
              <w:rPr>
                <w:b/>
                <w:bCs/>
                <w:sz w:val="20"/>
                <w:szCs w:val="20"/>
                <w:lang w:val="en-GB"/>
              </w:rPr>
            </w:pPr>
            <w:r w:rsidRPr="00A03521">
              <w:rPr>
                <w:b/>
                <w:bCs/>
                <w:sz w:val="20"/>
                <w:szCs w:val="20"/>
                <w:lang w:val="en-GB"/>
              </w:rPr>
              <w:t>Yes, the title is suitable. "Supine Percutaneous Nephrolithotomy (PCNL): Current Status"</w:t>
            </w:r>
          </w:p>
          <w:p w14:paraId="1974E99A" w14:textId="77777777" w:rsidR="00C3210A" w:rsidRPr="00A03521" w:rsidRDefault="00C3210A" w:rsidP="00C3210A">
            <w:pPr>
              <w:ind w:left="36"/>
              <w:rPr>
                <w:b/>
                <w:bCs/>
                <w:sz w:val="20"/>
                <w:szCs w:val="20"/>
                <w:lang w:val="en-GB"/>
              </w:rPr>
            </w:pPr>
          </w:p>
          <w:p w14:paraId="794AA9A7" w14:textId="3532866C" w:rsidR="00F1171E" w:rsidRPr="00A03521" w:rsidRDefault="00C3210A" w:rsidP="00C3210A">
            <w:pPr>
              <w:ind w:left="36"/>
              <w:rPr>
                <w:b/>
                <w:bCs/>
                <w:sz w:val="20"/>
                <w:szCs w:val="20"/>
                <w:lang w:val="en-GB"/>
              </w:rPr>
            </w:pPr>
            <w:r w:rsidRPr="00A03521">
              <w:rPr>
                <w:b/>
                <w:bCs/>
                <w:sz w:val="20"/>
                <w:szCs w:val="20"/>
                <w:lang w:val="en-GB"/>
              </w:rPr>
              <w:t>The title is concise, clear, and direct, accurately reflecting the main content of the manuscript, which is a comprehensive review of the current status of supine PCNL.</w:t>
            </w:r>
          </w:p>
        </w:tc>
        <w:tc>
          <w:tcPr>
            <w:tcW w:w="1523" w:type="pct"/>
          </w:tcPr>
          <w:p w14:paraId="405B6701" w14:textId="77777777" w:rsidR="00F1171E" w:rsidRPr="00A03521" w:rsidRDefault="00F1171E" w:rsidP="007222C8">
            <w:pPr>
              <w:pStyle w:val="Heading2"/>
              <w:jc w:val="left"/>
              <w:rPr>
                <w:rFonts w:ascii="Times New Roman" w:hAnsi="Times New Roman"/>
                <w:b w:val="0"/>
                <w:lang w:val="en-GB"/>
              </w:rPr>
            </w:pPr>
          </w:p>
        </w:tc>
      </w:tr>
      <w:tr w:rsidR="00F1171E" w:rsidRPr="00A03521" w14:paraId="5604762A" w14:textId="77777777" w:rsidTr="007222C8">
        <w:trPr>
          <w:trHeight w:val="1262"/>
        </w:trPr>
        <w:tc>
          <w:tcPr>
            <w:tcW w:w="1265" w:type="pct"/>
            <w:noWrap/>
          </w:tcPr>
          <w:p w14:paraId="3635573D" w14:textId="77777777" w:rsidR="00F1171E" w:rsidRPr="00A03521" w:rsidRDefault="00F1171E" w:rsidP="007222C8">
            <w:pPr>
              <w:pStyle w:val="Heading2"/>
              <w:ind w:left="360"/>
              <w:jc w:val="left"/>
              <w:rPr>
                <w:rFonts w:ascii="Times New Roman" w:hAnsi="Times New Roman"/>
                <w:lang w:val="en-GB"/>
              </w:rPr>
            </w:pPr>
            <w:r w:rsidRPr="00A03521">
              <w:rPr>
                <w:rFonts w:ascii="Times New Roman" w:hAnsi="Times New Roman"/>
                <w:lang w:val="en-GB"/>
              </w:rPr>
              <w:t>Is the abstract of the article comprehensive? Do you suggest the addition (or deletion) of some points in this section? Please write your suggestions here.</w:t>
            </w:r>
          </w:p>
          <w:p w14:paraId="3760981A" w14:textId="77777777" w:rsidR="00F1171E" w:rsidRPr="00A03521" w:rsidRDefault="00F1171E" w:rsidP="007222C8">
            <w:pPr>
              <w:pStyle w:val="Heading2"/>
              <w:jc w:val="left"/>
              <w:rPr>
                <w:rFonts w:ascii="Times New Roman" w:hAnsi="Times New Roman"/>
                <w:u w:val="single"/>
                <w:lang w:val="en-GB"/>
              </w:rPr>
            </w:pPr>
          </w:p>
        </w:tc>
        <w:tc>
          <w:tcPr>
            <w:tcW w:w="2212" w:type="pct"/>
          </w:tcPr>
          <w:p w14:paraId="09DAFE24" w14:textId="77777777" w:rsidR="00C3210A" w:rsidRPr="00A03521" w:rsidRDefault="00C3210A" w:rsidP="00C3210A">
            <w:pPr>
              <w:ind w:left="36"/>
              <w:rPr>
                <w:b/>
                <w:bCs/>
                <w:sz w:val="20"/>
                <w:szCs w:val="20"/>
                <w:lang w:val="en-GB"/>
              </w:rPr>
            </w:pPr>
            <w:r w:rsidRPr="00A03521">
              <w:rPr>
                <w:b/>
                <w:bCs/>
                <w:sz w:val="20"/>
                <w:szCs w:val="20"/>
                <w:lang w:val="en-GB"/>
              </w:rPr>
              <w:t>Yes, the abstract is comprehensive.</w:t>
            </w:r>
          </w:p>
          <w:p w14:paraId="31546DC4" w14:textId="77777777" w:rsidR="00C3210A" w:rsidRPr="00A03521" w:rsidRDefault="00C3210A" w:rsidP="00C3210A">
            <w:pPr>
              <w:ind w:left="36"/>
              <w:rPr>
                <w:b/>
                <w:bCs/>
                <w:sz w:val="20"/>
                <w:szCs w:val="20"/>
                <w:lang w:val="en-GB"/>
              </w:rPr>
            </w:pPr>
          </w:p>
          <w:p w14:paraId="0FB7E83A" w14:textId="0F03C502" w:rsidR="00F1171E" w:rsidRPr="00A03521" w:rsidRDefault="00C3210A" w:rsidP="00C3210A">
            <w:pPr>
              <w:ind w:left="36"/>
              <w:rPr>
                <w:b/>
                <w:bCs/>
                <w:sz w:val="20"/>
                <w:szCs w:val="20"/>
                <w:lang w:val="en-GB"/>
              </w:rPr>
            </w:pPr>
            <w:r w:rsidRPr="00A03521">
              <w:rPr>
                <w:b/>
                <w:bCs/>
                <w:sz w:val="20"/>
                <w:szCs w:val="20"/>
                <w:lang w:val="en-GB"/>
              </w:rPr>
              <w:t>The abstract provides a comprehensive overview</w:t>
            </w:r>
          </w:p>
        </w:tc>
        <w:tc>
          <w:tcPr>
            <w:tcW w:w="1523" w:type="pct"/>
          </w:tcPr>
          <w:p w14:paraId="1D54B730" w14:textId="77777777" w:rsidR="00F1171E" w:rsidRPr="00A03521" w:rsidRDefault="00F1171E" w:rsidP="007222C8">
            <w:pPr>
              <w:pStyle w:val="Heading2"/>
              <w:jc w:val="left"/>
              <w:rPr>
                <w:rFonts w:ascii="Times New Roman" w:hAnsi="Times New Roman"/>
                <w:b w:val="0"/>
                <w:lang w:val="en-GB"/>
              </w:rPr>
            </w:pPr>
          </w:p>
        </w:tc>
      </w:tr>
      <w:tr w:rsidR="00F1171E" w:rsidRPr="00A03521" w14:paraId="2F579F54" w14:textId="77777777" w:rsidTr="007222C8">
        <w:trPr>
          <w:trHeight w:val="859"/>
        </w:trPr>
        <w:tc>
          <w:tcPr>
            <w:tcW w:w="1265" w:type="pct"/>
            <w:noWrap/>
          </w:tcPr>
          <w:p w14:paraId="04361F46" w14:textId="368783AB" w:rsidR="00F1171E" w:rsidRPr="00A03521" w:rsidRDefault="00DC6FED" w:rsidP="007222C8">
            <w:pPr>
              <w:ind w:left="360"/>
              <w:rPr>
                <w:b/>
                <w:bCs/>
                <w:sz w:val="20"/>
                <w:szCs w:val="20"/>
                <w:u w:val="single"/>
                <w:lang w:val="en-GB"/>
              </w:rPr>
            </w:pPr>
            <w:r w:rsidRPr="00A03521">
              <w:rPr>
                <w:b/>
                <w:bCs/>
                <w:sz w:val="20"/>
                <w:szCs w:val="20"/>
                <w:lang w:val="en-GB"/>
              </w:rPr>
              <w:t xml:space="preserve">Is the manuscript scientifically, correct? Please write here. </w:t>
            </w:r>
          </w:p>
        </w:tc>
        <w:tc>
          <w:tcPr>
            <w:tcW w:w="2212" w:type="pct"/>
          </w:tcPr>
          <w:p w14:paraId="0DED187D" w14:textId="77777777" w:rsidR="00C3210A" w:rsidRPr="00A03521" w:rsidRDefault="00C3210A" w:rsidP="00C3210A">
            <w:pPr>
              <w:pStyle w:val="ListParagraph"/>
              <w:ind w:left="36"/>
              <w:rPr>
                <w:b/>
                <w:bCs/>
                <w:sz w:val="20"/>
                <w:szCs w:val="20"/>
                <w:lang w:val="en-GB"/>
              </w:rPr>
            </w:pPr>
            <w:r w:rsidRPr="00A03521">
              <w:rPr>
                <w:b/>
                <w:bCs/>
                <w:sz w:val="20"/>
                <w:szCs w:val="20"/>
                <w:lang w:val="en-GB"/>
              </w:rPr>
              <w:t>The information presented is consistent with current clinical evidence and publications:</w:t>
            </w:r>
          </w:p>
          <w:p w14:paraId="5BD122D7" w14:textId="77777777" w:rsidR="00C3210A" w:rsidRPr="00A03521" w:rsidRDefault="00C3210A" w:rsidP="00C3210A">
            <w:pPr>
              <w:pStyle w:val="ListParagraph"/>
              <w:ind w:left="36"/>
              <w:rPr>
                <w:b/>
                <w:bCs/>
                <w:sz w:val="20"/>
                <w:szCs w:val="20"/>
                <w:lang w:val="en-GB"/>
              </w:rPr>
            </w:pPr>
          </w:p>
          <w:p w14:paraId="01326B20" w14:textId="77777777" w:rsidR="00C3210A" w:rsidRPr="00A03521" w:rsidRDefault="00C3210A" w:rsidP="00C3210A">
            <w:pPr>
              <w:pStyle w:val="ListParagraph"/>
              <w:ind w:left="36"/>
              <w:rPr>
                <w:b/>
                <w:bCs/>
                <w:sz w:val="20"/>
                <w:szCs w:val="20"/>
                <w:lang w:val="en-GB"/>
              </w:rPr>
            </w:pPr>
            <w:r w:rsidRPr="00A03521">
              <w:rPr>
                <w:b/>
                <w:bCs/>
                <w:sz w:val="20"/>
                <w:szCs w:val="20"/>
                <w:lang w:val="en-GB"/>
              </w:rPr>
              <w:t>Recognition of PCNL as the standard for large stones.</w:t>
            </w:r>
          </w:p>
          <w:p w14:paraId="06445603" w14:textId="77777777" w:rsidR="00C3210A" w:rsidRPr="00A03521" w:rsidRDefault="00C3210A" w:rsidP="00C3210A">
            <w:pPr>
              <w:pStyle w:val="ListParagraph"/>
              <w:ind w:left="36"/>
              <w:rPr>
                <w:b/>
                <w:bCs/>
                <w:sz w:val="20"/>
                <w:szCs w:val="20"/>
                <w:lang w:val="en-GB"/>
              </w:rPr>
            </w:pPr>
          </w:p>
          <w:p w14:paraId="06A46B17" w14:textId="77777777" w:rsidR="00C3210A" w:rsidRPr="00A03521" w:rsidRDefault="00C3210A" w:rsidP="00C3210A">
            <w:pPr>
              <w:pStyle w:val="ListParagraph"/>
              <w:ind w:left="36"/>
              <w:rPr>
                <w:b/>
                <w:bCs/>
                <w:sz w:val="20"/>
                <w:szCs w:val="20"/>
                <w:lang w:val="en-GB"/>
              </w:rPr>
            </w:pPr>
            <w:r w:rsidRPr="00A03521">
              <w:rPr>
                <w:b/>
                <w:bCs/>
                <w:sz w:val="20"/>
                <w:szCs w:val="20"/>
                <w:lang w:val="en-GB"/>
              </w:rPr>
              <w:t xml:space="preserve">Confirmation of the physiological and </w:t>
            </w:r>
            <w:proofErr w:type="spellStart"/>
            <w:r w:rsidRPr="00A03521">
              <w:rPr>
                <w:b/>
                <w:bCs/>
                <w:sz w:val="20"/>
                <w:szCs w:val="20"/>
                <w:lang w:val="en-GB"/>
              </w:rPr>
              <w:t>anesthetic</w:t>
            </w:r>
            <w:proofErr w:type="spellEnd"/>
            <w:r w:rsidRPr="00A03521">
              <w:rPr>
                <w:b/>
                <w:bCs/>
                <w:sz w:val="20"/>
                <w:szCs w:val="20"/>
                <w:lang w:val="en-GB"/>
              </w:rPr>
              <w:t xml:space="preserve"> advantages of the supine position.</w:t>
            </w:r>
          </w:p>
          <w:p w14:paraId="6CAD0097" w14:textId="77777777" w:rsidR="00C3210A" w:rsidRPr="00A03521" w:rsidRDefault="00C3210A" w:rsidP="00C3210A">
            <w:pPr>
              <w:pStyle w:val="ListParagraph"/>
              <w:ind w:left="36"/>
              <w:rPr>
                <w:b/>
                <w:bCs/>
                <w:sz w:val="20"/>
                <w:szCs w:val="20"/>
                <w:lang w:val="en-GB"/>
              </w:rPr>
            </w:pPr>
          </w:p>
          <w:p w14:paraId="43FC9A5E" w14:textId="77777777" w:rsidR="00C3210A" w:rsidRPr="00A03521" w:rsidRDefault="00C3210A" w:rsidP="00C3210A">
            <w:pPr>
              <w:pStyle w:val="ListParagraph"/>
              <w:ind w:left="36"/>
              <w:rPr>
                <w:b/>
                <w:bCs/>
                <w:sz w:val="20"/>
                <w:szCs w:val="20"/>
                <w:lang w:val="en-GB"/>
              </w:rPr>
            </w:pPr>
            <w:r w:rsidRPr="00A03521">
              <w:rPr>
                <w:b/>
                <w:bCs/>
                <w:sz w:val="20"/>
                <w:szCs w:val="20"/>
                <w:lang w:val="en-GB"/>
              </w:rPr>
              <w:t>Reference to the ease with which ECIRS (Combined Anterior and Posterior Access) can be performed in the supine position.</w:t>
            </w:r>
          </w:p>
          <w:p w14:paraId="4CBAD3C0" w14:textId="77777777" w:rsidR="00C3210A" w:rsidRPr="00A03521" w:rsidRDefault="00C3210A" w:rsidP="00C3210A">
            <w:pPr>
              <w:pStyle w:val="ListParagraph"/>
              <w:ind w:left="36"/>
              <w:rPr>
                <w:b/>
                <w:bCs/>
                <w:sz w:val="20"/>
                <w:szCs w:val="20"/>
                <w:lang w:val="en-GB"/>
              </w:rPr>
            </w:pPr>
          </w:p>
          <w:p w14:paraId="2B5A7721" w14:textId="0093C125" w:rsidR="00F1171E" w:rsidRPr="00A03521" w:rsidRDefault="00C3210A" w:rsidP="00C3210A">
            <w:pPr>
              <w:pStyle w:val="ListParagraph"/>
              <w:ind w:left="36"/>
              <w:rPr>
                <w:b/>
                <w:bCs/>
                <w:sz w:val="20"/>
                <w:szCs w:val="20"/>
                <w:lang w:val="en-GB"/>
              </w:rPr>
            </w:pPr>
            <w:r w:rsidRPr="00A03521">
              <w:rPr>
                <w:b/>
                <w:bCs/>
                <w:sz w:val="20"/>
                <w:szCs w:val="20"/>
                <w:lang w:val="en-GB"/>
              </w:rPr>
              <w:t>Recognition that stone-free and complication rates are generally comparable between the supine and prone positions.</w:t>
            </w:r>
          </w:p>
        </w:tc>
        <w:tc>
          <w:tcPr>
            <w:tcW w:w="1523" w:type="pct"/>
          </w:tcPr>
          <w:p w14:paraId="4898F764" w14:textId="77777777" w:rsidR="00F1171E" w:rsidRPr="00A03521" w:rsidRDefault="00F1171E" w:rsidP="007222C8">
            <w:pPr>
              <w:pStyle w:val="Heading2"/>
              <w:jc w:val="left"/>
              <w:rPr>
                <w:rFonts w:ascii="Times New Roman" w:hAnsi="Times New Roman"/>
                <w:b w:val="0"/>
                <w:lang w:val="en-GB"/>
              </w:rPr>
            </w:pPr>
          </w:p>
        </w:tc>
      </w:tr>
      <w:tr w:rsidR="00F1171E" w:rsidRPr="00A03521" w14:paraId="73739464" w14:textId="77777777" w:rsidTr="007222C8">
        <w:trPr>
          <w:trHeight w:val="703"/>
        </w:trPr>
        <w:tc>
          <w:tcPr>
            <w:tcW w:w="1265" w:type="pct"/>
            <w:noWrap/>
          </w:tcPr>
          <w:p w14:paraId="09C25322" w14:textId="77777777" w:rsidR="00F1171E" w:rsidRPr="00A03521" w:rsidRDefault="00F1171E" w:rsidP="007222C8">
            <w:pPr>
              <w:ind w:left="360"/>
              <w:rPr>
                <w:b/>
                <w:bCs/>
                <w:sz w:val="20"/>
                <w:szCs w:val="20"/>
                <w:lang w:val="en-GB"/>
              </w:rPr>
            </w:pPr>
            <w:r w:rsidRPr="00A03521">
              <w:rPr>
                <w:b/>
                <w:bCs/>
                <w:sz w:val="20"/>
                <w:szCs w:val="20"/>
                <w:lang w:val="en-GB"/>
              </w:rPr>
              <w:t>Are the references sufficient and recent? If you have suggestions of additional references, please mention them in the review form.</w:t>
            </w:r>
          </w:p>
          <w:p w14:paraId="7EFC02A2" w14:textId="77777777" w:rsidR="00F1171E" w:rsidRPr="00A03521" w:rsidRDefault="00F1171E" w:rsidP="007222C8">
            <w:pPr>
              <w:ind w:left="360"/>
              <w:rPr>
                <w:b/>
                <w:bCs/>
                <w:sz w:val="20"/>
                <w:szCs w:val="20"/>
                <w:u w:val="single"/>
                <w:lang w:val="en-GB"/>
              </w:rPr>
            </w:pPr>
            <w:r w:rsidRPr="00A03521">
              <w:rPr>
                <w:b/>
                <w:bCs/>
                <w:sz w:val="20"/>
                <w:szCs w:val="20"/>
                <w:u w:val="single"/>
                <w:lang w:val="en-GB"/>
              </w:rPr>
              <w:t>-</w:t>
            </w:r>
          </w:p>
        </w:tc>
        <w:tc>
          <w:tcPr>
            <w:tcW w:w="2212" w:type="pct"/>
          </w:tcPr>
          <w:p w14:paraId="6C0C45F9" w14:textId="77777777" w:rsidR="00C3210A" w:rsidRPr="00A03521" w:rsidRDefault="00C3210A" w:rsidP="00C3210A">
            <w:pPr>
              <w:pStyle w:val="ListParagraph"/>
              <w:ind w:left="36"/>
              <w:rPr>
                <w:b/>
                <w:bCs/>
                <w:sz w:val="20"/>
                <w:szCs w:val="20"/>
                <w:lang w:val="en-GB"/>
              </w:rPr>
            </w:pPr>
            <w:r w:rsidRPr="00A03521">
              <w:rPr>
                <w:b/>
                <w:bCs/>
                <w:sz w:val="20"/>
                <w:szCs w:val="20"/>
                <w:lang w:val="en-GB"/>
              </w:rPr>
              <w:t>Yes, the references are sufficient and include both recent and classical sources.</w:t>
            </w:r>
          </w:p>
          <w:p w14:paraId="2DE55B84" w14:textId="77777777" w:rsidR="00C3210A" w:rsidRPr="00A03521" w:rsidRDefault="00C3210A" w:rsidP="00C3210A">
            <w:pPr>
              <w:pStyle w:val="ListParagraph"/>
              <w:ind w:left="36"/>
              <w:rPr>
                <w:b/>
                <w:bCs/>
                <w:sz w:val="20"/>
                <w:szCs w:val="20"/>
                <w:lang w:val="en-GB"/>
              </w:rPr>
            </w:pPr>
          </w:p>
          <w:p w14:paraId="52F4ACBF" w14:textId="77777777" w:rsidR="00C3210A" w:rsidRPr="00A03521" w:rsidRDefault="00C3210A" w:rsidP="00C3210A">
            <w:pPr>
              <w:pStyle w:val="ListParagraph"/>
              <w:ind w:left="36"/>
              <w:rPr>
                <w:b/>
                <w:bCs/>
                <w:sz w:val="20"/>
                <w:szCs w:val="20"/>
                <w:lang w:val="en-GB"/>
              </w:rPr>
            </w:pPr>
            <w:r w:rsidRPr="00A03521">
              <w:rPr>
                <w:b/>
                <w:bCs/>
                <w:sz w:val="20"/>
                <w:szCs w:val="20"/>
                <w:lang w:val="en-GB"/>
              </w:rPr>
              <w:t>Sufficiency: The references include classical studies that described the procedure (e.g., Valdivia in 1998) and recent comparative studies (e.g., Mulay et al. in 2022 and Kannan et al. in 2023). They also include references to large international studies (e.g., CROES PCNL Study Group).</w:t>
            </w:r>
          </w:p>
          <w:p w14:paraId="0F93F468" w14:textId="77777777" w:rsidR="00C3210A" w:rsidRPr="00A03521" w:rsidRDefault="00C3210A" w:rsidP="00C3210A">
            <w:pPr>
              <w:pStyle w:val="ListParagraph"/>
              <w:ind w:left="36"/>
              <w:rPr>
                <w:b/>
                <w:bCs/>
                <w:sz w:val="20"/>
                <w:szCs w:val="20"/>
                <w:lang w:val="en-GB"/>
              </w:rPr>
            </w:pPr>
          </w:p>
          <w:p w14:paraId="3A13E52A" w14:textId="77777777" w:rsidR="00C3210A" w:rsidRPr="00A03521" w:rsidRDefault="00C3210A" w:rsidP="00C3210A">
            <w:pPr>
              <w:pStyle w:val="ListParagraph"/>
              <w:ind w:left="36"/>
              <w:rPr>
                <w:b/>
                <w:bCs/>
                <w:sz w:val="20"/>
                <w:szCs w:val="20"/>
                <w:lang w:val="en-GB"/>
              </w:rPr>
            </w:pPr>
            <w:r w:rsidRPr="00A03521">
              <w:rPr>
                <w:b/>
                <w:bCs/>
                <w:sz w:val="20"/>
                <w:szCs w:val="20"/>
                <w:lang w:val="en-GB"/>
              </w:rPr>
              <w:t>Comprehensiveness and Up-to-Date: There are references from 2022 and 2023, as well as references to future trends. This indicates that the manuscript draws on current scientific literature. Additional suggestion (optional):</w:t>
            </w:r>
          </w:p>
          <w:p w14:paraId="24FE0567" w14:textId="284B5C9E" w:rsidR="00F1171E" w:rsidRPr="00A03521" w:rsidRDefault="00C3210A" w:rsidP="00C3210A">
            <w:pPr>
              <w:pStyle w:val="ListParagraph"/>
              <w:ind w:left="36"/>
              <w:rPr>
                <w:b/>
                <w:bCs/>
                <w:sz w:val="20"/>
                <w:szCs w:val="20"/>
                <w:lang w:val="en-GB"/>
              </w:rPr>
            </w:pPr>
            <w:r w:rsidRPr="00A03521">
              <w:rPr>
                <w:b/>
                <w:bCs/>
                <w:sz w:val="20"/>
                <w:szCs w:val="20"/>
                <w:lang w:val="en-GB"/>
              </w:rPr>
              <w:t xml:space="preserve">There is no urgent need to add references, but for future reviews, please ensure that any very recent </w:t>
            </w:r>
            <w:r w:rsidRPr="00A03521">
              <w:rPr>
                <w:b/>
                <w:bCs/>
                <w:sz w:val="20"/>
                <w:szCs w:val="20"/>
                <w:lang w:val="en-GB"/>
              </w:rPr>
              <w:lastRenderedPageBreak/>
              <w:t xml:space="preserve">systematic reviews or meta-analyses (2024 or 2025, if available) on direct comparisons between </w:t>
            </w:r>
            <w:proofErr w:type="spellStart"/>
            <w:r w:rsidRPr="00A03521">
              <w:rPr>
                <w:b/>
                <w:bCs/>
                <w:sz w:val="20"/>
                <w:szCs w:val="20"/>
                <w:lang w:val="en-GB"/>
              </w:rPr>
              <w:t>subpine</w:t>
            </w:r>
            <w:proofErr w:type="spellEnd"/>
            <w:r w:rsidRPr="00A03521">
              <w:rPr>
                <w:b/>
                <w:bCs/>
                <w:sz w:val="20"/>
                <w:szCs w:val="20"/>
                <w:lang w:val="en-GB"/>
              </w:rPr>
              <w:t xml:space="preserve"> PCNL and ECIRS in specific patient groups (e.g., patients with morbid obesity or staghorn calculi) are included.</w:t>
            </w:r>
          </w:p>
        </w:tc>
        <w:tc>
          <w:tcPr>
            <w:tcW w:w="1523" w:type="pct"/>
          </w:tcPr>
          <w:p w14:paraId="40220055" w14:textId="77777777" w:rsidR="00F1171E" w:rsidRPr="00A03521" w:rsidRDefault="00F1171E" w:rsidP="007222C8">
            <w:pPr>
              <w:pStyle w:val="Heading2"/>
              <w:jc w:val="left"/>
              <w:rPr>
                <w:rFonts w:ascii="Times New Roman" w:hAnsi="Times New Roman"/>
                <w:b w:val="0"/>
                <w:lang w:val="en-GB"/>
              </w:rPr>
            </w:pPr>
          </w:p>
        </w:tc>
      </w:tr>
      <w:tr w:rsidR="00F1171E" w:rsidRPr="00A03521" w14:paraId="73CC4A50" w14:textId="77777777" w:rsidTr="007222C8">
        <w:trPr>
          <w:trHeight w:val="386"/>
        </w:trPr>
        <w:tc>
          <w:tcPr>
            <w:tcW w:w="1265" w:type="pct"/>
            <w:noWrap/>
          </w:tcPr>
          <w:p w14:paraId="029CE8D0" w14:textId="77777777" w:rsidR="00F1171E" w:rsidRPr="00A03521" w:rsidRDefault="00F1171E" w:rsidP="007222C8">
            <w:pPr>
              <w:pStyle w:val="Heading2"/>
              <w:jc w:val="left"/>
              <w:rPr>
                <w:rFonts w:ascii="Times New Roman" w:hAnsi="Times New Roman"/>
                <w:b w:val="0"/>
                <w:lang w:val="en-GB"/>
              </w:rPr>
            </w:pPr>
          </w:p>
          <w:p w14:paraId="589C16C7" w14:textId="77777777" w:rsidR="00F1171E" w:rsidRPr="00A03521" w:rsidRDefault="00F1171E" w:rsidP="007222C8">
            <w:pPr>
              <w:pStyle w:val="Heading2"/>
              <w:ind w:left="360"/>
              <w:jc w:val="left"/>
              <w:rPr>
                <w:rFonts w:ascii="Times New Roman" w:hAnsi="Times New Roman"/>
                <w:bCs w:val="0"/>
                <w:lang w:val="en-GB"/>
              </w:rPr>
            </w:pPr>
            <w:r w:rsidRPr="00A03521">
              <w:rPr>
                <w:rFonts w:ascii="Times New Roman" w:hAnsi="Times New Roman"/>
                <w:bCs w:val="0"/>
                <w:lang w:val="en-GB"/>
              </w:rPr>
              <w:t>Is the language/English quality of the article suitable for scholarly communications?</w:t>
            </w:r>
          </w:p>
          <w:p w14:paraId="7722B85E" w14:textId="77777777" w:rsidR="00F1171E" w:rsidRPr="00A03521" w:rsidRDefault="00F1171E" w:rsidP="007222C8">
            <w:pPr>
              <w:rPr>
                <w:sz w:val="20"/>
                <w:szCs w:val="20"/>
                <w:lang w:val="en-GB"/>
              </w:rPr>
            </w:pPr>
          </w:p>
        </w:tc>
        <w:tc>
          <w:tcPr>
            <w:tcW w:w="2212" w:type="pct"/>
          </w:tcPr>
          <w:p w14:paraId="0A07EA75" w14:textId="77777777" w:rsidR="00F1171E" w:rsidRPr="00A03521" w:rsidRDefault="00F1171E" w:rsidP="007222C8">
            <w:pPr>
              <w:rPr>
                <w:sz w:val="20"/>
                <w:szCs w:val="20"/>
                <w:lang w:val="en-GB"/>
              </w:rPr>
            </w:pPr>
          </w:p>
          <w:p w14:paraId="6CBA4B2A" w14:textId="77777777" w:rsidR="00F1171E" w:rsidRPr="00A03521" w:rsidRDefault="00F1171E" w:rsidP="007222C8">
            <w:pPr>
              <w:rPr>
                <w:sz w:val="20"/>
                <w:szCs w:val="20"/>
                <w:lang w:val="en-GB"/>
              </w:rPr>
            </w:pPr>
          </w:p>
          <w:p w14:paraId="533B84D4" w14:textId="77777777" w:rsidR="00C3210A" w:rsidRPr="00A03521" w:rsidRDefault="00C3210A" w:rsidP="00C3210A">
            <w:pPr>
              <w:rPr>
                <w:sz w:val="20"/>
                <w:szCs w:val="20"/>
                <w:lang w:val="en-GB"/>
              </w:rPr>
            </w:pPr>
            <w:r w:rsidRPr="00A03521">
              <w:rPr>
                <w:sz w:val="20"/>
                <w:szCs w:val="20"/>
                <w:lang w:val="en-GB"/>
              </w:rPr>
              <w:t>Yes, the English language quality is suitable.</w:t>
            </w:r>
          </w:p>
          <w:p w14:paraId="2D638B70" w14:textId="77777777" w:rsidR="00C3210A" w:rsidRPr="00A03521" w:rsidRDefault="00C3210A" w:rsidP="00C3210A">
            <w:pPr>
              <w:rPr>
                <w:sz w:val="20"/>
                <w:szCs w:val="20"/>
                <w:lang w:val="en-GB"/>
              </w:rPr>
            </w:pPr>
          </w:p>
          <w:p w14:paraId="41E28118" w14:textId="5EE91A08" w:rsidR="00F1171E" w:rsidRPr="00A03521" w:rsidRDefault="00C3210A" w:rsidP="00C3210A">
            <w:pPr>
              <w:rPr>
                <w:sz w:val="20"/>
                <w:szCs w:val="20"/>
                <w:lang w:val="en-GB"/>
              </w:rPr>
            </w:pPr>
            <w:r w:rsidRPr="00A03521">
              <w:rPr>
                <w:sz w:val="20"/>
                <w:szCs w:val="20"/>
                <w:lang w:val="en-GB"/>
              </w:rPr>
              <w:t xml:space="preserve">The language is clear, concise, and uses appropriate medical and surgical terminology (e.g., nephrolithotomy, ECIRS, ergonomics, </w:t>
            </w:r>
            <w:proofErr w:type="spellStart"/>
            <w:r w:rsidRPr="00A03521">
              <w:rPr>
                <w:sz w:val="20"/>
                <w:szCs w:val="20"/>
                <w:lang w:val="en-GB"/>
              </w:rPr>
              <w:t>Clavien</w:t>
            </w:r>
            <w:proofErr w:type="spellEnd"/>
            <w:r w:rsidRPr="00A03521">
              <w:rPr>
                <w:sz w:val="20"/>
                <w:szCs w:val="20"/>
                <w:lang w:val="en-GB"/>
              </w:rPr>
              <w:t xml:space="preserve"> grading, staghorn calculi). It is suitable for publication in reputable scientific journals.</w:t>
            </w:r>
          </w:p>
          <w:p w14:paraId="297F52DB" w14:textId="77777777" w:rsidR="00F1171E" w:rsidRPr="00A03521" w:rsidRDefault="00F1171E" w:rsidP="007222C8">
            <w:pPr>
              <w:rPr>
                <w:sz w:val="20"/>
                <w:szCs w:val="20"/>
                <w:lang w:val="en-GB"/>
              </w:rPr>
            </w:pPr>
          </w:p>
          <w:p w14:paraId="149A6CEF" w14:textId="77777777" w:rsidR="00F1171E" w:rsidRPr="00A03521" w:rsidRDefault="00F1171E" w:rsidP="007222C8">
            <w:pPr>
              <w:rPr>
                <w:sz w:val="20"/>
                <w:szCs w:val="20"/>
                <w:lang w:val="en-GB"/>
              </w:rPr>
            </w:pPr>
          </w:p>
        </w:tc>
        <w:tc>
          <w:tcPr>
            <w:tcW w:w="1523" w:type="pct"/>
          </w:tcPr>
          <w:p w14:paraId="0351CA58" w14:textId="77777777" w:rsidR="00F1171E" w:rsidRPr="00A03521" w:rsidRDefault="00F1171E" w:rsidP="007222C8">
            <w:pPr>
              <w:rPr>
                <w:sz w:val="20"/>
                <w:szCs w:val="20"/>
                <w:lang w:val="en-GB"/>
              </w:rPr>
            </w:pPr>
          </w:p>
        </w:tc>
      </w:tr>
      <w:tr w:rsidR="00F1171E" w:rsidRPr="00A03521" w14:paraId="20A16C0C" w14:textId="77777777" w:rsidTr="007222C8">
        <w:trPr>
          <w:trHeight w:val="1178"/>
        </w:trPr>
        <w:tc>
          <w:tcPr>
            <w:tcW w:w="1265" w:type="pct"/>
            <w:noWrap/>
          </w:tcPr>
          <w:p w14:paraId="7F4BCFAE" w14:textId="77777777" w:rsidR="00F1171E" w:rsidRPr="00A03521" w:rsidRDefault="00F1171E" w:rsidP="007222C8">
            <w:pPr>
              <w:pStyle w:val="Heading2"/>
              <w:jc w:val="left"/>
              <w:rPr>
                <w:rFonts w:ascii="Times New Roman" w:hAnsi="Times New Roman"/>
                <w:b w:val="0"/>
                <w:bCs w:val="0"/>
                <w:lang w:val="en-GB"/>
              </w:rPr>
            </w:pPr>
            <w:r w:rsidRPr="00A03521">
              <w:rPr>
                <w:rFonts w:ascii="Times New Roman" w:hAnsi="Times New Roman"/>
                <w:bCs w:val="0"/>
                <w:u w:val="single"/>
                <w:lang w:val="en-GB"/>
              </w:rPr>
              <w:t>Optional/General</w:t>
            </w:r>
            <w:r w:rsidRPr="00A03521">
              <w:rPr>
                <w:rFonts w:ascii="Times New Roman" w:hAnsi="Times New Roman"/>
                <w:bCs w:val="0"/>
                <w:lang w:val="en-GB"/>
              </w:rPr>
              <w:t xml:space="preserve"> </w:t>
            </w:r>
            <w:r w:rsidRPr="00A03521">
              <w:rPr>
                <w:rFonts w:ascii="Times New Roman" w:hAnsi="Times New Roman"/>
                <w:b w:val="0"/>
                <w:bCs w:val="0"/>
                <w:lang w:val="en-GB"/>
              </w:rPr>
              <w:t>comments</w:t>
            </w:r>
          </w:p>
          <w:p w14:paraId="1A6B3748" w14:textId="77777777" w:rsidR="00F1171E" w:rsidRPr="00A03521" w:rsidRDefault="00F1171E" w:rsidP="007222C8">
            <w:pPr>
              <w:pStyle w:val="Heading2"/>
              <w:jc w:val="left"/>
              <w:rPr>
                <w:rFonts w:ascii="Times New Roman" w:hAnsi="Times New Roman"/>
                <w:b w:val="0"/>
                <w:lang w:val="en-GB"/>
              </w:rPr>
            </w:pPr>
          </w:p>
        </w:tc>
        <w:tc>
          <w:tcPr>
            <w:tcW w:w="2212" w:type="pct"/>
          </w:tcPr>
          <w:p w14:paraId="1E347C61" w14:textId="77777777" w:rsidR="00F1171E" w:rsidRPr="00A03521" w:rsidRDefault="00F1171E" w:rsidP="007222C8">
            <w:pPr>
              <w:rPr>
                <w:sz w:val="20"/>
                <w:szCs w:val="20"/>
                <w:lang w:val="en-GB"/>
              </w:rPr>
            </w:pPr>
          </w:p>
          <w:p w14:paraId="5E946A0E" w14:textId="759E694D" w:rsidR="00F1171E" w:rsidRPr="00A03521" w:rsidRDefault="00C3210A" w:rsidP="007222C8">
            <w:pPr>
              <w:rPr>
                <w:sz w:val="20"/>
                <w:szCs w:val="20"/>
                <w:lang w:val="en-GB"/>
              </w:rPr>
            </w:pPr>
            <w:r w:rsidRPr="00A03521">
              <w:rPr>
                <w:sz w:val="20"/>
                <w:szCs w:val="20"/>
                <w:lang w:val="en-GB"/>
              </w:rPr>
              <w:t xml:space="preserve">This manuscript is a comprehensive and important review of supine percutaneous nephrolithotomy (PCNL). It confirms that this approach is a safe and effective alternative to the traditional prone position, particularly for high-risk and obese patients. Its strength lies in highlighting the </w:t>
            </w:r>
            <w:proofErr w:type="spellStart"/>
            <w:r w:rsidRPr="00A03521">
              <w:rPr>
                <w:sz w:val="20"/>
                <w:szCs w:val="20"/>
                <w:lang w:val="en-GB"/>
              </w:rPr>
              <w:t>anesthetic</w:t>
            </w:r>
            <w:proofErr w:type="spellEnd"/>
            <w:r w:rsidRPr="00A03521">
              <w:rPr>
                <w:sz w:val="20"/>
                <w:szCs w:val="20"/>
                <w:lang w:val="en-GB"/>
              </w:rPr>
              <w:t xml:space="preserve"> and ergonomic advantages for the surgical team, workflow efficiency through avoiding patient repositioning, and the ability to combine procedures (ECIRS).</w:t>
            </w:r>
          </w:p>
          <w:p w14:paraId="7EB58C99" w14:textId="77777777" w:rsidR="00F1171E" w:rsidRPr="00A03521" w:rsidRDefault="00F1171E" w:rsidP="007222C8">
            <w:pPr>
              <w:rPr>
                <w:sz w:val="20"/>
                <w:szCs w:val="20"/>
                <w:lang w:val="en-GB"/>
              </w:rPr>
            </w:pPr>
          </w:p>
          <w:p w14:paraId="15DFD0E8" w14:textId="77777777" w:rsidR="00F1171E" w:rsidRPr="00A03521" w:rsidRDefault="00F1171E" w:rsidP="007222C8">
            <w:pPr>
              <w:rPr>
                <w:sz w:val="20"/>
                <w:szCs w:val="20"/>
                <w:lang w:val="en-GB"/>
              </w:rPr>
            </w:pPr>
          </w:p>
        </w:tc>
        <w:tc>
          <w:tcPr>
            <w:tcW w:w="1523" w:type="pct"/>
          </w:tcPr>
          <w:p w14:paraId="465E098E" w14:textId="77777777" w:rsidR="00F1171E" w:rsidRPr="00A03521" w:rsidRDefault="00F1171E" w:rsidP="007222C8">
            <w:pPr>
              <w:rPr>
                <w:sz w:val="20"/>
                <w:szCs w:val="20"/>
                <w:lang w:val="en-GB"/>
              </w:rPr>
            </w:pPr>
          </w:p>
        </w:tc>
      </w:tr>
    </w:tbl>
    <w:p w14:paraId="4437A01F" w14:textId="77777777" w:rsidR="00F1171E" w:rsidRPr="00A03521" w:rsidRDefault="00F1171E" w:rsidP="00F1171E">
      <w:pPr>
        <w:pStyle w:val="BodyText"/>
        <w:rPr>
          <w:rFonts w:ascii="Times New Roman" w:hAnsi="Times New Roman"/>
          <w:b/>
          <w:bCs/>
          <w:sz w:val="20"/>
          <w:szCs w:val="20"/>
          <w:u w:val="single"/>
          <w:lang w:val="en-GB"/>
        </w:rPr>
      </w:pPr>
    </w:p>
    <w:p w14:paraId="25069224" w14:textId="77777777" w:rsidR="00F1171E" w:rsidRPr="00A03521" w:rsidRDefault="00F1171E" w:rsidP="00F1171E">
      <w:pPr>
        <w:pStyle w:val="BodyText"/>
        <w:rPr>
          <w:rFonts w:ascii="Times New Roman" w:hAnsi="Times New Roman"/>
          <w:b/>
          <w:bCs/>
          <w:sz w:val="20"/>
          <w:szCs w:val="20"/>
          <w:u w:val="single"/>
          <w:lang w:val="en-GB"/>
        </w:rPr>
      </w:pPr>
    </w:p>
    <w:p w14:paraId="0821307F" w14:textId="77777777" w:rsidR="00F1171E" w:rsidRPr="00A03521"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0352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03521"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A03521">
              <w:rPr>
                <w:rFonts w:ascii="Times New Roman" w:hAnsi="Times New Roman" w:cs="Times New Roman"/>
                <w:b/>
                <w:sz w:val="20"/>
                <w:szCs w:val="20"/>
                <w:highlight w:val="yellow"/>
                <w:u w:val="single"/>
                <w:lang w:val="en-GB"/>
              </w:rPr>
              <w:t>PART  2:</w:t>
            </w:r>
            <w:r w:rsidRPr="00A03521">
              <w:rPr>
                <w:rFonts w:ascii="Times New Roman" w:hAnsi="Times New Roman" w:cs="Times New Roman"/>
                <w:b/>
                <w:sz w:val="20"/>
                <w:szCs w:val="20"/>
                <w:u w:val="single"/>
                <w:lang w:val="en-GB"/>
              </w:rPr>
              <w:t xml:space="preserve"> </w:t>
            </w:r>
          </w:p>
          <w:p w14:paraId="5B767407" w14:textId="77777777" w:rsidR="00F1171E" w:rsidRPr="00A03521"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A0352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03521"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A03521" w:rsidRDefault="00F1171E" w:rsidP="007222C8">
            <w:pPr>
              <w:pStyle w:val="Heading2"/>
              <w:jc w:val="left"/>
              <w:rPr>
                <w:rFonts w:ascii="Times New Roman" w:hAnsi="Times New Roman"/>
                <w:lang w:val="en-GB"/>
              </w:rPr>
            </w:pPr>
            <w:r w:rsidRPr="00A03521">
              <w:rPr>
                <w:rFonts w:ascii="Times New Roman" w:hAnsi="Times New Roman"/>
                <w:lang w:val="en-GB"/>
              </w:rPr>
              <w:t>Reviewer’s comment</w:t>
            </w:r>
          </w:p>
        </w:tc>
        <w:tc>
          <w:tcPr>
            <w:tcW w:w="1342" w:type="pct"/>
          </w:tcPr>
          <w:p w14:paraId="6F48B50B" w14:textId="77777777" w:rsidR="00F1171E" w:rsidRPr="00A03521" w:rsidRDefault="00F1171E" w:rsidP="007222C8">
            <w:pPr>
              <w:pStyle w:val="Heading2"/>
              <w:jc w:val="left"/>
              <w:rPr>
                <w:rFonts w:ascii="Times New Roman" w:hAnsi="Times New Roman"/>
                <w:b w:val="0"/>
                <w:lang w:val="en-GB"/>
              </w:rPr>
            </w:pPr>
            <w:r w:rsidRPr="00A03521">
              <w:rPr>
                <w:rFonts w:ascii="Times New Roman" w:hAnsi="Times New Roman"/>
                <w:lang w:val="en-GB"/>
              </w:rPr>
              <w:t>Author’s comment</w:t>
            </w:r>
            <w:r w:rsidRPr="00A03521">
              <w:rPr>
                <w:rFonts w:ascii="Times New Roman" w:hAnsi="Times New Roman"/>
                <w:b w:val="0"/>
                <w:lang w:val="en-GB"/>
              </w:rPr>
              <w:t xml:space="preserve"> </w:t>
            </w:r>
            <w:r w:rsidRPr="00A03521">
              <w:rPr>
                <w:rFonts w:ascii="Times New Roman" w:hAnsi="Times New Roman"/>
                <w:b w:val="0"/>
                <w:i/>
                <w:lang w:val="en-GB"/>
              </w:rPr>
              <w:t>(if agreed with the reviewer, correct the manuscript and highlight that part in the manuscript. It is mandatory that authors should write his/her feedback here)</w:t>
            </w:r>
          </w:p>
        </w:tc>
      </w:tr>
      <w:tr w:rsidR="00375DFB" w:rsidRPr="00A03521" w14:paraId="3944C8A3" w14:textId="77777777" w:rsidTr="00333039">
        <w:trPr>
          <w:trHeight w:val="697"/>
        </w:trPr>
        <w:tc>
          <w:tcPr>
            <w:tcW w:w="1615" w:type="pct"/>
            <w:noWrap/>
            <w:tcMar>
              <w:top w:w="0" w:type="dxa"/>
              <w:left w:w="108" w:type="dxa"/>
              <w:bottom w:w="0" w:type="dxa"/>
              <w:right w:w="108" w:type="dxa"/>
            </w:tcMar>
            <w:vAlign w:val="center"/>
          </w:tcPr>
          <w:p w14:paraId="314C891C" w14:textId="77777777" w:rsidR="00375DFB" w:rsidRPr="00A03521" w:rsidRDefault="00375DFB" w:rsidP="007222C8">
            <w:pPr>
              <w:pStyle w:val="NormalWeb"/>
              <w:spacing w:before="0" w:beforeAutospacing="0" w:after="0" w:afterAutospacing="0"/>
              <w:rPr>
                <w:rFonts w:ascii="Times New Roman" w:hAnsi="Times New Roman" w:cs="Times New Roman"/>
                <w:b/>
                <w:sz w:val="20"/>
                <w:szCs w:val="20"/>
                <w:lang w:val="en-GB"/>
              </w:rPr>
            </w:pPr>
            <w:r w:rsidRPr="00A03521">
              <w:rPr>
                <w:rFonts w:ascii="Times New Roman" w:hAnsi="Times New Roman" w:cs="Times New Roman"/>
                <w:b/>
                <w:sz w:val="20"/>
                <w:szCs w:val="20"/>
                <w:lang w:val="en-GB"/>
              </w:rPr>
              <w:t xml:space="preserve">Are there ethical issues in this manuscript? </w:t>
            </w:r>
          </w:p>
          <w:p w14:paraId="6034B476" w14:textId="77777777" w:rsidR="00375DFB" w:rsidRPr="00A03521" w:rsidRDefault="00375DFB"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7B654B67" w14:textId="2AD325FE" w:rsidR="00375DFB" w:rsidRPr="00A03521" w:rsidRDefault="00375DFB" w:rsidP="007222C8">
            <w:pPr>
              <w:pStyle w:val="NormalWeb"/>
              <w:spacing w:before="0" w:beforeAutospacing="0" w:after="0" w:afterAutospacing="0"/>
              <w:rPr>
                <w:rFonts w:ascii="Times New Roman" w:hAnsi="Times New Roman" w:cs="Times New Roman"/>
                <w:sz w:val="20"/>
                <w:szCs w:val="20"/>
                <w:lang w:val="en-GB"/>
              </w:rPr>
            </w:pPr>
            <w:r w:rsidRPr="00A03521">
              <w:rPr>
                <w:sz w:val="20"/>
                <w:szCs w:val="20"/>
              </w:rPr>
              <w:t>No, there is nothing like that</w:t>
            </w:r>
          </w:p>
        </w:tc>
        <w:tc>
          <w:tcPr>
            <w:tcW w:w="1342" w:type="pct"/>
            <w:vAlign w:val="center"/>
          </w:tcPr>
          <w:p w14:paraId="780A9F8E" w14:textId="77777777" w:rsidR="00375DFB" w:rsidRPr="00A03521" w:rsidRDefault="00375DFB" w:rsidP="007222C8">
            <w:pPr>
              <w:rPr>
                <w:rFonts w:eastAsia="Arial Unicode MS"/>
                <w:sz w:val="20"/>
                <w:szCs w:val="20"/>
                <w:lang w:val="en-GB"/>
              </w:rPr>
            </w:pPr>
          </w:p>
          <w:p w14:paraId="4A981594" w14:textId="77777777" w:rsidR="00375DFB" w:rsidRPr="00A03521" w:rsidRDefault="00375DFB" w:rsidP="007222C8">
            <w:pPr>
              <w:rPr>
                <w:rFonts w:eastAsia="Arial Unicode MS"/>
                <w:sz w:val="20"/>
                <w:szCs w:val="20"/>
                <w:lang w:val="en-GB"/>
              </w:rPr>
            </w:pPr>
          </w:p>
          <w:p w14:paraId="4780A682" w14:textId="77777777" w:rsidR="00375DFB" w:rsidRPr="00A03521" w:rsidRDefault="00375DFB" w:rsidP="007222C8">
            <w:pPr>
              <w:rPr>
                <w:rFonts w:eastAsia="Arial Unicode MS"/>
                <w:sz w:val="20"/>
                <w:szCs w:val="20"/>
                <w:lang w:val="en-GB"/>
              </w:rPr>
            </w:pPr>
          </w:p>
          <w:p w14:paraId="2D80979A" w14:textId="77777777" w:rsidR="00375DFB" w:rsidRPr="00A03521" w:rsidRDefault="00375DFB" w:rsidP="007222C8">
            <w:pPr>
              <w:pStyle w:val="NormalWeb"/>
              <w:spacing w:before="0" w:beforeAutospacing="0" w:after="0" w:afterAutospacing="0"/>
              <w:rPr>
                <w:rFonts w:ascii="Times New Roman" w:hAnsi="Times New Roman" w:cs="Times New Roman"/>
                <w:sz w:val="20"/>
                <w:szCs w:val="20"/>
                <w:lang w:val="en-GB"/>
              </w:rPr>
            </w:pPr>
          </w:p>
        </w:tc>
      </w:tr>
    </w:tbl>
    <w:p w14:paraId="5571E87B" w14:textId="77777777" w:rsidR="00A03521" w:rsidRPr="002B37C2" w:rsidRDefault="00A03521" w:rsidP="00A03521">
      <w:pPr>
        <w:pStyle w:val="Affiliation"/>
        <w:spacing w:after="0" w:line="240" w:lineRule="auto"/>
        <w:jc w:val="left"/>
        <w:rPr>
          <w:rFonts w:ascii="Arial" w:hAnsi="Arial" w:cs="Arial"/>
          <w:b/>
          <w:u w:val="single"/>
        </w:rPr>
      </w:pPr>
      <w:r w:rsidRPr="002B37C2">
        <w:rPr>
          <w:rFonts w:ascii="Arial" w:hAnsi="Arial" w:cs="Arial"/>
          <w:b/>
          <w:u w:val="single"/>
        </w:rPr>
        <w:t>Reviewer details:</w:t>
      </w:r>
    </w:p>
    <w:p w14:paraId="0DF0A030" w14:textId="77777777" w:rsidR="00A03521" w:rsidRDefault="00A03521" w:rsidP="00A03521">
      <w:r w:rsidRPr="002B37C2">
        <w:rPr>
          <w:rFonts w:ascii="Arial" w:hAnsi="Arial" w:cs="Arial"/>
          <w:b/>
          <w:color w:val="000000"/>
          <w:sz w:val="20"/>
          <w:szCs w:val="20"/>
        </w:rPr>
        <w:t>Bent Alhuda Hussein Neamah, Jabir ibn Hayyan University for Medical and Pharmaceutical Sciences, Iraq</w:t>
      </w:r>
      <w:r w:rsidRPr="002B37C2">
        <w:rPr>
          <w:rFonts w:ascii="Arial" w:hAnsi="Arial" w:cs="Arial"/>
          <w:b/>
          <w:color w:val="000000"/>
          <w:sz w:val="20"/>
          <w:szCs w:val="20"/>
        </w:rPr>
        <w:br/>
      </w:r>
    </w:p>
    <w:p w14:paraId="48DC05A4" w14:textId="77777777" w:rsidR="004C3DF1" w:rsidRPr="00A03521" w:rsidRDefault="004C3DF1">
      <w:pPr>
        <w:rPr>
          <w:rFonts w:ascii="Arial" w:hAnsi="Arial" w:cs="Arial"/>
          <w:b/>
          <w:sz w:val="20"/>
          <w:szCs w:val="20"/>
        </w:rPr>
      </w:pPr>
    </w:p>
    <w:sectPr w:rsidR="004C3DF1" w:rsidRPr="00A0352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65000" w14:textId="77777777" w:rsidR="006A089B" w:rsidRPr="0000007A" w:rsidRDefault="006A089B" w:rsidP="0099583E">
      <w:r>
        <w:separator/>
      </w:r>
    </w:p>
  </w:endnote>
  <w:endnote w:type="continuationSeparator" w:id="0">
    <w:p w14:paraId="6A1408F5" w14:textId="77777777" w:rsidR="006A089B" w:rsidRPr="0000007A" w:rsidRDefault="006A089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8F953" w14:textId="77777777" w:rsidR="006A089B" w:rsidRPr="0000007A" w:rsidRDefault="006A089B" w:rsidP="0099583E">
      <w:r>
        <w:separator/>
      </w:r>
    </w:p>
  </w:footnote>
  <w:footnote w:type="continuationSeparator" w:id="0">
    <w:p w14:paraId="79C34D8F" w14:textId="77777777" w:rsidR="006A089B" w:rsidRPr="0000007A" w:rsidRDefault="006A089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43461025">
    <w:abstractNumId w:val="3"/>
  </w:num>
  <w:num w:numId="2" w16cid:durableId="1166286511">
    <w:abstractNumId w:val="6"/>
  </w:num>
  <w:num w:numId="3" w16cid:durableId="1906338149">
    <w:abstractNumId w:val="5"/>
  </w:num>
  <w:num w:numId="4" w16cid:durableId="1845824538">
    <w:abstractNumId w:val="7"/>
  </w:num>
  <w:num w:numId="5" w16cid:durableId="1791702337">
    <w:abstractNumId w:val="4"/>
  </w:num>
  <w:num w:numId="6" w16cid:durableId="1383410490">
    <w:abstractNumId w:val="0"/>
  </w:num>
  <w:num w:numId="7" w16cid:durableId="699743108">
    <w:abstractNumId w:val="1"/>
  </w:num>
  <w:num w:numId="8" w16cid:durableId="593325221">
    <w:abstractNumId w:val="9"/>
  </w:num>
  <w:num w:numId="9" w16cid:durableId="1867403686">
    <w:abstractNumId w:val="8"/>
  </w:num>
  <w:num w:numId="10" w16cid:durableId="1587300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55DB"/>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29B"/>
    <w:rsid w:val="0018753A"/>
    <w:rsid w:val="00193BE8"/>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5DFB"/>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213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88D"/>
    <w:rsid w:val="006749CF"/>
    <w:rsid w:val="00676845"/>
    <w:rsid w:val="00680547"/>
    <w:rsid w:val="0068243C"/>
    <w:rsid w:val="0068446F"/>
    <w:rsid w:val="00686DCE"/>
    <w:rsid w:val="00690EDE"/>
    <w:rsid w:val="006936D1"/>
    <w:rsid w:val="00696CAD"/>
    <w:rsid w:val="006A089B"/>
    <w:rsid w:val="006A5E0B"/>
    <w:rsid w:val="006A7405"/>
    <w:rsid w:val="006C3797"/>
    <w:rsid w:val="006C46B7"/>
    <w:rsid w:val="006C65E2"/>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4F5F"/>
    <w:rsid w:val="00751520"/>
    <w:rsid w:val="00766889"/>
    <w:rsid w:val="00766A0D"/>
    <w:rsid w:val="00767F8C"/>
    <w:rsid w:val="00780B67"/>
    <w:rsid w:val="00781D07"/>
    <w:rsid w:val="007A62F8"/>
    <w:rsid w:val="007B1099"/>
    <w:rsid w:val="007B54A4"/>
    <w:rsid w:val="007C6CDF"/>
    <w:rsid w:val="007D0246"/>
    <w:rsid w:val="007F5873"/>
    <w:rsid w:val="008036F8"/>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3521"/>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10A"/>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16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E847A80-7D88-4B8F-8C80-A625BC64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6C65E2"/>
    <w:rPr>
      <w:color w:val="605E5C"/>
      <w:shd w:val="clear" w:color="auto" w:fill="E1DFDD"/>
    </w:rPr>
  </w:style>
  <w:style w:type="paragraph" w:customStyle="1" w:styleId="Affiliation">
    <w:name w:val="Affiliation"/>
    <w:basedOn w:val="Normal"/>
    <w:rsid w:val="00A0352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711</Words>
  <Characters>4053</Characters>
  <Application>Microsoft Office Word</Application>
  <DocSecurity>0</DocSecurity>
  <Lines>33</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4755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2025-12-31T09:19:00Z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