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F194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F194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F194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F194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F19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C3874AE" w:rsidR="0000007A" w:rsidRPr="00BF194C" w:rsidRDefault="005A018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F194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BF194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F19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2CA7777" w:rsidR="0000007A" w:rsidRPr="00BF194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50DC7"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6846</w:t>
            </w:r>
          </w:p>
        </w:tc>
      </w:tr>
      <w:tr w:rsidR="0000007A" w:rsidRPr="00BF194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F19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353180D" w:rsidR="0000007A" w:rsidRPr="00BF194C" w:rsidRDefault="002F04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F194C">
              <w:rPr>
                <w:rFonts w:ascii="Arial" w:hAnsi="Arial" w:cs="Arial"/>
                <w:b/>
                <w:sz w:val="20"/>
                <w:szCs w:val="20"/>
                <w:lang w:val="en-GB"/>
              </w:rPr>
              <w:t>Sustainable Renewable Energy Development Strategy</w:t>
            </w:r>
          </w:p>
        </w:tc>
      </w:tr>
      <w:tr w:rsidR="00CF0BBB" w:rsidRPr="00BF194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F194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DA081B" w:rsidR="00CF0BBB" w:rsidRPr="00BF194C" w:rsidRDefault="00150DC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F194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F194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F194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F194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F194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F194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F194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F194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F194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F194C">
              <w:rPr>
                <w:rFonts w:ascii="Arial" w:hAnsi="Arial" w:cs="Arial"/>
                <w:lang w:val="en-GB"/>
              </w:rPr>
              <w:t>Author’s Feedback</w:t>
            </w:r>
            <w:r w:rsidRPr="00BF19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F194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F194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F19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F194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5EB1995" w:rsidR="00F1171E" w:rsidRPr="00BF194C" w:rsidRDefault="007244A9" w:rsidP="007244A9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chapter surveys concepts and tools used to appraise sustainable energy pathways linking sustainability theory (weak vs. strong sustainability), indicator frameworks, and decision-support methods (DEA benchmarking and multi-criteria analysis) with a regional case on the MENA renewable-electricity transition and the Mediterranean Solar Plan. It compiles economic, environmental, and social criteria, and discusses trade-offs in technology choice and policy design. The MENA focus (1990–2015 production trends; solar/wind/hydro mixes) is useful for researchers and policymakers comparing strategies across countries. With clearer methods, updated data, and standardized terminology, the chapter could serve as a practical reference for indicator-based planning of renewable-electricity expansion. </w:t>
            </w:r>
          </w:p>
        </w:tc>
        <w:tc>
          <w:tcPr>
            <w:tcW w:w="1523" w:type="pct"/>
          </w:tcPr>
          <w:p w14:paraId="462A339C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F194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F19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F19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EC9D070" w:rsidR="00F1171E" w:rsidRPr="00BF194C" w:rsidRDefault="007244A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current title is clear but generic. </w:t>
            </w:r>
          </w:p>
        </w:tc>
        <w:tc>
          <w:tcPr>
            <w:tcW w:w="1523" w:type="pct"/>
          </w:tcPr>
          <w:p w14:paraId="405B6701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F194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F19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F194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AB5A3AD" w14:textId="77777777" w:rsidR="00F1171E" w:rsidRPr="00BF194C" w:rsidRDefault="007244A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It states the motivation and mentions cost/technology comparisons, but it should:</w:t>
            </w:r>
          </w:p>
          <w:p w14:paraId="0FB7E83A" w14:textId="2C8A78E3" w:rsidR="007244A9" w:rsidRPr="00BF194C" w:rsidRDefault="007244A9" w:rsidP="007244A9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Add: (</w:t>
            </w:r>
            <w:proofErr w:type="spellStart"/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) the scope/time window (e.g., 1990–2015 for generation trends), (ii) data sources used (e.g., IEA, MEDENER/OME), (iii) the specific methods (DEA and multi-criteria analysis), and (iv) 1–2 headline findings (e.g., hydropower dominance; limited diversification; role of subsidies).</w:t>
            </w:r>
          </w:p>
        </w:tc>
        <w:tc>
          <w:tcPr>
            <w:tcW w:w="1523" w:type="pct"/>
          </w:tcPr>
          <w:p w14:paraId="1D54B730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F194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F194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C1A5739" w14:textId="77777777" w:rsidR="00F1171E" w:rsidRPr="00BF194C" w:rsidRDefault="007244A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Directionally sound, but several issues require correction before it is technically robust.</w:t>
            </w:r>
          </w:p>
          <w:p w14:paraId="15523CFC" w14:textId="77777777" w:rsidR="007244A9" w:rsidRPr="00BF194C" w:rsidRDefault="007244A9" w:rsidP="007244A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Methodological specificity (DEA/MCDA).</w:t>
            </w:r>
          </w:p>
          <w:p w14:paraId="46F680DF" w14:textId="77777777" w:rsidR="007244A9" w:rsidRPr="00BF194C" w:rsidRDefault="007244A9" w:rsidP="007244A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currency and comparability. </w:t>
            </w:r>
          </w:p>
          <w:p w14:paraId="7EA2F85B" w14:textId="77777777" w:rsidR="007244A9" w:rsidRPr="00BF194C" w:rsidRDefault="007244A9" w:rsidP="007244A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Terminology and accuracy.</w:t>
            </w:r>
          </w:p>
          <w:p w14:paraId="65E6DC55" w14:textId="77777777" w:rsidR="007244A9" w:rsidRPr="00BF194C" w:rsidRDefault="007244A9" w:rsidP="007244A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Regional results and causality. </w:t>
            </w:r>
          </w:p>
          <w:p w14:paraId="6F8C7160" w14:textId="77777777" w:rsidR="007244A9" w:rsidRPr="00BF194C" w:rsidRDefault="007244A9" w:rsidP="007244A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Tables/figures and country labels.</w:t>
            </w:r>
          </w:p>
          <w:p w14:paraId="2B5A7721" w14:textId="322AE48E" w:rsidR="007244A9" w:rsidRPr="00BF194C" w:rsidRDefault="007244A9" w:rsidP="007244A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Social vs environmental classification.</w:t>
            </w:r>
          </w:p>
        </w:tc>
        <w:tc>
          <w:tcPr>
            <w:tcW w:w="1523" w:type="pct"/>
          </w:tcPr>
          <w:p w14:paraId="4898F764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F194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F19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F19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A68982" w:rsidR="00F1171E" w:rsidRPr="00BF194C" w:rsidRDefault="007244A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b/>
                <w:bCs/>
                <w:sz w:val="20"/>
                <w:szCs w:val="20"/>
              </w:rPr>
              <w:t>The list combines foundational sources (2000–2014) with some recent items (2022–2025).</w:t>
            </w:r>
          </w:p>
        </w:tc>
        <w:tc>
          <w:tcPr>
            <w:tcW w:w="1523" w:type="pct"/>
          </w:tcPr>
          <w:p w14:paraId="40220055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F194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F19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F194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BBAAAFB" w:rsidR="00F1171E" w:rsidRPr="00BF194C" w:rsidRDefault="007244A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sz w:val="20"/>
                <w:szCs w:val="20"/>
              </w:rPr>
              <w:t xml:space="preserve">There are frequent grammar issues and inconsistent capitalization </w:t>
            </w:r>
          </w:p>
          <w:p w14:paraId="297F52DB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F194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F194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F194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F194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F19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499241F" w:rsidR="00F1171E" w:rsidRPr="00BF194C" w:rsidRDefault="007244A9" w:rsidP="002064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F194C">
              <w:rPr>
                <w:rFonts w:ascii="Arial" w:hAnsi="Arial" w:cs="Arial"/>
                <w:sz w:val="20"/>
                <w:szCs w:val="20"/>
                <w:lang w:val="en-IN"/>
              </w:rPr>
              <w:t xml:space="preserve">Add a </w:t>
            </w:r>
            <w:r w:rsidRPr="00BF194C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methods box</w:t>
            </w:r>
            <w:r w:rsidRPr="00BF194C">
              <w:rPr>
                <w:rFonts w:ascii="Arial" w:hAnsi="Arial" w:cs="Arial"/>
                <w:sz w:val="20"/>
                <w:szCs w:val="20"/>
                <w:lang w:val="en-IN"/>
              </w:rPr>
              <w:t xml:space="preserve"> summarizing data sources, period, indicators</w:t>
            </w:r>
          </w:p>
          <w:p w14:paraId="7EB58C99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F19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B0E4DC5" w14:textId="77777777" w:rsidR="00F1171E" w:rsidRPr="00BF19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F19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F19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C6CE5" w:rsidRPr="00BF194C" w14:paraId="2C801A8B" w14:textId="77777777" w:rsidTr="005C6CE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77A20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F194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F194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08514EA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C6CE5" w:rsidRPr="00BF194C" w14:paraId="7EABDC40" w14:textId="77777777" w:rsidTr="005C6CE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70F8D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71E2" w14:textId="77777777" w:rsidR="005C6CE5" w:rsidRPr="00BF194C" w:rsidRDefault="005C6CE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F19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C6E4" w14:textId="77777777" w:rsidR="005C6CE5" w:rsidRPr="00BF194C" w:rsidRDefault="005C6CE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F19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F194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32FDFDD" w14:textId="77777777" w:rsidR="005C6CE5" w:rsidRPr="00BF194C" w:rsidRDefault="005C6CE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C6CE5" w:rsidRPr="00BF194C" w14:paraId="22DE5F28" w14:textId="77777777" w:rsidTr="005C6CE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D8195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F194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D0EE32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CF6D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F19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F19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F19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2786B93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E495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24FD79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1CE086" w14:textId="77777777" w:rsidR="005C6CE5" w:rsidRPr="00BF194C" w:rsidRDefault="005C6CE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7F53947" w14:textId="77777777" w:rsidR="005C6CE5" w:rsidRPr="00BF194C" w:rsidRDefault="005C6CE5" w:rsidP="005C6CE5">
      <w:pPr>
        <w:rPr>
          <w:rFonts w:ascii="Arial" w:hAnsi="Arial" w:cs="Arial"/>
          <w:sz w:val="20"/>
          <w:szCs w:val="20"/>
        </w:rPr>
      </w:pPr>
    </w:p>
    <w:p w14:paraId="24A7A572" w14:textId="77777777" w:rsidR="00BF194C" w:rsidRPr="00861AA9" w:rsidRDefault="00BF194C" w:rsidP="00BF194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61AA9">
        <w:rPr>
          <w:rFonts w:ascii="Arial" w:hAnsi="Arial" w:cs="Arial"/>
          <w:b/>
          <w:u w:val="single"/>
        </w:rPr>
        <w:t>Reviewer details:</w:t>
      </w:r>
    </w:p>
    <w:p w14:paraId="4E82C14F" w14:textId="77777777" w:rsidR="00BF194C" w:rsidRDefault="00BF194C" w:rsidP="00BF194C">
      <w:r w:rsidRPr="00861AA9">
        <w:rPr>
          <w:rFonts w:ascii="Arial" w:hAnsi="Arial" w:cs="Arial"/>
          <w:b/>
          <w:color w:val="000000"/>
          <w:sz w:val="20"/>
          <w:szCs w:val="20"/>
        </w:rPr>
        <w:t>Chirag Arora, Rajasthan Technical University, India</w:t>
      </w:r>
      <w:r w:rsidRPr="00861AA9">
        <w:rPr>
          <w:rFonts w:ascii="Arial" w:hAnsi="Arial" w:cs="Arial"/>
          <w:b/>
          <w:color w:val="000000"/>
          <w:sz w:val="20"/>
          <w:szCs w:val="20"/>
        </w:rPr>
        <w:br/>
      </w:r>
    </w:p>
    <w:p w14:paraId="01A93937" w14:textId="77777777" w:rsidR="005C6CE5" w:rsidRPr="00BF194C" w:rsidRDefault="005C6CE5" w:rsidP="005C6CE5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5404B032" w14:textId="77777777" w:rsidR="005C6CE5" w:rsidRPr="00BF194C" w:rsidRDefault="005C6CE5" w:rsidP="005C6CE5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BF194C" w:rsidRDefault="004C3DF1" w:rsidP="005C6CE5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BF194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A77C4" w14:textId="77777777" w:rsidR="009D3B45" w:rsidRPr="0000007A" w:rsidRDefault="009D3B45" w:rsidP="0099583E">
      <w:r>
        <w:separator/>
      </w:r>
    </w:p>
  </w:endnote>
  <w:endnote w:type="continuationSeparator" w:id="0">
    <w:p w14:paraId="39C7BAE5" w14:textId="77777777" w:rsidR="009D3B45" w:rsidRPr="0000007A" w:rsidRDefault="009D3B4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07E9" w14:textId="77777777" w:rsidR="009D3B45" w:rsidRPr="0000007A" w:rsidRDefault="009D3B45" w:rsidP="0099583E">
      <w:r>
        <w:separator/>
      </w:r>
    </w:p>
  </w:footnote>
  <w:footnote w:type="continuationSeparator" w:id="0">
    <w:p w14:paraId="443B37AA" w14:textId="77777777" w:rsidR="009D3B45" w:rsidRPr="0000007A" w:rsidRDefault="009D3B4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5460C"/>
    <w:multiLevelType w:val="hybridMultilevel"/>
    <w:tmpl w:val="11A069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623EA"/>
    <w:multiLevelType w:val="hybridMultilevel"/>
    <w:tmpl w:val="E96456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218594">
    <w:abstractNumId w:val="3"/>
  </w:num>
  <w:num w:numId="2" w16cid:durableId="1339233845">
    <w:abstractNumId w:val="7"/>
  </w:num>
  <w:num w:numId="3" w16cid:durableId="426854009">
    <w:abstractNumId w:val="6"/>
  </w:num>
  <w:num w:numId="4" w16cid:durableId="1855420489">
    <w:abstractNumId w:val="8"/>
  </w:num>
  <w:num w:numId="5" w16cid:durableId="1020161346">
    <w:abstractNumId w:val="5"/>
  </w:num>
  <w:num w:numId="6" w16cid:durableId="1285044079">
    <w:abstractNumId w:val="0"/>
  </w:num>
  <w:num w:numId="7" w16cid:durableId="1741369478">
    <w:abstractNumId w:val="1"/>
  </w:num>
  <w:num w:numId="8" w16cid:durableId="328946979">
    <w:abstractNumId w:val="11"/>
  </w:num>
  <w:num w:numId="9" w16cid:durableId="1531339740">
    <w:abstractNumId w:val="10"/>
  </w:num>
  <w:num w:numId="10" w16cid:durableId="1548445676">
    <w:abstractNumId w:val="2"/>
  </w:num>
  <w:num w:numId="11" w16cid:durableId="288979955">
    <w:abstractNumId w:val="9"/>
  </w:num>
  <w:num w:numId="12" w16cid:durableId="1651902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0DC7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08C"/>
    <w:rsid w:val="001F24FF"/>
    <w:rsid w:val="001F2913"/>
    <w:rsid w:val="001F707F"/>
    <w:rsid w:val="002011F3"/>
    <w:rsid w:val="00201B85"/>
    <w:rsid w:val="00204D68"/>
    <w:rsid w:val="0020648E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404"/>
    <w:rsid w:val="002F6935"/>
    <w:rsid w:val="00312559"/>
    <w:rsid w:val="003204B8"/>
    <w:rsid w:val="00326D7D"/>
    <w:rsid w:val="0033018A"/>
    <w:rsid w:val="0033692F"/>
    <w:rsid w:val="003415B4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D6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3BD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189"/>
    <w:rsid w:val="005A4F17"/>
    <w:rsid w:val="005B3509"/>
    <w:rsid w:val="005C25A0"/>
    <w:rsid w:val="005C6CE5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44A9"/>
    <w:rsid w:val="00727FF0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BCF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3B4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2C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94C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DF1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F194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2025-12-09T12:12:00Z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