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452C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452C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F452C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452C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452CE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F452CE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4D0D544" w:rsidR="0000007A" w:rsidRPr="00F452CE" w:rsidRDefault="00C91BA7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F452CE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Medical Science: Updates and Prospects</w:t>
              </w:r>
            </w:hyperlink>
          </w:p>
        </w:tc>
      </w:tr>
      <w:tr w:rsidR="0000007A" w:rsidRPr="00F452C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452C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452CE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6B63452" w:rsidR="0000007A" w:rsidRPr="00F452C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F452C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F452CE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F452C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E95243" w:rsidRPr="00F452CE">
              <w:rPr>
                <w:rFonts w:ascii="Arial" w:hAnsi="Arial" w:cs="Arial"/>
                <w:b/>
                <w:bCs/>
                <w:szCs w:val="28"/>
                <w:lang w:val="en-GB"/>
              </w:rPr>
              <w:t>6961</w:t>
            </w:r>
          </w:p>
        </w:tc>
      </w:tr>
      <w:tr w:rsidR="0000007A" w:rsidRPr="00F452C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452C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452CE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EE6D09F" w:rsidR="0000007A" w:rsidRPr="00F452CE" w:rsidRDefault="00227BF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F452CE">
              <w:rPr>
                <w:rFonts w:ascii="Arial" w:hAnsi="Arial" w:cs="Arial"/>
                <w:b/>
                <w:szCs w:val="28"/>
                <w:lang w:val="en-GB"/>
              </w:rPr>
              <w:t>An updated and comprehensive synthesis of maternal mortality trends in Saudi Arabia</w:t>
            </w:r>
          </w:p>
        </w:tc>
      </w:tr>
      <w:tr w:rsidR="00CF0BBB" w:rsidRPr="00F452C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452C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452CE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9647B93" w:rsidR="00CF0BBB" w:rsidRPr="00F452CE" w:rsidRDefault="00E9524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F452CE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F452CE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F452C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F452C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452C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52C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452C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452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452C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452C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452C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52C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452C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52C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452CE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452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452CE">
              <w:rPr>
                <w:rFonts w:ascii="Arial" w:hAnsi="Arial" w:cs="Arial"/>
                <w:lang w:val="en-GB"/>
              </w:rPr>
              <w:t>Author’s Feedback</w:t>
            </w:r>
            <w:r w:rsidRPr="00F452C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452C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452C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452C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52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452C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CAA402D" w14:textId="77777777" w:rsidR="00384580" w:rsidRPr="00F452CE" w:rsidRDefault="00384580" w:rsidP="0038458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52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is a timely and valuable review with strong policy relevance. The manuscript synthesizes fragmented evidence on maternal mortality in Saudi Arabia and effectively situates findings within system, cultural, and policy contexts.</w:t>
            </w:r>
          </w:p>
          <w:p w14:paraId="0A6CD378" w14:textId="77777777" w:rsidR="00384580" w:rsidRPr="00F452CE" w:rsidRDefault="00384580" w:rsidP="0038458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52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-  Provide </w:t>
            </w:r>
            <w:proofErr w:type="gramStart"/>
            <w:r w:rsidRPr="00F452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 flowchart</w:t>
            </w:r>
            <w:proofErr w:type="gramEnd"/>
            <w:r w:rsidRPr="00F452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explicit inclusion/exclusion criteria and quality approach.</w:t>
            </w:r>
          </w:p>
          <w:p w14:paraId="7DBC9196" w14:textId="0BF96343" w:rsidR="00F1171E" w:rsidRPr="00F452CE" w:rsidRDefault="00384580" w:rsidP="0038458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52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- Try </w:t>
            </w:r>
            <w:proofErr w:type="spellStart"/>
            <w:r w:rsidRPr="00F452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maping</w:t>
            </w:r>
            <w:proofErr w:type="spellEnd"/>
            <w:r w:rsidRPr="00F452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how lifestyle</w:t>
            </w:r>
            <w:r w:rsidRPr="00F452CE">
              <w:rPr>
                <w:rFonts w:ascii="Cambria Math" w:hAnsi="Cambria Math" w:cs="Cambria Math"/>
                <w:b/>
                <w:bCs/>
                <w:sz w:val="20"/>
                <w:szCs w:val="20"/>
                <w:lang w:val="en-GB"/>
              </w:rPr>
              <w:t>‑</w:t>
            </w:r>
            <w:r w:rsidRPr="00F452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related conditions contribute to maternal deaths and propose specific surveillance and clinical interventions.</w:t>
            </w:r>
          </w:p>
        </w:tc>
        <w:tc>
          <w:tcPr>
            <w:tcW w:w="1523" w:type="pct"/>
          </w:tcPr>
          <w:p w14:paraId="462A339C" w14:textId="77777777" w:rsidR="00F1171E" w:rsidRPr="00F452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52C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452C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52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452C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52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452C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A971DB6" w:rsidR="00F1171E" w:rsidRPr="00F452CE" w:rsidRDefault="0038458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52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F452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52CE" w14:paraId="5604762A" w14:textId="77777777" w:rsidTr="00384580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452C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452C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452C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7FB2434" w14:textId="77777777" w:rsidR="00384580" w:rsidRPr="00F452CE" w:rsidRDefault="00384580" w:rsidP="003845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52CE">
              <w:rPr>
                <w:rFonts w:ascii="Arial" w:hAnsi="Arial" w:cs="Arial"/>
                <w:b/>
                <w:bCs/>
                <w:sz w:val="20"/>
                <w:szCs w:val="20"/>
              </w:rPr>
              <w:t>The abstract is informative and shows strong command over the topic, clearly highlighting trends, causes, and policy relevance.</w:t>
            </w:r>
          </w:p>
          <w:p w14:paraId="48A89AFC" w14:textId="77777777" w:rsidR="00384580" w:rsidRPr="00F452CE" w:rsidRDefault="00384580" w:rsidP="003845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52CE">
              <w:rPr>
                <w:rFonts w:ascii="Arial" w:hAnsi="Arial" w:cs="Arial"/>
                <w:b/>
                <w:bCs/>
                <w:sz w:val="20"/>
                <w:szCs w:val="20"/>
              </w:rPr>
              <w:t>- The abstract is longer than typical and include too many details. Shortening and focusing on one clear message per sentence would be appropriate</w:t>
            </w:r>
          </w:p>
          <w:p w14:paraId="074E82F4" w14:textId="77777777" w:rsidR="00384580" w:rsidRPr="00F452CE" w:rsidRDefault="00384580" w:rsidP="003845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52CE">
              <w:rPr>
                <w:rFonts w:ascii="Arial" w:hAnsi="Arial" w:cs="Arial"/>
                <w:b/>
                <w:bCs/>
                <w:sz w:val="20"/>
                <w:szCs w:val="20"/>
              </w:rPr>
              <w:t>- It states the review covers July 2020–December 2023, but later says it includes sources published between 2015 and July 2025- this contradiction should be clarified</w:t>
            </w:r>
          </w:p>
          <w:p w14:paraId="0FB7E83A" w14:textId="6071353A" w:rsidR="00F1171E" w:rsidRPr="00F452CE" w:rsidRDefault="00384580" w:rsidP="003845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52CE">
              <w:rPr>
                <w:rFonts w:ascii="Arial" w:hAnsi="Arial" w:cs="Arial"/>
                <w:b/>
                <w:bCs/>
                <w:sz w:val="20"/>
                <w:szCs w:val="20"/>
              </w:rPr>
              <w:t>- Listing multiple causes repeatedly (hemorrhage, sepsis, eclampsia, etc.) should be grouped conceptually (e.g., “direct obstetric causes”) would be better.</w:t>
            </w:r>
          </w:p>
        </w:tc>
        <w:tc>
          <w:tcPr>
            <w:tcW w:w="1523" w:type="pct"/>
          </w:tcPr>
          <w:p w14:paraId="1D54B730" w14:textId="77777777" w:rsidR="00F1171E" w:rsidRPr="00F452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52CE" w14:paraId="2F579F54" w14:textId="77777777" w:rsidTr="00384580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452C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452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7219E85" w:rsidR="00F1171E" w:rsidRPr="00F452CE" w:rsidRDefault="00D26FC0" w:rsidP="00D26FC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52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Scientifically, the manuscript is broadly correct but some statistics are reported without direct citation checks Numbers like MMR ranges, obesity prevalence, and COVID outcomes </w:t>
            </w:r>
            <w:proofErr w:type="spellStart"/>
            <w:r w:rsidRPr="00F452CE">
              <w:rPr>
                <w:rFonts w:ascii="Arial" w:hAnsi="Arial" w:cs="Arial"/>
                <w:b/>
                <w:bCs/>
                <w:sz w:val="20"/>
                <w:szCs w:val="20"/>
              </w:rPr>
              <w:t>etc</w:t>
            </w:r>
            <w:proofErr w:type="spellEnd"/>
            <w:r w:rsidRPr="00F452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should be consistently cited with exact datasets or study names. The review occasionally repeats the same points across sections and inclines towards emphasizing policy success.</w:t>
            </w:r>
          </w:p>
        </w:tc>
        <w:tc>
          <w:tcPr>
            <w:tcW w:w="1523" w:type="pct"/>
          </w:tcPr>
          <w:p w14:paraId="4898F764" w14:textId="77777777" w:rsidR="00F1171E" w:rsidRPr="00F452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52C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452C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52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452C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452C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1DF9B80" w:rsidR="00F1171E" w:rsidRPr="00F452CE" w:rsidRDefault="00D26FC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52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F452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52C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452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452C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452C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452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452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F452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68A8C24" w:rsidR="00F1171E" w:rsidRPr="00F452CE" w:rsidRDefault="00D26FC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52C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F452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452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452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452C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452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452C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452C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452C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452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452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452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F452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452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452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452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452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452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452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452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452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452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F452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F452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F452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F452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452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452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F452C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452C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452C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452C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452C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452CE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452C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452C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52C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F452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452CE">
              <w:rPr>
                <w:rFonts w:ascii="Arial" w:hAnsi="Arial" w:cs="Arial"/>
                <w:lang w:val="en-GB"/>
              </w:rPr>
              <w:t>Author’s comment</w:t>
            </w:r>
            <w:r w:rsidRPr="00F452C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452C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452CE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452C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52C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452C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452C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452C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452C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452C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452C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2F075E3F" w:rsidR="00F1171E" w:rsidRPr="00F452CE" w:rsidRDefault="00D26FC0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52CE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F452C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452C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452C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452C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B591EBA" w14:textId="77777777" w:rsidR="00F452CE" w:rsidRPr="006171EA" w:rsidRDefault="00F452CE" w:rsidP="00F452CE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6171EA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64FCAA46" w14:textId="77777777" w:rsidR="00F452CE" w:rsidRPr="006171EA" w:rsidRDefault="00F452CE" w:rsidP="00F452CE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6171EA">
        <w:rPr>
          <w:rFonts w:ascii="Arial" w:hAnsi="Arial" w:cs="Arial"/>
          <w:b/>
          <w:color w:val="000000"/>
        </w:rPr>
        <w:t>Arjita Gupta, India</w:t>
      </w:r>
    </w:p>
    <w:p w14:paraId="48DC05A4" w14:textId="77777777" w:rsidR="004C3DF1" w:rsidRPr="00F452CE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F452C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DE5DC" w14:textId="77777777" w:rsidR="005B4494" w:rsidRPr="0000007A" w:rsidRDefault="005B4494" w:rsidP="0099583E">
      <w:r>
        <w:separator/>
      </w:r>
    </w:p>
  </w:endnote>
  <w:endnote w:type="continuationSeparator" w:id="0">
    <w:p w14:paraId="75157D02" w14:textId="77777777" w:rsidR="005B4494" w:rsidRPr="0000007A" w:rsidRDefault="005B449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FFAE2" w14:textId="77777777" w:rsidR="005B4494" w:rsidRPr="0000007A" w:rsidRDefault="005B4494" w:rsidP="0099583E">
      <w:r>
        <w:separator/>
      </w:r>
    </w:p>
  </w:footnote>
  <w:footnote w:type="continuationSeparator" w:id="0">
    <w:p w14:paraId="0E30127D" w14:textId="77777777" w:rsidR="005B4494" w:rsidRPr="0000007A" w:rsidRDefault="005B449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0912303">
    <w:abstractNumId w:val="3"/>
  </w:num>
  <w:num w:numId="2" w16cid:durableId="644508823">
    <w:abstractNumId w:val="6"/>
  </w:num>
  <w:num w:numId="3" w16cid:durableId="667556263">
    <w:abstractNumId w:val="5"/>
  </w:num>
  <w:num w:numId="4" w16cid:durableId="1373992874">
    <w:abstractNumId w:val="7"/>
  </w:num>
  <w:num w:numId="5" w16cid:durableId="1608849085">
    <w:abstractNumId w:val="4"/>
  </w:num>
  <w:num w:numId="6" w16cid:durableId="1723603202">
    <w:abstractNumId w:val="0"/>
  </w:num>
  <w:num w:numId="7" w16cid:durableId="1908369897">
    <w:abstractNumId w:val="1"/>
  </w:num>
  <w:num w:numId="8" w16cid:durableId="2087191538">
    <w:abstractNumId w:val="9"/>
  </w:num>
  <w:num w:numId="9" w16cid:durableId="484591425">
    <w:abstractNumId w:val="8"/>
  </w:num>
  <w:num w:numId="10" w16cid:durableId="786503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24DB"/>
    <w:rsid w:val="000B4EE5"/>
    <w:rsid w:val="000B74A1"/>
    <w:rsid w:val="000B757E"/>
    <w:rsid w:val="000C0837"/>
    <w:rsid w:val="000C0B04"/>
    <w:rsid w:val="000C3B7E"/>
    <w:rsid w:val="000C505C"/>
    <w:rsid w:val="000D13B0"/>
    <w:rsid w:val="000F69DA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7BF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4580"/>
    <w:rsid w:val="00392903"/>
    <w:rsid w:val="00394901"/>
    <w:rsid w:val="003A04E7"/>
    <w:rsid w:val="003A1C45"/>
    <w:rsid w:val="003A4991"/>
    <w:rsid w:val="003A6E1A"/>
    <w:rsid w:val="003B1D0B"/>
    <w:rsid w:val="003B2172"/>
    <w:rsid w:val="003D1BDE"/>
    <w:rsid w:val="003E30FD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23D3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4966"/>
    <w:rsid w:val="00530A2D"/>
    <w:rsid w:val="00531C82"/>
    <w:rsid w:val="00533FC1"/>
    <w:rsid w:val="0054564B"/>
    <w:rsid w:val="00545A13"/>
    <w:rsid w:val="00546343"/>
    <w:rsid w:val="00546E3F"/>
    <w:rsid w:val="00554278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4494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8788B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6169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853B7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4578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3911"/>
    <w:rsid w:val="00C435C6"/>
    <w:rsid w:val="00C635B6"/>
    <w:rsid w:val="00C70DFC"/>
    <w:rsid w:val="00C82466"/>
    <w:rsid w:val="00C84097"/>
    <w:rsid w:val="00C91BA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6FC0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1953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243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52CE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452C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3187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2026-01-01T11:24:00Z</dcterms:created>
  <dcterms:modified xsi:type="dcterms:W3CDTF">2026-01-09T12:38:00Z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