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4F6292B2" w:rsidR="0000007A" w:rsidRPr="00DE7D30" w:rsidRDefault="0026745C" w:rsidP="00054BC4">
            <w:pPr>
              <w:pStyle w:val="NormalWeb"/>
              <w:rPr>
                <w:rFonts w:ascii="Arial" w:hAnsi="Arial" w:cs="Arial"/>
                <w:b/>
                <w:bCs/>
                <w:szCs w:val="28"/>
                <w:u w:val="single"/>
              </w:rPr>
            </w:pPr>
            <w:r w:rsidRPr="0026745C">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2B16B7C"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FC0710">
              <w:t xml:space="preserve"> </w:t>
            </w:r>
            <w:r w:rsidR="00FC0710" w:rsidRPr="00FC0710">
              <w:rPr>
                <w:rFonts w:ascii="Arial" w:hAnsi="Arial" w:cs="Arial"/>
                <w:b/>
                <w:bCs/>
                <w:szCs w:val="28"/>
                <w:lang w:val="en-GB"/>
              </w:rPr>
              <w:t>4104.1</w:t>
            </w:r>
            <w:r w:rsidR="002612AA">
              <w:rPr>
                <w:rFonts w:ascii="Arial" w:hAnsi="Arial" w:cs="Arial"/>
                <w:b/>
                <w:bCs/>
                <w:szCs w:val="28"/>
                <w:lang w:val="en-GB"/>
              </w:rPr>
              <w:t>6</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A98C57E" w:rsidR="0000007A" w:rsidRPr="00DE7D30" w:rsidRDefault="00FD4C1D" w:rsidP="000450FC">
            <w:pPr>
              <w:pStyle w:val="NormalWeb"/>
              <w:spacing w:before="0" w:beforeAutospacing="0" w:after="0" w:afterAutospacing="0"/>
              <w:rPr>
                <w:rFonts w:ascii="Arial" w:hAnsi="Arial" w:cs="Arial"/>
                <w:b/>
                <w:szCs w:val="28"/>
                <w:highlight w:val="yellow"/>
                <w:lang w:val="en-GB"/>
              </w:rPr>
            </w:pPr>
            <w:r w:rsidRPr="00FD4C1D">
              <w:rPr>
                <w:rFonts w:ascii="Arial" w:hAnsi="Arial" w:cs="Arial"/>
                <w:b/>
                <w:szCs w:val="28"/>
                <w:lang w:val="en-GB"/>
              </w:rPr>
              <w:t>DECOLONIZING ENGLISH LANGUAGE PEDAGOGY: TRANSFORMATIVE APPROACHES THROUGH DIGITAL LEARNING PLATFORMS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02CD832A" w:rsidR="00CF0BBB" w:rsidRPr="00DE7D30" w:rsidRDefault="00FC071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4BC54EF4" w14:textId="77777777" w:rsidR="00FC0710" w:rsidRPr="00DE7D30" w:rsidRDefault="00FC0710"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35758C4B" w14:textId="77777777" w:rsidR="00957DF7" w:rsidRPr="00957DF7" w:rsidRDefault="00957DF7" w:rsidP="00957DF7">
            <w:pPr>
              <w:spacing w:before="100" w:beforeAutospacing="1" w:after="100" w:afterAutospacing="1"/>
              <w:rPr>
                <w:lang w:val="en-IN" w:eastAsia="en-IN"/>
              </w:rPr>
            </w:pPr>
            <w:r w:rsidRPr="00957DF7">
              <w:rPr>
                <w:lang w:val="en-IN" w:eastAsia="en-IN"/>
              </w:rPr>
              <w:t xml:space="preserve">This manuscript is significant for the scientific community as it provides a pioneering approach to decolonizing English language pedagogy by integrating traditional Indian art forms and digital platforms like </w:t>
            </w:r>
            <w:proofErr w:type="spellStart"/>
            <w:r w:rsidRPr="00957DF7">
              <w:rPr>
                <w:lang w:val="en-IN" w:eastAsia="en-IN"/>
              </w:rPr>
              <w:t>Natyasutra</w:t>
            </w:r>
            <w:proofErr w:type="spellEnd"/>
            <w:r w:rsidRPr="00957DF7">
              <w:rPr>
                <w:lang w:val="en-IN" w:eastAsia="en-IN"/>
              </w:rPr>
              <w:t>. It highlights a transformative methodology that aligns language learning with indigenous cultural narratives, offering a contextually relevant and stress-free experience for learners. By addressing the limitations of Eurocentric pedagogical paradigms, this research contributes to the development of a post-method pedagogy that is adaptable to socio-cultural realities. Furthermore, it underscores the potential of technology as a tool for preserving and revitalizing traditional practices, bridging the gap between tradition and modern education.</w:t>
            </w:r>
          </w:p>
          <w:p w14:paraId="7DBC9196" w14:textId="77777777" w:rsidR="00F1171E" w:rsidRPr="00900E9B" w:rsidRDefault="00F1171E" w:rsidP="007222C8">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B1D3D73" w14:textId="77777777" w:rsidR="00846242" w:rsidRPr="00846242" w:rsidRDefault="00846242" w:rsidP="00846242">
            <w:pPr>
              <w:spacing w:before="100" w:beforeAutospacing="1" w:after="100" w:afterAutospacing="1"/>
              <w:rPr>
                <w:lang w:val="en-IN" w:eastAsia="en-IN"/>
              </w:rPr>
            </w:pPr>
            <w:r w:rsidRPr="00846242">
              <w:rPr>
                <w:lang w:val="en-IN" w:eastAsia="en-IN"/>
              </w:rPr>
              <w:t xml:space="preserve">Yes, the title </w:t>
            </w:r>
            <w:r w:rsidRPr="00846242">
              <w:rPr>
                <w:i/>
                <w:iCs/>
                <w:lang w:val="en-IN" w:eastAsia="en-IN"/>
              </w:rPr>
              <w:t>"Decolonizing English Language Pedagogy: Transformative Approaches through Digital Learning Platforms"</w:t>
            </w:r>
            <w:r w:rsidRPr="00846242">
              <w:rPr>
                <w:lang w:val="en-IN" w:eastAsia="en-IN"/>
              </w:rPr>
              <w:t xml:space="preserve"> aligns well with the theme of the book </w:t>
            </w:r>
            <w:r w:rsidRPr="00846242">
              <w:rPr>
                <w:i/>
                <w:iCs/>
                <w:lang w:val="en-IN" w:eastAsia="en-IN"/>
              </w:rPr>
              <w:t>Digital Crossroads: Integrating Humanities, Science and Technology</w:t>
            </w:r>
            <w:r w:rsidRPr="00846242">
              <w:rPr>
                <w:lang w:val="en-IN" w:eastAsia="en-IN"/>
              </w:rPr>
              <w:t>. The title captures the integration of humanities (language pedagogy, cultural preservation), science and technology (digital learning platforms), and their transformative impact. It reflects the book's interdisciplinary focus by emphasizing how digital tools can bridge traditional humanities content with modern technological methods, making it highly relevant and suitable.</w:t>
            </w:r>
          </w:p>
          <w:p w14:paraId="794AA9A7" w14:textId="77777777" w:rsidR="00F1171E" w:rsidRPr="00900E9B" w:rsidRDefault="00F1171E" w:rsidP="007222C8">
            <w:pPr>
              <w:ind w:left="360"/>
              <w:rPr>
                <w:b/>
                <w:bCs/>
                <w:sz w:val="20"/>
                <w:szCs w:val="20"/>
                <w:lang w:val="en-GB"/>
              </w:rPr>
            </w:pP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45F40159" w14:textId="77777777" w:rsidR="008A5793" w:rsidRDefault="008A5793" w:rsidP="008A5793">
            <w:pPr>
              <w:pStyle w:val="NormalWeb"/>
            </w:pPr>
            <w:r>
              <w:t>The abstract of the article is comprehensive and effectively outlines the research focus, key concepts, and significance. However, a few adjustments could improve its clarity and emphasis:</w:t>
            </w:r>
          </w:p>
          <w:p w14:paraId="3CE47CB0" w14:textId="77777777" w:rsidR="008A5793" w:rsidRDefault="008A5793" w:rsidP="008A5793">
            <w:pPr>
              <w:pStyle w:val="Heading3"/>
            </w:pPr>
            <w:r>
              <w:t>Suggestions for Improvement:</w:t>
            </w:r>
          </w:p>
          <w:p w14:paraId="24903F1C" w14:textId="77777777" w:rsidR="008A5793" w:rsidRDefault="008A5793" w:rsidP="008A5793">
            <w:pPr>
              <w:pStyle w:val="NormalWeb"/>
              <w:numPr>
                <w:ilvl w:val="0"/>
                <w:numId w:val="11"/>
              </w:numPr>
            </w:pPr>
            <w:r>
              <w:rPr>
                <w:rStyle w:val="Strong"/>
              </w:rPr>
              <w:t>Focus on the Larger Context</w:t>
            </w:r>
            <w:r>
              <w:t>: Add a brief introductory statement that situates the work in the broader context of integrating technology with humanities for educational purposes. This would align better with the book's theme.</w:t>
            </w:r>
          </w:p>
          <w:p w14:paraId="4CD1E079" w14:textId="77777777" w:rsidR="008A5793" w:rsidRDefault="008A5793" w:rsidP="008A5793">
            <w:pPr>
              <w:pStyle w:val="NormalWeb"/>
              <w:numPr>
                <w:ilvl w:val="0"/>
                <w:numId w:val="11"/>
              </w:numPr>
            </w:pPr>
            <w:r>
              <w:rPr>
                <w:rStyle w:val="Strong"/>
              </w:rPr>
              <w:t>Highlight the Theoretical Framework</w:t>
            </w:r>
            <w:r>
              <w:t>: Mention the specific pedagogical theories (e.g., post-method pedagogy, decolonization) used in the study to provide a clearer academic grounding.</w:t>
            </w:r>
          </w:p>
          <w:p w14:paraId="2A9D70DA" w14:textId="77777777" w:rsidR="008A5793" w:rsidRDefault="008A5793" w:rsidP="008A5793">
            <w:pPr>
              <w:pStyle w:val="NormalWeb"/>
              <w:numPr>
                <w:ilvl w:val="0"/>
                <w:numId w:val="11"/>
              </w:numPr>
            </w:pPr>
            <w:r>
              <w:rPr>
                <w:rStyle w:val="Strong"/>
              </w:rPr>
              <w:t>Clarify Impact</w:t>
            </w:r>
            <w:r>
              <w:t>: Expand on the potential implications of this approach for both learners and educators, particularly how it bridges cultural and technological divides.</w:t>
            </w:r>
          </w:p>
          <w:p w14:paraId="74FF2E70" w14:textId="77777777" w:rsidR="008A5793" w:rsidRDefault="008A5793" w:rsidP="008A5793">
            <w:pPr>
              <w:pStyle w:val="NormalWeb"/>
              <w:numPr>
                <w:ilvl w:val="0"/>
                <w:numId w:val="11"/>
              </w:numPr>
            </w:pPr>
            <w:r>
              <w:rPr>
                <w:rStyle w:val="Strong"/>
              </w:rPr>
              <w:t>Avoid Redundancy</w:t>
            </w:r>
            <w:r>
              <w:t>: Phrases like "stress-free learning" and "visual and kinesthetic learning" are repeated. Streamlining these concepts will make room for other details.</w:t>
            </w:r>
          </w:p>
          <w:p w14:paraId="7CA57752" w14:textId="77777777" w:rsidR="008A5793" w:rsidRDefault="008A5793" w:rsidP="008A5793">
            <w:pPr>
              <w:pStyle w:val="NormalWeb"/>
              <w:numPr>
                <w:ilvl w:val="0"/>
                <w:numId w:val="11"/>
              </w:numPr>
            </w:pPr>
            <w:r>
              <w:rPr>
                <w:rStyle w:val="Strong"/>
              </w:rPr>
              <w:t>Include Scope and Limitations</w:t>
            </w:r>
            <w:r>
              <w:t>: Briefly mention the study’s scope (Indian context) and its potential for broader applicability to other post-colonial settings.</w:t>
            </w:r>
          </w:p>
          <w:p w14:paraId="0FB7E83A" w14:textId="77777777" w:rsidR="00F1171E" w:rsidRPr="00900E9B" w:rsidRDefault="00F1171E" w:rsidP="007222C8">
            <w:pPr>
              <w:ind w:left="360"/>
              <w:rPr>
                <w:b/>
                <w:bCs/>
                <w:sz w:val="20"/>
                <w:szCs w:val="20"/>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10836DD6" w14:textId="77777777" w:rsidR="008A5793" w:rsidRDefault="008A5793" w:rsidP="008A5793">
            <w:pPr>
              <w:pStyle w:val="NormalWeb"/>
            </w:pPr>
            <w:r>
              <w:t>The manuscript appears to be scientifically sound and methodologically rigorous based on the provided content. It presents a well-defined research objective, employs a qualitative methodology with critical interpretive analysis, and grounds its findings in established pedagogical theories such as post-method pedagogy and linguistic imperialism. Here are specific observations supporting its scientific correctness:</w:t>
            </w:r>
          </w:p>
          <w:p w14:paraId="1D1967D0" w14:textId="77777777" w:rsidR="008A5793" w:rsidRDefault="008A5793" w:rsidP="008A5793">
            <w:pPr>
              <w:pStyle w:val="Heading3"/>
            </w:pPr>
            <w:r>
              <w:t>Strengths:</w:t>
            </w:r>
          </w:p>
          <w:p w14:paraId="72B04B76" w14:textId="77777777" w:rsidR="008A5793" w:rsidRDefault="008A5793" w:rsidP="008A5793">
            <w:pPr>
              <w:pStyle w:val="NormalWeb"/>
              <w:numPr>
                <w:ilvl w:val="0"/>
                <w:numId w:val="12"/>
              </w:numPr>
            </w:pPr>
            <w:r>
              <w:rPr>
                <w:rStyle w:val="Strong"/>
              </w:rPr>
              <w:t>Theoretical Framework</w:t>
            </w:r>
            <w:r>
              <w:t xml:space="preserve">: The manuscript relies on established theories </w:t>
            </w:r>
            <w:r>
              <w:lastRenderedPageBreak/>
              <w:t xml:space="preserve">like B. </w:t>
            </w:r>
            <w:proofErr w:type="spellStart"/>
            <w:r>
              <w:t>Kumaravadivelu's</w:t>
            </w:r>
            <w:proofErr w:type="spellEnd"/>
            <w:r>
              <w:t xml:space="preserve"> post-method pedagogy and </w:t>
            </w:r>
            <w:proofErr w:type="spellStart"/>
            <w:r>
              <w:t>Canagarajah's</w:t>
            </w:r>
            <w:proofErr w:type="spellEnd"/>
            <w:r>
              <w:t xml:space="preserve"> works on decolonization, which lends credibility and depth to the research.</w:t>
            </w:r>
          </w:p>
          <w:p w14:paraId="704BD0D8" w14:textId="77777777" w:rsidR="008A5793" w:rsidRDefault="008A5793" w:rsidP="008A5793">
            <w:pPr>
              <w:pStyle w:val="NormalWeb"/>
              <w:numPr>
                <w:ilvl w:val="0"/>
                <w:numId w:val="12"/>
              </w:numPr>
            </w:pPr>
            <w:r>
              <w:rPr>
                <w:rStyle w:val="Strong"/>
              </w:rPr>
              <w:t>Contextual Relevance</w:t>
            </w:r>
            <w:r>
              <w:t>: It addresses the specific needs of Indian learners and highlights the failure of Eurocentric methods, making the study contextually and culturally relevant.</w:t>
            </w:r>
          </w:p>
          <w:p w14:paraId="2797ECBA" w14:textId="77777777" w:rsidR="008A5793" w:rsidRDefault="008A5793" w:rsidP="008A5793">
            <w:pPr>
              <w:pStyle w:val="NormalWeb"/>
              <w:numPr>
                <w:ilvl w:val="0"/>
                <w:numId w:val="12"/>
              </w:numPr>
            </w:pPr>
            <w:r>
              <w:rPr>
                <w:rStyle w:val="Strong"/>
              </w:rPr>
              <w:t>Innovative Integration</w:t>
            </w:r>
            <w:r>
              <w:t>: The use of digital platforms and Indian classical art forms as pedagogical tools is innovative and well-articulated, demonstrating a clear link between theory and application.</w:t>
            </w:r>
          </w:p>
          <w:p w14:paraId="0A615199" w14:textId="77777777" w:rsidR="008A5793" w:rsidRDefault="008A5793" w:rsidP="008A5793">
            <w:pPr>
              <w:pStyle w:val="NormalWeb"/>
              <w:numPr>
                <w:ilvl w:val="0"/>
                <w:numId w:val="12"/>
              </w:numPr>
            </w:pPr>
            <w:r>
              <w:rPr>
                <w:rStyle w:val="Strong"/>
              </w:rPr>
              <w:t>Limitations Acknowledged</w:t>
            </w:r>
            <w:r>
              <w:t>: The manuscript acknowledges its limitations, such as the focus on a single platform (</w:t>
            </w:r>
            <w:proofErr w:type="spellStart"/>
            <w:r>
              <w:t>Natyasutra</w:t>
            </w:r>
            <w:proofErr w:type="spellEnd"/>
            <w:r>
              <w:t>) and the need for empirical validation, which strengthens its scientific rigor.</w:t>
            </w:r>
          </w:p>
          <w:p w14:paraId="52840CA2" w14:textId="77777777" w:rsidR="008A5793" w:rsidRDefault="008A5793" w:rsidP="008A5793">
            <w:pPr>
              <w:pStyle w:val="Heading3"/>
            </w:pPr>
            <w:r>
              <w:t>Suggestions for Validation:</w:t>
            </w:r>
          </w:p>
          <w:p w14:paraId="2EE58994" w14:textId="77777777" w:rsidR="008A5793" w:rsidRDefault="008A5793" w:rsidP="008A5793">
            <w:pPr>
              <w:pStyle w:val="NormalWeb"/>
              <w:numPr>
                <w:ilvl w:val="0"/>
                <w:numId w:val="13"/>
              </w:numPr>
            </w:pPr>
            <w:r>
              <w:rPr>
                <w:rStyle w:val="Strong"/>
              </w:rPr>
              <w:t>Empirical Evidence</w:t>
            </w:r>
            <w:r>
              <w:t>: The manuscript relies heavily on theoretical and qualitative analysis. Including or referencing empirical data from classroom implementations would further substantiate its claims.</w:t>
            </w:r>
          </w:p>
          <w:p w14:paraId="36DBCDBB" w14:textId="77777777" w:rsidR="008A5793" w:rsidRDefault="008A5793" w:rsidP="008A5793">
            <w:pPr>
              <w:pStyle w:val="NormalWeb"/>
              <w:numPr>
                <w:ilvl w:val="0"/>
                <w:numId w:val="13"/>
              </w:numPr>
            </w:pPr>
            <w:r>
              <w:rPr>
                <w:rStyle w:val="Strong"/>
              </w:rPr>
              <w:t>Comparative Analysis</w:t>
            </w:r>
            <w:r>
              <w:t>: A comparative evaluation of traditional versus digital methods in English language pedagogy could enhance the argument's robustness.</w:t>
            </w:r>
          </w:p>
          <w:p w14:paraId="2970460B" w14:textId="77777777" w:rsidR="008A5793" w:rsidRDefault="008A5793" w:rsidP="008A5793">
            <w:pPr>
              <w:pStyle w:val="NormalWeb"/>
              <w:numPr>
                <w:ilvl w:val="0"/>
                <w:numId w:val="13"/>
              </w:numPr>
            </w:pPr>
            <w:r>
              <w:rPr>
                <w:rStyle w:val="Strong"/>
              </w:rPr>
              <w:t>Broader Applicability</w:t>
            </w:r>
            <w:r>
              <w:t>: While the manuscript mentions its relevance to other post-colonial settings, providing examples or potential adaptations would make the findings more universally applicable.</w:t>
            </w:r>
          </w:p>
          <w:p w14:paraId="2B5A7721" w14:textId="77777777" w:rsidR="00F1171E" w:rsidRPr="00900E9B" w:rsidRDefault="00F1171E" w:rsidP="007222C8">
            <w:pPr>
              <w:pStyle w:val="ListParagraph"/>
              <w:ind w:left="0"/>
              <w:rPr>
                <w:b/>
                <w:bCs/>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5474C96F" w14:textId="77777777" w:rsidR="008A5793" w:rsidRDefault="008A5793" w:rsidP="008A5793">
            <w:pPr>
              <w:pStyle w:val="NormalWeb"/>
            </w:pPr>
            <w:r>
              <w:t xml:space="preserve">The manuscript provides a solid foundation of references that include seminal works in pedagogy, such as those by </w:t>
            </w:r>
            <w:proofErr w:type="spellStart"/>
            <w:r>
              <w:t>Kumaravadivelu</w:t>
            </w:r>
            <w:proofErr w:type="spellEnd"/>
            <w:r>
              <w:t xml:space="preserve">, </w:t>
            </w:r>
            <w:proofErr w:type="spellStart"/>
            <w:r>
              <w:t>Canagarajah</w:t>
            </w:r>
            <w:proofErr w:type="spellEnd"/>
            <w:r>
              <w:t>, and Richards &amp; Rodgers. However, the references could be updated and expanded to include more recent works on digital pedagogy, decolonization in education, and the integration of technology in language teaching. Here are some observations and suggestions:</w:t>
            </w:r>
          </w:p>
          <w:p w14:paraId="1F60849D" w14:textId="77777777" w:rsidR="008A5793" w:rsidRDefault="008A5793" w:rsidP="008A5793">
            <w:pPr>
              <w:pStyle w:val="Heading3"/>
            </w:pPr>
            <w:r>
              <w:lastRenderedPageBreak/>
              <w:t>Observations:</w:t>
            </w:r>
          </w:p>
          <w:p w14:paraId="54CC33FB" w14:textId="77777777" w:rsidR="008A5793" w:rsidRDefault="008A5793" w:rsidP="008A5793">
            <w:pPr>
              <w:pStyle w:val="NormalWeb"/>
              <w:numPr>
                <w:ilvl w:val="0"/>
                <w:numId w:val="14"/>
              </w:numPr>
            </w:pPr>
            <w:r>
              <w:rPr>
                <w:rStyle w:val="Strong"/>
              </w:rPr>
              <w:t>Sufficient Foundational References</w:t>
            </w:r>
            <w:r>
              <w:t>: The cited works provide a strong theoretical grounding, especially in post-method pedagogy and linguistic imperialism.</w:t>
            </w:r>
          </w:p>
          <w:p w14:paraId="38F2FFD2" w14:textId="77777777" w:rsidR="008A5793" w:rsidRDefault="008A5793" w:rsidP="008A5793">
            <w:pPr>
              <w:pStyle w:val="NormalWeb"/>
              <w:numPr>
                <w:ilvl w:val="0"/>
                <w:numId w:val="14"/>
              </w:numPr>
            </w:pPr>
            <w:r>
              <w:rPr>
                <w:rStyle w:val="Strong"/>
              </w:rPr>
              <w:t>Lack of Recent References</w:t>
            </w:r>
            <w:r>
              <w:t>: Many of the cited works are from the 1990s and early 2000s. While these are seminal, they could be supplemented with more recent studies to reflect current trends and advancements in the field.</w:t>
            </w:r>
          </w:p>
          <w:p w14:paraId="5D4CFABF" w14:textId="77777777" w:rsidR="008A5793" w:rsidRDefault="008A5793" w:rsidP="008A5793">
            <w:pPr>
              <w:pStyle w:val="NormalWeb"/>
              <w:numPr>
                <w:ilvl w:val="0"/>
                <w:numId w:val="14"/>
              </w:numPr>
            </w:pPr>
            <w:r>
              <w:rPr>
                <w:rStyle w:val="Strong"/>
              </w:rPr>
              <w:t>Limited Focus on Digital Pedagogy</w:t>
            </w:r>
            <w:r>
              <w:t>: The manuscript could benefit from additional references specifically addressing digital learning platforms and their impact on language learning.</w:t>
            </w:r>
          </w:p>
          <w:p w14:paraId="6D3C5AF5" w14:textId="77777777" w:rsidR="008A5793" w:rsidRDefault="00A544A9" w:rsidP="008A5793">
            <w:r>
              <w:pict w14:anchorId="514B6529">
                <v:rect id="_x0000_i1025" style="width:0;height:1.5pt" o:hralign="center" o:hrstd="t" o:hr="t" fillcolor="#a0a0a0" stroked="f"/>
              </w:pict>
            </w:r>
          </w:p>
          <w:p w14:paraId="3F7A6696" w14:textId="77777777" w:rsidR="008A5793" w:rsidRDefault="008A5793" w:rsidP="008A5793">
            <w:pPr>
              <w:pStyle w:val="Heading3"/>
            </w:pPr>
            <w:r>
              <w:t>Suggestions for Additional References:</w:t>
            </w:r>
          </w:p>
          <w:p w14:paraId="55BE4C73" w14:textId="77777777" w:rsidR="008A5793" w:rsidRDefault="008A5793" w:rsidP="008A5793">
            <w:pPr>
              <w:pStyle w:val="NormalWeb"/>
              <w:numPr>
                <w:ilvl w:val="0"/>
                <w:numId w:val="15"/>
              </w:numPr>
            </w:pPr>
            <w:r>
              <w:rPr>
                <w:rStyle w:val="Strong"/>
              </w:rPr>
              <w:t>Recent Studies on Digital Pedagogy</w:t>
            </w:r>
            <w:r>
              <w:t>:</w:t>
            </w:r>
          </w:p>
          <w:p w14:paraId="0087CE51" w14:textId="77777777" w:rsidR="008A5793" w:rsidRDefault="008A5793" w:rsidP="008A5793">
            <w:pPr>
              <w:numPr>
                <w:ilvl w:val="1"/>
                <w:numId w:val="15"/>
              </w:numPr>
              <w:spacing w:before="100" w:beforeAutospacing="1" w:after="100" w:afterAutospacing="1"/>
            </w:pPr>
            <w:r>
              <w:t xml:space="preserve">Selwyn, N. (2017). </w:t>
            </w:r>
            <w:r>
              <w:rPr>
                <w:rStyle w:val="Emphasis"/>
              </w:rPr>
              <w:t>Education and Technology: Key Issues and Debates</w:t>
            </w:r>
            <w:r>
              <w:t>. Bloomsbury Academic.</w:t>
            </w:r>
          </w:p>
          <w:p w14:paraId="7502BA89" w14:textId="77777777" w:rsidR="008A5793" w:rsidRDefault="008A5793" w:rsidP="008A5793">
            <w:pPr>
              <w:numPr>
                <w:ilvl w:val="1"/>
                <w:numId w:val="15"/>
              </w:numPr>
              <w:spacing w:before="100" w:beforeAutospacing="1" w:after="100" w:afterAutospacing="1"/>
            </w:pPr>
            <w:r>
              <w:t xml:space="preserve">Bates, A. W. (2019). </w:t>
            </w:r>
            <w:r>
              <w:rPr>
                <w:rStyle w:val="Emphasis"/>
              </w:rPr>
              <w:t>Teaching in a Digital Age: Guidelines for Designing Teaching and Learning</w:t>
            </w:r>
            <w:r>
              <w:t xml:space="preserve">. </w:t>
            </w:r>
            <w:proofErr w:type="spellStart"/>
            <w:r>
              <w:t>BCcampus</w:t>
            </w:r>
            <w:proofErr w:type="spellEnd"/>
            <w:r>
              <w:t>.</w:t>
            </w:r>
          </w:p>
          <w:p w14:paraId="04BB140F" w14:textId="77777777" w:rsidR="008A5793" w:rsidRDefault="008A5793" w:rsidP="008A5793">
            <w:pPr>
              <w:pStyle w:val="NormalWeb"/>
              <w:numPr>
                <w:ilvl w:val="0"/>
                <w:numId w:val="15"/>
              </w:numPr>
            </w:pPr>
            <w:r>
              <w:rPr>
                <w:rStyle w:val="Strong"/>
              </w:rPr>
              <w:t>Decolonization and Education</w:t>
            </w:r>
            <w:r>
              <w:t>:</w:t>
            </w:r>
          </w:p>
          <w:p w14:paraId="17FD2CE3" w14:textId="77777777" w:rsidR="008A5793" w:rsidRDefault="008A5793" w:rsidP="008A5793">
            <w:pPr>
              <w:numPr>
                <w:ilvl w:val="1"/>
                <w:numId w:val="15"/>
              </w:numPr>
              <w:spacing w:before="100" w:beforeAutospacing="1" w:after="100" w:afterAutospacing="1"/>
            </w:pPr>
            <w:r>
              <w:t xml:space="preserve">Andreotti, V. (2016). </w:t>
            </w:r>
            <w:r>
              <w:rPr>
                <w:rStyle w:val="Emphasis"/>
              </w:rPr>
              <w:t>The Political Economy of Global Citizenship Education</w:t>
            </w:r>
            <w:r>
              <w:t>. Routledge.</w:t>
            </w:r>
          </w:p>
          <w:p w14:paraId="66AFC519" w14:textId="77777777" w:rsidR="008A5793" w:rsidRDefault="008A5793" w:rsidP="008A5793">
            <w:pPr>
              <w:numPr>
                <w:ilvl w:val="1"/>
                <w:numId w:val="15"/>
              </w:numPr>
              <w:spacing w:before="100" w:beforeAutospacing="1" w:after="100" w:afterAutospacing="1"/>
            </w:pPr>
            <w:r>
              <w:t xml:space="preserve">Stein, S., &amp; Andreotti, V. (2017). "Higher education and the modern/colonial global imaginary." </w:t>
            </w:r>
            <w:r>
              <w:rPr>
                <w:rStyle w:val="Emphasis"/>
              </w:rPr>
              <w:t>Cultural Studies</w:t>
            </w:r>
            <w:r>
              <w:t>, 31(3), 357-384.</w:t>
            </w:r>
          </w:p>
          <w:p w14:paraId="0029389C" w14:textId="77777777" w:rsidR="008A5793" w:rsidRDefault="008A5793" w:rsidP="008A5793">
            <w:pPr>
              <w:pStyle w:val="NormalWeb"/>
              <w:numPr>
                <w:ilvl w:val="0"/>
                <w:numId w:val="15"/>
              </w:numPr>
            </w:pPr>
            <w:r>
              <w:rPr>
                <w:rStyle w:val="Strong"/>
              </w:rPr>
              <w:t>Integration of Technology in ELT</w:t>
            </w:r>
            <w:r>
              <w:t>:</w:t>
            </w:r>
          </w:p>
          <w:p w14:paraId="486D7B0F" w14:textId="77777777" w:rsidR="008A5793" w:rsidRDefault="008A5793" w:rsidP="008A5793">
            <w:pPr>
              <w:numPr>
                <w:ilvl w:val="1"/>
                <w:numId w:val="15"/>
              </w:numPr>
              <w:spacing w:before="100" w:beforeAutospacing="1" w:after="100" w:afterAutospacing="1"/>
            </w:pPr>
            <w:r>
              <w:t xml:space="preserve">Godwin-Jones, R. (2019). "Emerging Technologies: Digital Tools for Pronunciation and Accent Training." </w:t>
            </w:r>
            <w:r>
              <w:rPr>
                <w:rStyle w:val="Emphasis"/>
              </w:rPr>
              <w:t>Language Learning &amp; Technology</w:t>
            </w:r>
            <w:r>
              <w:t>, 23(3), 4–15.</w:t>
            </w:r>
          </w:p>
          <w:p w14:paraId="2B16C5BE" w14:textId="77777777" w:rsidR="008A5793" w:rsidRDefault="008A5793" w:rsidP="008A5793">
            <w:pPr>
              <w:numPr>
                <w:ilvl w:val="1"/>
                <w:numId w:val="15"/>
              </w:numPr>
              <w:spacing w:before="100" w:beforeAutospacing="1" w:after="100" w:afterAutospacing="1"/>
            </w:pPr>
            <w:proofErr w:type="spellStart"/>
            <w:r>
              <w:t>Hockly</w:t>
            </w:r>
            <w:proofErr w:type="spellEnd"/>
            <w:r>
              <w:t xml:space="preserve">, N., &amp; </w:t>
            </w:r>
            <w:proofErr w:type="spellStart"/>
            <w:r>
              <w:t>Dudeney</w:t>
            </w:r>
            <w:proofErr w:type="spellEnd"/>
            <w:r>
              <w:t xml:space="preserve">, G. (2018). </w:t>
            </w:r>
            <w:r>
              <w:rPr>
                <w:rStyle w:val="Emphasis"/>
              </w:rPr>
              <w:t>Digital Literacies in Language Education</w:t>
            </w:r>
            <w:r>
              <w:t>. Cambridge University Press.</w:t>
            </w:r>
          </w:p>
          <w:p w14:paraId="23ACE357" w14:textId="77777777" w:rsidR="008A5793" w:rsidRDefault="008A5793" w:rsidP="008A5793">
            <w:pPr>
              <w:pStyle w:val="NormalWeb"/>
              <w:numPr>
                <w:ilvl w:val="0"/>
                <w:numId w:val="15"/>
              </w:numPr>
            </w:pPr>
            <w:r>
              <w:rPr>
                <w:rStyle w:val="Strong"/>
              </w:rPr>
              <w:t>Cultural and Multimodal Approaches</w:t>
            </w:r>
            <w:r>
              <w:t>:</w:t>
            </w:r>
          </w:p>
          <w:p w14:paraId="3A9A47DD" w14:textId="77777777" w:rsidR="008A5793" w:rsidRDefault="008A5793" w:rsidP="008A5793">
            <w:pPr>
              <w:numPr>
                <w:ilvl w:val="1"/>
                <w:numId w:val="15"/>
              </w:numPr>
              <w:spacing w:before="100" w:beforeAutospacing="1" w:after="100" w:afterAutospacing="1"/>
            </w:pPr>
            <w:r>
              <w:t xml:space="preserve">Jewitt, C. (2016). </w:t>
            </w:r>
            <w:r>
              <w:rPr>
                <w:rStyle w:val="Emphasis"/>
              </w:rPr>
              <w:t>The Routledge Handbook of Multimodal Analysis</w:t>
            </w:r>
            <w:r>
              <w:t>. Routledge.</w:t>
            </w:r>
          </w:p>
          <w:p w14:paraId="4BC3B929" w14:textId="77777777" w:rsidR="008A5793" w:rsidRDefault="008A5793" w:rsidP="008A5793">
            <w:pPr>
              <w:numPr>
                <w:ilvl w:val="1"/>
                <w:numId w:val="15"/>
              </w:numPr>
              <w:spacing w:before="100" w:beforeAutospacing="1" w:after="100" w:afterAutospacing="1"/>
            </w:pPr>
            <w:r>
              <w:t xml:space="preserve">Kalantzis, M., &amp; Cope, B. (2015). </w:t>
            </w:r>
            <w:r>
              <w:rPr>
                <w:rStyle w:val="Emphasis"/>
              </w:rPr>
              <w:t>Multiliteracies: Literacy Learning and the Design of Social Futures</w:t>
            </w:r>
            <w:r>
              <w:t>. Routledge.</w:t>
            </w:r>
          </w:p>
          <w:p w14:paraId="24FE0567" w14:textId="77777777" w:rsidR="00F1171E" w:rsidRPr="00900E9B" w:rsidRDefault="00F1171E" w:rsidP="007222C8">
            <w:pPr>
              <w:pStyle w:val="ListParagraph"/>
              <w:ind w:left="0"/>
              <w:rPr>
                <w:b/>
                <w:bCs/>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67CB25D6" w14:textId="77777777" w:rsidR="003905EF" w:rsidRDefault="008A5793" w:rsidP="003905EF">
            <w:pPr>
              <w:pStyle w:val="NormalWeb"/>
            </w:pPr>
            <w:r>
              <w:t>The language quality of the manuscript is generally suita</w:t>
            </w:r>
            <w:r w:rsidR="003905EF">
              <w:t xml:space="preserve">ble for scholarly communication but </w:t>
            </w:r>
            <w:proofErr w:type="spellStart"/>
            <w:r w:rsidR="003905EF">
              <w:t>but</w:t>
            </w:r>
            <w:proofErr w:type="spellEnd"/>
            <w:r w:rsidR="003905EF">
              <w:t xml:space="preserve"> there are areas where the clarity, conciseness, and academic tone could be further refined. Below is an assessment and suggestions for improvement:</w:t>
            </w:r>
          </w:p>
          <w:p w14:paraId="77776D10" w14:textId="77777777" w:rsidR="003905EF" w:rsidRDefault="00A544A9" w:rsidP="003905EF">
            <w:r>
              <w:pict w14:anchorId="3F8AEADF">
                <v:rect id="_x0000_i1026" style="width:0;height:1.5pt" o:hralign="center" o:hrstd="t" o:hr="t" fillcolor="#a0a0a0" stroked="f"/>
              </w:pict>
            </w:r>
          </w:p>
          <w:p w14:paraId="3B9FF55A" w14:textId="77777777" w:rsidR="003905EF" w:rsidRDefault="003905EF" w:rsidP="003905EF">
            <w:pPr>
              <w:pStyle w:val="Heading3"/>
            </w:pPr>
            <w:r>
              <w:t>Strengths:</w:t>
            </w:r>
          </w:p>
          <w:p w14:paraId="02943EF6" w14:textId="77777777" w:rsidR="003905EF" w:rsidRDefault="003905EF" w:rsidP="003905EF">
            <w:pPr>
              <w:pStyle w:val="NormalWeb"/>
              <w:numPr>
                <w:ilvl w:val="0"/>
                <w:numId w:val="18"/>
              </w:numPr>
            </w:pPr>
            <w:r>
              <w:rPr>
                <w:rStyle w:val="Strong"/>
              </w:rPr>
              <w:t>Formal Tone</w:t>
            </w:r>
            <w:r>
              <w:t>:</w:t>
            </w:r>
            <w:r>
              <w:br/>
              <w:t>The manuscript employs a formal tone appropriate for academic writing.</w:t>
            </w:r>
          </w:p>
          <w:p w14:paraId="0C401EDD" w14:textId="77777777" w:rsidR="003905EF" w:rsidRDefault="003905EF" w:rsidP="003905EF">
            <w:pPr>
              <w:pStyle w:val="NormalWeb"/>
              <w:numPr>
                <w:ilvl w:val="0"/>
                <w:numId w:val="18"/>
              </w:numPr>
            </w:pPr>
            <w:r>
              <w:rPr>
                <w:rStyle w:val="Strong"/>
              </w:rPr>
              <w:t>Comprehensive Vocabulary</w:t>
            </w:r>
            <w:r>
              <w:t>:</w:t>
            </w:r>
            <w:r>
              <w:br/>
              <w:t>It uses terminology relevant to the field, such as "post-method pedagogy," "decolonization," and "linguistic imperialism."</w:t>
            </w:r>
          </w:p>
          <w:p w14:paraId="12ECC04F" w14:textId="77777777" w:rsidR="003905EF" w:rsidRDefault="003905EF" w:rsidP="003905EF">
            <w:pPr>
              <w:pStyle w:val="NormalWeb"/>
              <w:numPr>
                <w:ilvl w:val="0"/>
                <w:numId w:val="18"/>
              </w:numPr>
            </w:pPr>
            <w:r>
              <w:rPr>
                <w:rStyle w:val="Strong"/>
              </w:rPr>
              <w:t>Structured Flow</w:t>
            </w:r>
            <w:r>
              <w:t>:</w:t>
            </w:r>
            <w:r>
              <w:br/>
              <w:t>The abstract and main sections are logically structured, making it easy to follow the research narrative.</w:t>
            </w:r>
          </w:p>
          <w:p w14:paraId="1F9A4DC4" w14:textId="77777777" w:rsidR="003905EF" w:rsidRDefault="00A544A9" w:rsidP="003905EF">
            <w:r>
              <w:pict w14:anchorId="4F614C78">
                <v:rect id="_x0000_i1027" style="width:0;height:1.5pt" o:hralign="center" o:hrstd="t" o:hr="t" fillcolor="#a0a0a0" stroked="f"/>
              </w:pict>
            </w:r>
          </w:p>
          <w:p w14:paraId="7DA60FD5" w14:textId="77777777" w:rsidR="003905EF" w:rsidRDefault="003905EF" w:rsidP="003905EF">
            <w:pPr>
              <w:pStyle w:val="Heading3"/>
            </w:pPr>
            <w:r>
              <w:t>Areas for Improvement:</w:t>
            </w:r>
          </w:p>
          <w:p w14:paraId="66BA6CB4" w14:textId="77777777" w:rsidR="003905EF" w:rsidRDefault="003905EF" w:rsidP="003905EF">
            <w:pPr>
              <w:pStyle w:val="NormalWeb"/>
              <w:numPr>
                <w:ilvl w:val="0"/>
                <w:numId w:val="19"/>
              </w:numPr>
            </w:pPr>
            <w:r>
              <w:rPr>
                <w:rStyle w:val="Strong"/>
              </w:rPr>
              <w:t>Wordiness</w:t>
            </w:r>
            <w:r>
              <w:t>:</w:t>
            </w:r>
            <w:r>
              <w:br/>
              <w:t>Some sentences are overly long and complex, which can obscure meaning. For example:</w:t>
            </w:r>
          </w:p>
          <w:p w14:paraId="18E92377" w14:textId="77777777" w:rsidR="003905EF" w:rsidRDefault="003905EF" w:rsidP="003905EF">
            <w:pPr>
              <w:numPr>
                <w:ilvl w:val="1"/>
                <w:numId w:val="19"/>
              </w:numPr>
              <w:spacing w:before="100" w:beforeAutospacing="1" w:after="100" w:afterAutospacing="1"/>
            </w:pPr>
            <w:r>
              <w:rPr>
                <w:rStyle w:val="Strong"/>
              </w:rPr>
              <w:t>Original</w:t>
            </w:r>
            <w:r>
              <w:t>: "This digital learning experience re-establishes the tradition of orally transmitting stories through generations."</w:t>
            </w:r>
          </w:p>
          <w:p w14:paraId="43023930" w14:textId="77777777" w:rsidR="003905EF" w:rsidRDefault="003905EF" w:rsidP="003905EF">
            <w:pPr>
              <w:numPr>
                <w:ilvl w:val="1"/>
                <w:numId w:val="19"/>
              </w:numPr>
              <w:spacing w:before="100" w:beforeAutospacing="1" w:after="100" w:afterAutospacing="1"/>
            </w:pPr>
            <w:r>
              <w:rPr>
                <w:rStyle w:val="Strong"/>
              </w:rPr>
              <w:t>Suggested Revision</w:t>
            </w:r>
            <w:r>
              <w:t>: "This learning experience revitalizes the oral tradition of storytelling."</w:t>
            </w:r>
          </w:p>
          <w:p w14:paraId="4758BFAD" w14:textId="77777777" w:rsidR="003905EF" w:rsidRDefault="003905EF" w:rsidP="003905EF">
            <w:pPr>
              <w:pStyle w:val="NormalWeb"/>
              <w:numPr>
                <w:ilvl w:val="0"/>
                <w:numId w:val="19"/>
              </w:numPr>
            </w:pPr>
            <w:r>
              <w:rPr>
                <w:rStyle w:val="Strong"/>
              </w:rPr>
              <w:t>Repetition</w:t>
            </w:r>
            <w:r>
              <w:t>:</w:t>
            </w:r>
            <w:r>
              <w:br/>
              <w:t>Certain phrases (e.g., "stress-free learning") are repeated unnecessarily, which reduces readability. Use synonyms or restructure sentences to avoid redundancy.</w:t>
            </w:r>
          </w:p>
          <w:p w14:paraId="32BE3680" w14:textId="77777777" w:rsidR="003905EF" w:rsidRDefault="003905EF" w:rsidP="003905EF">
            <w:pPr>
              <w:pStyle w:val="NormalWeb"/>
              <w:numPr>
                <w:ilvl w:val="0"/>
                <w:numId w:val="19"/>
              </w:numPr>
            </w:pPr>
            <w:r>
              <w:rPr>
                <w:rStyle w:val="Strong"/>
              </w:rPr>
              <w:t>Clarity</w:t>
            </w:r>
            <w:r>
              <w:t>:</w:t>
            </w:r>
            <w:r>
              <w:br/>
            </w:r>
            <w:r>
              <w:lastRenderedPageBreak/>
              <w:t>Some phrases could be simplified to enhance comprehension.</w:t>
            </w:r>
          </w:p>
          <w:p w14:paraId="463DA07F" w14:textId="77777777" w:rsidR="003905EF" w:rsidRDefault="003905EF" w:rsidP="003905EF">
            <w:pPr>
              <w:numPr>
                <w:ilvl w:val="1"/>
                <w:numId w:val="19"/>
              </w:numPr>
              <w:spacing w:before="100" w:beforeAutospacing="1" w:after="100" w:afterAutospacing="1"/>
            </w:pPr>
            <w:r>
              <w:rPr>
                <w:rStyle w:val="Strong"/>
              </w:rPr>
              <w:t>Example</w:t>
            </w:r>
            <w:r>
              <w:t>: "Technology was always viewed as an antithesis of tradition; however, a healthy blend is the need for the future."</w:t>
            </w:r>
          </w:p>
          <w:p w14:paraId="4542F35D" w14:textId="77777777" w:rsidR="003905EF" w:rsidRDefault="003905EF" w:rsidP="003905EF">
            <w:pPr>
              <w:numPr>
                <w:ilvl w:val="1"/>
                <w:numId w:val="19"/>
              </w:numPr>
              <w:spacing w:before="100" w:beforeAutospacing="1" w:after="100" w:afterAutospacing="1"/>
            </w:pPr>
            <w:r>
              <w:rPr>
                <w:rStyle w:val="Strong"/>
              </w:rPr>
              <w:t>Suggested Revision</w:t>
            </w:r>
            <w:r>
              <w:t>: "Although technology is often seen as opposing tradition, a harmonious integration is essential."</w:t>
            </w:r>
          </w:p>
          <w:p w14:paraId="347F1EB6" w14:textId="77777777" w:rsidR="003905EF" w:rsidRDefault="003905EF" w:rsidP="003905EF">
            <w:pPr>
              <w:pStyle w:val="NormalWeb"/>
              <w:numPr>
                <w:ilvl w:val="0"/>
                <w:numId w:val="19"/>
              </w:numPr>
            </w:pPr>
            <w:r>
              <w:rPr>
                <w:rStyle w:val="Strong"/>
              </w:rPr>
              <w:t>Transitions</w:t>
            </w:r>
            <w:r>
              <w:t>:</w:t>
            </w:r>
            <w:r>
              <w:br/>
              <w:t>Use more explicit transitions to link ideas and ensure smoother flow between sections.</w:t>
            </w:r>
          </w:p>
          <w:p w14:paraId="0BCA037D" w14:textId="77777777" w:rsidR="003905EF" w:rsidRDefault="003905EF" w:rsidP="003905EF">
            <w:pPr>
              <w:pStyle w:val="NormalWeb"/>
              <w:numPr>
                <w:ilvl w:val="0"/>
                <w:numId w:val="19"/>
              </w:numPr>
            </w:pPr>
            <w:r>
              <w:rPr>
                <w:rStyle w:val="Strong"/>
              </w:rPr>
              <w:t>Precision in Expression</w:t>
            </w:r>
            <w:r>
              <w:t>:</w:t>
            </w:r>
            <w:r>
              <w:br/>
              <w:t xml:space="preserve">Certain phrases are vague and could benefit from specificity. For instance: "digital platforms like </w:t>
            </w:r>
            <w:proofErr w:type="spellStart"/>
            <w:r>
              <w:t>Natyasutra</w:t>
            </w:r>
            <w:proofErr w:type="spellEnd"/>
            <w:r>
              <w:t xml:space="preserve"> gain prominence" could specify </w:t>
            </w:r>
            <w:r>
              <w:rPr>
                <w:rStyle w:val="Emphasis"/>
              </w:rPr>
              <w:t>why</w:t>
            </w:r>
            <w:r>
              <w:t xml:space="preserve"> they are prominent (e.g., "due to their innovative use of Indian art in education").</w:t>
            </w:r>
          </w:p>
          <w:p w14:paraId="5FF47DF1" w14:textId="77777777" w:rsidR="003905EF" w:rsidRDefault="00A544A9" w:rsidP="003905EF">
            <w:r>
              <w:pict w14:anchorId="62BF812A">
                <v:rect id="_x0000_i1028" style="width:0;height:1.5pt" o:hralign="center" o:hrstd="t" o:hr="t" fillcolor="#a0a0a0" stroked="f"/>
              </w:pict>
            </w:r>
          </w:p>
          <w:p w14:paraId="419074D8" w14:textId="77777777" w:rsidR="003905EF" w:rsidRDefault="003905EF" w:rsidP="003905EF">
            <w:pPr>
              <w:pStyle w:val="Heading3"/>
            </w:pPr>
            <w:r>
              <w:t>Suggested Edits for Scholarly Tone:</w:t>
            </w:r>
          </w:p>
          <w:p w14:paraId="5DDF6AB1" w14:textId="77777777" w:rsidR="003905EF" w:rsidRDefault="003905EF" w:rsidP="003905EF">
            <w:pPr>
              <w:pStyle w:val="NormalWeb"/>
              <w:numPr>
                <w:ilvl w:val="0"/>
                <w:numId w:val="20"/>
              </w:numPr>
            </w:pPr>
            <w:r>
              <w:t>Replace colloquial expressions with precise academic terms.</w:t>
            </w:r>
          </w:p>
          <w:p w14:paraId="5F0CFB8A" w14:textId="77777777" w:rsidR="003905EF" w:rsidRDefault="003905EF" w:rsidP="003905EF">
            <w:pPr>
              <w:numPr>
                <w:ilvl w:val="1"/>
                <w:numId w:val="20"/>
              </w:numPr>
              <w:spacing w:before="100" w:beforeAutospacing="1" w:after="100" w:afterAutospacing="1"/>
            </w:pPr>
            <w:r>
              <w:rPr>
                <w:rStyle w:val="Strong"/>
              </w:rPr>
              <w:t>Original</w:t>
            </w:r>
            <w:r>
              <w:t>: "There is a need to make ESL classrooms realistic..."</w:t>
            </w:r>
          </w:p>
          <w:p w14:paraId="101AC4E9" w14:textId="77777777" w:rsidR="003905EF" w:rsidRDefault="003905EF" w:rsidP="003905EF">
            <w:pPr>
              <w:numPr>
                <w:ilvl w:val="1"/>
                <w:numId w:val="20"/>
              </w:numPr>
              <w:spacing w:before="100" w:beforeAutospacing="1" w:after="100" w:afterAutospacing="1"/>
            </w:pPr>
            <w:r>
              <w:rPr>
                <w:rStyle w:val="Strong"/>
              </w:rPr>
              <w:t>Revision</w:t>
            </w:r>
            <w:r>
              <w:t>: "ESL classrooms must align with the sociocultural realities of learners."</w:t>
            </w:r>
          </w:p>
          <w:p w14:paraId="6E00E812" w14:textId="77777777" w:rsidR="003905EF" w:rsidRDefault="003905EF" w:rsidP="003905EF">
            <w:pPr>
              <w:pStyle w:val="NormalWeb"/>
              <w:numPr>
                <w:ilvl w:val="0"/>
                <w:numId w:val="20"/>
              </w:numPr>
            </w:pPr>
            <w:r>
              <w:t>Avoid subjective language that may reduce academic neutrality.</w:t>
            </w:r>
          </w:p>
          <w:p w14:paraId="33D3FB0B" w14:textId="77777777" w:rsidR="003905EF" w:rsidRDefault="003905EF" w:rsidP="003905EF">
            <w:pPr>
              <w:numPr>
                <w:ilvl w:val="1"/>
                <w:numId w:val="20"/>
              </w:numPr>
              <w:spacing w:before="100" w:beforeAutospacing="1" w:after="100" w:afterAutospacing="1"/>
            </w:pPr>
            <w:r>
              <w:rPr>
                <w:rStyle w:val="Strong"/>
              </w:rPr>
              <w:t>Original</w:t>
            </w:r>
            <w:r>
              <w:t>: "Technological innovations have always been scorned for replacing culture and traditions..."</w:t>
            </w:r>
          </w:p>
          <w:p w14:paraId="66529C40" w14:textId="77777777" w:rsidR="003905EF" w:rsidRDefault="003905EF" w:rsidP="003905EF">
            <w:pPr>
              <w:numPr>
                <w:ilvl w:val="1"/>
                <w:numId w:val="20"/>
              </w:numPr>
              <w:spacing w:before="100" w:beforeAutospacing="1" w:after="100" w:afterAutospacing="1"/>
            </w:pPr>
            <w:r>
              <w:rPr>
                <w:rStyle w:val="Strong"/>
              </w:rPr>
              <w:t>Revision</w:t>
            </w:r>
            <w:r>
              <w:t>: "Technological innovations are often criticized for their perceived impact on cultural traditions..."</w:t>
            </w:r>
          </w:p>
          <w:p w14:paraId="297F52DB" w14:textId="1A77598C"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lastRenderedPageBreak/>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C13ED8" w:rsidRPr="00340561" w14:paraId="2056B21A" w14:textId="77777777" w:rsidTr="00463BBD">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03C731BC" w14:textId="77777777" w:rsidR="00C13ED8" w:rsidRPr="00340561" w:rsidRDefault="00C13ED8" w:rsidP="00463BBD">
            <w:pPr>
              <w:ind w:left="144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0BCBB11F" w14:textId="77777777" w:rsidR="00C13ED8" w:rsidRPr="00340561" w:rsidRDefault="00C13ED8" w:rsidP="00463BBD">
            <w:pPr>
              <w:rPr>
                <w:rFonts w:ascii="Arial" w:eastAsia="Arial Unicode MS" w:hAnsi="Arial" w:cs="Arial"/>
                <w:b/>
                <w:sz w:val="20"/>
                <w:szCs w:val="20"/>
                <w:u w:val="single"/>
                <w:lang w:val="en-GB"/>
              </w:rPr>
            </w:pPr>
          </w:p>
        </w:tc>
      </w:tr>
      <w:tr w:rsidR="00C13ED8" w:rsidRPr="00340561" w14:paraId="778B78E1" w14:textId="77777777" w:rsidTr="00463BBD">
        <w:tc>
          <w:tcPr>
            <w:tcW w:w="1589" w:type="pct"/>
            <w:shd w:val="clear" w:color="auto" w:fill="auto"/>
            <w:noWrap/>
            <w:tcMar>
              <w:top w:w="0" w:type="dxa"/>
              <w:left w:w="108" w:type="dxa"/>
              <w:bottom w:w="0" w:type="dxa"/>
              <w:right w:w="108" w:type="dxa"/>
            </w:tcMar>
            <w:vAlign w:val="center"/>
          </w:tcPr>
          <w:p w14:paraId="38FB5FFE" w14:textId="77777777" w:rsidR="00C13ED8" w:rsidRPr="00340561" w:rsidRDefault="00C13ED8" w:rsidP="00463BBD">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1E9E773B" w14:textId="77777777" w:rsidR="00C13ED8" w:rsidRPr="00340561" w:rsidRDefault="00C13ED8" w:rsidP="00463BBD">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4050D1C0" w14:textId="77777777" w:rsidR="00C13ED8" w:rsidRPr="00340561" w:rsidRDefault="00C13ED8" w:rsidP="00463BBD">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13ED8" w:rsidRPr="00340561" w14:paraId="77B93E4B" w14:textId="77777777" w:rsidTr="00463BBD">
        <w:trPr>
          <w:trHeight w:val="890"/>
        </w:trPr>
        <w:tc>
          <w:tcPr>
            <w:tcW w:w="1589" w:type="pct"/>
            <w:shd w:val="clear" w:color="auto" w:fill="auto"/>
            <w:noWrap/>
            <w:tcMar>
              <w:top w:w="0" w:type="dxa"/>
              <w:left w:w="108" w:type="dxa"/>
              <w:bottom w:w="0" w:type="dxa"/>
              <w:right w:w="108" w:type="dxa"/>
            </w:tcMar>
            <w:vAlign w:val="center"/>
          </w:tcPr>
          <w:p w14:paraId="3CA9508A" w14:textId="77777777" w:rsidR="00C13ED8" w:rsidRPr="00340561" w:rsidRDefault="00C13ED8" w:rsidP="00463BBD">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4683A143" w14:textId="77777777" w:rsidR="00C13ED8" w:rsidRPr="00340561" w:rsidRDefault="00C13ED8" w:rsidP="00463BBD">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42CE6D18" w14:textId="77777777" w:rsidR="00C13ED8" w:rsidRPr="00340561" w:rsidRDefault="00C13ED8" w:rsidP="00463BBD">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043BFED3" w14:textId="77777777" w:rsidR="00C13ED8" w:rsidRPr="00340561" w:rsidRDefault="00C13ED8" w:rsidP="00463BBD">
            <w:pPr>
              <w:rPr>
                <w:rFonts w:ascii="Arial" w:eastAsia="Arial Unicode MS" w:hAnsi="Arial" w:cs="Arial"/>
                <w:sz w:val="20"/>
                <w:szCs w:val="20"/>
                <w:lang w:val="en-GB"/>
              </w:rPr>
            </w:pPr>
          </w:p>
          <w:p w14:paraId="0CAB949C" w14:textId="77777777" w:rsidR="00C13ED8" w:rsidRPr="00340561" w:rsidRDefault="00C13ED8" w:rsidP="00463BBD">
            <w:pPr>
              <w:rPr>
                <w:rFonts w:ascii="Arial" w:eastAsia="Arial Unicode MS" w:hAnsi="Arial" w:cs="Arial"/>
                <w:sz w:val="20"/>
                <w:szCs w:val="20"/>
                <w:lang w:val="en-GB"/>
              </w:rPr>
            </w:pPr>
          </w:p>
        </w:tc>
        <w:tc>
          <w:tcPr>
            <w:tcW w:w="1664" w:type="pct"/>
            <w:shd w:val="clear" w:color="auto" w:fill="auto"/>
            <w:vAlign w:val="center"/>
          </w:tcPr>
          <w:p w14:paraId="2D70E1BD" w14:textId="77777777" w:rsidR="00C13ED8" w:rsidRPr="00340561" w:rsidRDefault="00C13ED8" w:rsidP="00463BBD">
            <w:pPr>
              <w:rPr>
                <w:rFonts w:ascii="Arial" w:eastAsia="Arial Unicode MS" w:hAnsi="Arial" w:cs="Arial"/>
                <w:sz w:val="20"/>
                <w:szCs w:val="20"/>
                <w:lang w:val="en-GB"/>
              </w:rPr>
            </w:pPr>
          </w:p>
          <w:p w14:paraId="5E90EAEC" w14:textId="77777777" w:rsidR="00C13ED8" w:rsidRPr="00340561" w:rsidRDefault="00C13ED8" w:rsidP="00463BBD">
            <w:pPr>
              <w:rPr>
                <w:rFonts w:ascii="Arial" w:eastAsia="Arial Unicode MS" w:hAnsi="Arial" w:cs="Arial"/>
                <w:sz w:val="20"/>
                <w:szCs w:val="20"/>
                <w:lang w:val="en-GB"/>
              </w:rPr>
            </w:pPr>
          </w:p>
          <w:p w14:paraId="789142B6" w14:textId="77777777" w:rsidR="00C13ED8" w:rsidRPr="00340561" w:rsidRDefault="00C13ED8" w:rsidP="00463BBD">
            <w:pPr>
              <w:rPr>
                <w:rFonts w:ascii="Arial" w:eastAsia="Arial Unicode MS" w:hAnsi="Arial" w:cs="Arial"/>
                <w:sz w:val="20"/>
                <w:szCs w:val="20"/>
                <w:lang w:val="en-GB"/>
              </w:rPr>
            </w:pPr>
          </w:p>
        </w:tc>
      </w:tr>
    </w:tbl>
    <w:p w14:paraId="1897BEF5" w14:textId="77777777" w:rsidR="00C13ED8" w:rsidRDefault="00C13ED8" w:rsidP="00C13ED8"/>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C13ED8" w:rsidRPr="00375011" w14:paraId="3B9BEB9C" w14:textId="77777777" w:rsidTr="00463BBD">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10856C49" w14:textId="77777777" w:rsidR="00C13ED8" w:rsidRPr="00375011" w:rsidRDefault="00C13ED8" w:rsidP="00463BBD"/>
          <w:p w14:paraId="6997F798" w14:textId="77777777" w:rsidR="00C13ED8" w:rsidRPr="00375011" w:rsidRDefault="00C13ED8" w:rsidP="00463BBD"/>
          <w:p w14:paraId="06028293" w14:textId="77777777" w:rsidR="00C13ED8" w:rsidRPr="00375011" w:rsidRDefault="00C13ED8" w:rsidP="00463BBD">
            <w:pPr>
              <w:rPr>
                <w:bCs/>
                <w:u w:val="single"/>
                <w:lang w:val="en-GB"/>
              </w:rPr>
            </w:pPr>
          </w:p>
          <w:p w14:paraId="2957FAA6" w14:textId="77777777" w:rsidR="00C13ED8" w:rsidRPr="00375011" w:rsidRDefault="00C13ED8" w:rsidP="00463BBD">
            <w:pPr>
              <w:rPr>
                <w:bCs/>
                <w:u w:val="single"/>
                <w:lang w:val="en-GB"/>
              </w:rPr>
            </w:pPr>
          </w:p>
          <w:p w14:paraId="2F378374" w14:textId="77777777" w:rsidR="00C13ED8" w:rsidRPr="006D6483" w:rsidRDefault="00C13ED8" w:rsidP="00463BBD">
            <w:pPr>
              <w:rPr>
                <w:b/>
                <w:u w:val="single"/>
                <w:lang w:val="en-GB"/>
              </w:rPr>
            </w:pPr>
            <w:r w:rsidRPr="006D6483">
              <w:rPr>
                <w:b/>
                <w:u w:val="single"/>
                <w:lang w:val="en-GB"/>
              </w:rPr>
              <w:t>Reviewer Details:</w:t>
            </w:r>
          </w:p>
          <w:p w14:paraId="7FBAC81D" w14:textId="77777777" w:rsidR="00C13ED8" w:rsidRPr="00375011" w:rsidRDefault="00C13ED8" w:rsidP="00463BBD">
            <w:pPr>
              <w:rPr>
                <w:bCs/>
                <w:u w:val="single"/>
                <w:lang w:val="en-GB"/>
              </w:rPr>
            </w:pPr>
          </w:p>
        </w:tc>
      </w:tr>
      <w:tr w:rsidR="00C13ED8" w:rsidRPr="00375011" w14:paraId="24C9F801" w14:textId="77777777" w:rsidTr="00463BBD">
        <w:trPr>
          <w:trHeight w:val="233"/>
        </w:trPr>
        <w:tc>
          <w:tcPr>
            <w:tcW w:w="3780" w:type="dxa"/>
            <w:shd w:val="clear" w:color="auto" w:fill="auto"/>
            <w:noWrap/>
            <w:tcMar>
              <w:top w:w="0" w:type="dxa"/>
              <w:left w:w="108" w:type="dxa"/>
              <w:bottom w:w="0" w:type="dxa"/>
              <w:right w:w="108" w:type="dxa"/>
            </w:tcMar>
            <w:vAlign w:val="center"/>
          </w:tcPr>
          <w:p w14:paraId="67AA88E0" w14:textId="77777777" w:rsidR="00C13ED8" w:rsidRPr="00375011" w:rsidRDefault="00C13ED8" w:rsidP="00463BBD">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1451E4FA" w14:textId="63E489A9" w:rsidR="00C13ED8" w:rsidRPr="004509AA" w:rsidRDefault="00A544A9" w:rsidP="00463BBD">
            <w:pPr>
              <w:rPr>
                <w:b/>
                <w:bCs/>
              </w:rPr>
            </w:pPr>
            <w:proofErr w:type="spellStart"/>
            <w:r w:rsidRPr="00A544A9">
              <w:rPr>
                <w:b/>
                <w:bCs/>
              </w:rPr>
              <w:t>Nipunika</w:t>
            </w:r>
            <w:proofErr w:type="spellEnd"/>
            <w:r w:rsidRPr="00A544A9">
              <w:rPr>
                <w:b/>
                <w:bCs/>
              </w:rPr>
              <w:t xml:space="preserve"> Shahid</w:t>
            </w:r>
          </w:p>
        </w:tc>
      </w:tr>
      <w:tr w:rsidR="00C13ED8" w:rsidRPr="00375011" w14:paraId="70644220" w14:textId="77777777" w:rsidTr="00463BBD">
        <w:trPr>
          <w:trHeight w:val="77"/>
        </w:trPr>
        <w:tc>
          <w:tcPr>
            <w:tcW w:w="3780" w:type="dxa"/>
            <w:shd w:val="clear" w:color="auto" w:fill="auto"/>
            <w:noWrap/>
            <w:tcMar>
              <w:top w:w="0" w:type="dxa"/>
              <w:left w:w="108" w:type="dxa"/>
              <w:bottom w:w="0" w:type="dxa"/>
              <w:right w:w="108" w:type="dxa"/>
            </w:tcMar>
            <w:vAlign w:val="center"/>
          </w:tcPr>
          <w:p w14:paraId="733C0624" w14:textId="77777777" w:rsidR="00C13ED8" w:rsidRPr="00375011" w:rsidRDefault="00C13ED8" w:rsidP="00463BBD">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60C493BA" w14:textId="7AB67D06" w:rsidR="00C13ED8" w:rsidRPr="00375011" w:rsidRDefault="00A544A9" w:rsidP="00463BBD">
            <w:pPr>
              <w:rPr>
                <w:b/>
                <w:bCs/>
                <w:lang w:val="en-GB"/>
              </w:rPr>
            </w:pPr>
            <w:r w:rsidRPr="00A544A9">
              <w:rPr>
                <w:b/>
                <w:bCs/>
                <w:lang w:val="en-GB"/>
              </w:rPr>
              <w:t xml:space="preserve">Media </w:t>
            </w:r>
            <w:proofErr w:type="spellStart"/>
            <w:r w:rsidRPr="00A544A9">
              <w:rPr>
                <w:b/>
                <w:bCs/>
                <w:lang w:val="en-GB"/>
              </w:rPr>
              <w:t>Innovatipn</w:t>
            </w:r>
            <w:proofErr w:type="spellEnd"/>
            <w:r w:rsidRPr="00A544A9">
              <w:rPr>
                <w:b/>
                <w:bCs/>
                <w:lang w:val="en-GB"/>
              </w:rPr>
              <w:t xml:space="preserve"> Centre, CHRIST University Delhi NCR, India</w:t>
            </w:r>
            <w:bookmarkStart w:id="1" w:name="_GoBack"/>
            <w:bookmarkEnd w:id="1"/>
          </w:p>
        </w:tc>
      </w:tr>
      <w:bookmarkEnd w:id="0"/>
    </w:tbl>
    <w:p w14:paraId="5149B39E" w14:textId="77777777" w:rsidR="00C13ED8" w:rsidRDefault="00C13ED8" w:rsidP="00C13ED8"/>
    <w:p w14:paraId="48DC05A4" w14:textId="77777777" w:rsidR="004C3DF1" w:rsidRPr="00DE7D30" w:rsidRDefault="004C3DF1" w:rsidP="00C13ED8">
      <w:pPr>
        <w:pStyle w:val="BodyText"/>
        <w:rPr>
          <w:rFonts w:ascii="Arial" w:hAnsi="Arial" w:cs="Arial"/>
          <w:b/>
          <w:sz w:val="20"/>
          <w:szCs w:val="20"/>
          <w:lang w:val="en-GB"/>
        </w:rPr>
      </w:pPr>
    </w:p>
    <w:sectPr w:rsidR="004C3DF1"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BA2DC" w14:textId="77777777" w:rsidR="00271EE0" w:rsidRPr="0000007A" w:rsidRDefault="00271EE0" w:rsidP="0099583E">
      <w:r>
        <w:separator/>
      </w:r>
    </w:p>
  </w:endnote>
  <w:endnote w:type="continuationSeparator" w:id="0">
    <w:p w14:paraId="15129EA7" w14:textId="77777777" w:rsidR="00271EE0" w:rsidRPr="0000007A" w:rsidRDefault="00271EE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5958A" w14:textId="77777777" w:rsidR="00271EE0" w:rsidRPr="0000007A" w:rsidRDefault="00271EE0" w:rsidP="0099583E">
      <w:r>
        <w:separator/>
      </w:r>
    </w:p>
  </w:footnote>
  <w:footnote w:type="continuationSeparator" w:id="0">
    <w:p w14:paraId="7ED94718" w14:textId="77777777" w:rsidR="00271EE0" w:rsidRPr="0000007A" w:rsidRDefault="00271EE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A41A5"/>
    <w:multiLevelType w:val="multilevel"/>
    <w:tmpl w:val="18C2464E"/>
    <w:lvl w:ilvl="0">
      <w:start w:val="1"/>
      <w:numFmt w:val="decimal"/>
      <w:lvlText w:val="%1."/>
      <w:lvlJc w:val="left"/>
      <w:pPr>
        <w:tabs>
          <w:tab w:val="num" w:pos="6030"/>
        </w:tabs>
        <w:ind w:left="6030" w:hanging="360"/>
      </w:pPr>
    </w:lvl>
    <w:lvl w:ilvl="1" w:tentative="1">
      <w:start w:val="1"/>
      <w:numFmt w:val="decimal"/>
      <w:lvlText w:val="%2."/>
      <w:lvlJc w:val="left"/>
      <w:pPr>
        <w:tabs>
          <w:tab w:val="num" w:pos="6750"/>
        </w:tabs>
        <w:ind w:left="6750" w:hanging="360"/>
      </w:pPr>
    </w:lvl>
    <w:lvl w:ilvl="2" w:tentative="1">
      <w:start w:val="1"/>
      <w:numFmt w:val="decimal"/>
      <w:lvlText w:val="%3."/>
      <w:lvlJc w:val="left"/>
      <w:pPr>
        <w:tabs>
          <w:tab w:val="num" w:pos="7470"/>
        </w:tabs>
        <w:ind w:left="7470" w:hanging="360"/>
      </w:pPr>
    </w:lvl>
    <w:lvl w:ilvl="3" w:tentative="1">
      <w:start w:val="1"/>
      <w:numFmt w:val="decimal"/>
      <w:lvlText w:val="%4."/>
      <w:lvlJc w:val="left"/>
      <w:pPr>
        <w:tabs>
          <w:tab w:val="num" w:pos="8190"/>
        </w:tabs>
        <w:ind w:left="8190" w:hanging="360"/>
      </w:pPr>
    </w:lvl>
    <w:lvl w:ilvl="4" w:tentative="1">
      <w:start w:val="1"/>
      <w:numFmt w:val="decimal"/>
      <w:lvlText w:val="%5."/>
      <w:lvlJc w:val="left"/>
      <w:pPr>
        <w:tabs>
          <w:tab w:val="num" w:pos="8910"/>
        </w:tabs>
        <w:ind w:left="8910" w:hanging="360"/>
      </w:pPr>
    </w:lvl>
    <w:lvl w:ilvl="5" w:tentative="1">
      <w:start w:val="1"/>
      <w:numFmt w:val="decimal"/>
      <w:lvlText w:val="%6."/>
      <w:lvlJc w:val="left"/>
      <w:pPr>
        <w:tabs>
          <w:tab w:val="num" w:pos="9630"/>
        </w:tabs>
        <w:ind w:left="9630" w:hanging="360"/>
      </w:pPr>
    </w:lvl>
    <w:lvl w:ilvl="6" w:tentative="1">
      <w:start w:val="1"/>
      <w:numFmt w:val="decimal"/>
      <w:lvlText w:val="%7."/>
      <w:lvlJc w:val="left"/>
      <w:pPr>
        <w:tabs>
          <w:tab w:val="num" w:pos="10350"/>
        </w:tabs>
        <w:ind w:left="10350" w:hanging="360"/>
      </w:pPr>
    </w:lvl>
    <w:lvl w:ilvl="7" w:tentative="1">
      <w:start w:val="1"/>
      <w:numFmt w:val="decimal"/>
      <w:lvlText w:val="%8."/>
      <w:lvlJc w:val="left"/>
      <w:pPr>
        <w:tabs>
          <w:tab w:val="num" w:pos="11070"/>
        </w:tabs>
        <w:ind w:left="11070" w:hanging="360"/>
      </w:pPr>
    </w:lvl>
    <w:lvl w:ilvl="8" w:tentative="1">
      <w:start w:val="1"/>
      <w:numFmt w:val="decimal"/>
      <w:lvlText w:val="%9."/>
      <w:lvlJc w:val="left"/>
      <w:pPr>
        <w:tabs>
          <w:tab w:val="num" w:pos="11790"/>
        </w:tabs>
        <w:ind w:left="11790" w:hanging="360"/>
      </w:pPr>
    </w:lvl>
  </w:abstractNum>
  <w:abstractNum w:abstractNumId="5" w15:restartNumberingAfterBreak="0">
    <w:nsid w:val="26B06715"/>
    <w:multiLevelType w:val="multilevel"/>
    <w:tmpl w:val="DD909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A6781C"/>
    <w:multiLevelType w:val="multilevel"/>
    <w:tmpl w:val="5A5CE864"/>
    <w:lvl w:ilvl="0">
      <w:start w:val="1"/>
      <w:numFmt w:val="decimal"/>
      <w:lvlText w:val="%1."/>
      <w:lvlJc w:val="left"/>
      <w:pPr>
        <w:tabs>
          <w:tab w:val="num" w:pos="5747"/>
        </w:tabs>
        <w:ind w:left="5747" w:hanging="360"/>
      </w:pPr>
    </w:lvl>
    <w:lvl w:ilvl="1" w:tentative="1">
      <w:start w:val="1"/>
      <w:numFmt w:val="decimal"/>
      <w:lvlText w:val="%2."/>
      <w:lvlJc w:val="left"/>
      <w:pPr>
        <w:tabs>
          <w:tab w:val="num" w:pos="6467"/>
        </w:tabs>
        <w:ind w:left="6467" w:hanging="360"/>
      </w:pPr>
    </w:lvl>
    <w:lvl w:ilvl="2" w:tentative="1">
      <w:start w:val="1"/>
      <w:numFmt w:val="decimal"/>
      <w:lvlText w:val="%3."/>
      <w:lvlJc w:val="left"/>
      <w:pPr>
        <w:tabs>
          <w:tab w:val="num" w:pos="7187"/>
        </w:tabs>
        <w:ind w:left="7187" w:hanging="360"/>
      </w:pPr>
    </w:lvl>
    <w:lvl w:ilvl="3" w:tentative="1">
      <w:start w:val="1"/>
      <w:numFmt w:val="decimal"/>
      <w:lvlText w:val="%4."/>
      <w:lvlJc w:val="left"/>
      <w:pPr>
        <w:tabs>
          <w:tab w:val="num" w:pos="7907"/>
        </w:tabs>
        <w:ind w:left="7907" w:hanging="360"/>
      </w:pPr>
    </w:lvl>
    <w:lvl w:ilvl="4" w:tentative="1">
      <w:start w:val="1"/>
      <w:numFmt w:val="decimal"/>
      <w:lvlText w:val="%5."/>
      <w:lvlJc w:val="left"/>
      <w:pPr>
        <w:tabs>
          <w:tab w:val="num" w:pos="8627"/>
        </w:tabs>
        <w:ind w:left="8627" w:hanging="360"/>
      </w:pPr>
    </w:lvl>
    <w:lvl w:ilvl="5" w:tentative="1">
      <w:start w:val="1"/>
      <w:numFmt w:val="decimal"/>
      <w:lvlText w:val="%6."/>
      <w:lvlJc w:val="left"/>
      <w:pPr>
        <w:tabs>
          <w:tab w:val="num" w:pos="9347"/>
        </w:tabs>
        <w:ind w:left="9347" w:hanging="360"/>
      </w:pPr>
    </w:lvl>
    <w:lvl w:ilvl="6" w:tentative="1">
      <w:start w:val="1"/>
      <w:numFmt w:val="decimal"/>
      <w:lvlText w:val="%7."/>
      <w:lvlJc w:val="left"/>
      <w:pPr>
        <w:tabs>
          <w:tab w:val="num" w:pos="10067"/>
        </w:tabs>
        <w:ind w:left="10067" w:hanging="360"/>
      </w:pPr>
    </w:lvl>
    <w:lvl w:ilvl="7" w:tentative="1">
      <w:start w:val="1"/>
      <w:numFmt w:val="decimal"/>
      <w:lvlText w:val="%8."/>
      <w:lvlJc w:val="left"/>
      <w:pPr>
        <w:tabs>
          <w:tab w:val="num" w:pos="10787"/>
        </w:tabs>
        <w:ind w:left="10787" w:hanging="360"/>
      </w:pPr>
    </w:lvl>
    <w:lvl w:ilvl="8" w:tentative="1">
      <w:start w:val="1"/>
      <w:numFmt w:val="decimal"/>
      <w:lvlText w:val="%9."/>
      <w:lvlJc w:val="left"/>
      <w:pPr>
        <w:tabs>
          <w:tab w:val="num" w:pos="11507"/>
        </w:tabs>
        <w:ind w:left="11507" w:hanging="36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03CFB"/>
    <w:multiLevelType w:val="multilevel"/>
    <w:tmpl w:val="4D1A54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86373D"/>
    <w:multiLevelType w:val="multilevel"/>
    <w:tmpl w:val="A96C2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7894761"/>
    <w:multiLevelType w:val="multilevel"/>
    <w:tmpl w:val="0A78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4171F7"/>
    <w:multiLevelType w:val="multilevel"/>
    <w:tmpl w:val="D430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DAA1BDF"/>
    <w:multiLevelType w:val="multilevel"/>
    <w:tmpl w:val="BE241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FCF335C"/>
    <w:multiLevelType w:val="multilevel"/>
    <w:tmpl w:val="37D0A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2E6BFC"/>
    <w:multiLevelType w:val="multilevel"/>
    <w:tmpl w:val="033C5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53B0D"/>
    <w:multiLevelType w:val="multilevel"/>
    <w:tmpl w:val="4B428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212F7F"/>
    <w:multiLevelType w:val="multilevel"/>
    <w:tmpl w:val="C1A08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8"/>
  </w:num>
  <w:num w:numId="4">
    <w:abstractNumId w:val="13"/>
  </w:num>
  <w:num w:numId="5">
    <w:abstractNumId w:val="6"/>
  </w:num>
  <w:num w:numId="6">
    <w:abstractNumId w:val="0"/>
  </w:num>
  <w:num w:numId="7">
    <w:abstractNumId w:val="1"/>
  </w:num>
  <w:num w:numId="8">
    <w:abstractNumId w:val="17"/>
  </w:num>
  <w:num w:numId="9">
    <w:abstractNumId w:val="15"/>
  </w:num>
  <w:num w:numId="10">
    <w:abstractNumId w:val="2"/>
  </w:num>
  <w:num w:numId="11">
    <w:abstractNumId w:val="21"/>
  </w:num>
  <w:num w:numId="12">
    <w:abstractNumId w:val="12"/>
  </w:num>
  <w:num w:numId="13">
    <w:abstractNumId w:val="14"/>
  </w:num>
  <w:num w:numId="14">
    <w:abstractNumId w:val="10"/>
  </w:num>
  <w:num w:numId="15">
    <w:abstractNumId w:val="20"/>
  </w:num>
  <w:num w:numId="16">
    <w:abstractNumId w:val="7"/>
  </w:num>
  <w:num w:numId="17">
    <w:abstractNumId w:val="18"/>
  </w:num>
  <w:num w:numId="18">
    <w:abstractNumId w:val="5"/>
  </w:num>
  <w:num w:numId="19">
    <w:abstractNumId w:val="19"/>
  </w:num>
  <w:num w:numId="20">
    <w:abstractNumId w:val="16"/>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3F7"/>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25C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12AA"/>
    <w:rsid w:val="00262634"/>
    <w:rsid w:val="002650C5"/>
    <w:rsid w:val="0026745C"/>
    <w:rsid w:val="00271EE0"/>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05EF"/>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242"/>
    <w:rsid w:val="00846F1F"/>
    <w:rsid w:val="008470AB"/>
    <w:rsid w:val="0085546D"/>
    <w:rsid w:val="0086369B"/>
    <w:rsid w:val="00867E37"/>
    <w:rsid w:val="0087201B"/>
    <w:rsid w:val="00877F10"/>
    <w:rsid w:val="00882091"/>
    <w:rsid w:val="00893E75"/>
    <w:rsid w:val="00895D0A"/>
    <w:rsid w:val="008A5793"/>
    <w:rsid w:val="008B265C"/>
    <w:rsid w:val="008C2F62"/>
    <w:rsid w:val="008C4B1F"/>
    <w:rsid w:val="008C75AD"/>
    <w:rsid w:val="008D020E"/>
    <w:rsid w:val="008D4239"/>
    <w:rsid w:val="008E5067"/>
    <w:rsid w:val="008F036B"/>
    <w:rsid w:val="008F36E4"/>
    <w:rsid w:val="0090720F"/>
    <w:rsid w:val="009239BA"/>
    <w:rsid w:val="009245E3"/>
    <w:rsid w:val="00942DEE"/>
    <w:rsid w:val="00944F67"/>
    <w:rsid w:val="009553EC"/>
    <w:rsid w:val="00955E45"/>
    <w:rsid w:val="00957DF7"/>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44A9"/>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3ED8"/>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2EC0"/>
    <w:rsid w:val="00DE7D30"/>
    <w:rsid w:val="00E03C32"/>
    <w:rsid w:val="00E3111A"/>
    <w:rsid w:val="00E451EA"/>
    <w:rsid w:val="00E57F4B"/>
    <w:rsid w:val="00E63889"/>
    <w:rsid w:val="00E63A98"/>
    <w:rsid w:val="00E645E9"/>
    <w:rsid w:val="00E65596"/>
    <w:rsid w:val="00E66385"/>
    <w:rsid w:val="00E71C8D"/>
    <w:rsid w:val="00E71CA8"/>
    <w:rsid w:val="00E72360"/>
    <w:rsid w:val="00E72A8E"/>
    <w:rsid w:val="00E9533D"/>
    <w:rsid w:val="00E972A7"/>
    <w:rsid w:val="00EA2839"/>
    <w:rsid w:val="00EB3E91"/>
    <w:rsid w:val="00EB6E15"/>
    <w:rsid w:val="00EC6894"/>
    <w:rsid w:val="00ED6B12"/>
    <w:rsid w:val="00ED7400"/>
    <w:rsid w:val="00EE102F"/>
    <w:rsid w:val="00EF326D"/>
    <w:rsid w:val="00EF53FE"/>
    <w:rsid w:val="00F1171E"/>
    <w:rsid w:val="00F13071"/>
    <w:rsid w:val="00F215A1"/>
    <w:rsid w:val="00F2643C"/>
    <w:rsid w:val="00F32717"/>
    <w:rsid w:val="00F3295A"/>
    <w:rsid w:val="00F32A9A"/>
    <w:rsid w:val="00F33C84"/>
    <w:rsid w:val="00F3669D"/>
    <w:rsid w:val="00F405F8"/>
    <w:rsid w:val="00F4700F"/>
    <w:rsid w:val="00F52B15"/>
    <w:rsid w:val="00F573EA"/>
    <w:rsid w:val="00F57E9D"/>
    <w:rsid w:val="00F73CF2"/>
    <w:rsid w:val="00F80C14"/>
    <w:rsid w:val="00F82919"/>
    <w:rsid w:val="00F96F54"/>
    <w:rsid w:val="00F978B8"/>
    <w:rsid w:val="00FA6528"/>
    <w:rsid w:val="00FB0D50"/>
    <w:rsid w:val="00FB3DE3"/>
    <w:rsid w:val="00FB5BBE"/>
    <w:rsid w:val="00FC0710"/>
    <w:rsid w:val="00FC2E17"/>
    <w:rsid w:val="00FC432A"/>
    <w:rsid w:val="00FC6387"/>
    <w:rsid w:val="00FC6802"/>
    <w:rsid w:val="00FD1C93"/>
    <w:rsid w:val="00FD4C1D"/>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BDDD8"/>
  <w15:docId w15:val="{40281AB0-D85F-4B5B-AB6E-4F03AE84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8A57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Emphasis">
    <w:name w:val="Emphasis"/>
    <w:basedOn w:val="DefaultParagraphFont"/>
    <w:uiPriority w:val="20"/>
    <w:qFormat/>
    <w:rsid w:val="00846242"/>
    <w:rPr>
      <w:i/>
      <w:iCs/>
    </w:rPr>
  </w:style>
  <w:style w:type="character" w:customStyle="1" w:styleId="Heading3Char">
    <w:name w:val="Heading 3 Char"/>
    <w:basedOn w:val="DefaultParagraphFont"/>
    <w:link w:val="Heading3"/>
    <w:uiPriority w:val="9"/>
    <w:semiHidden/>
    <w:rsid w:val="008A5793"/>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8A5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23215">
      <w:bodyDiv w:val="1"/>
      <w:marLeft w:val="0"/>
      <w:marRight w:val="0"/>
      <w:marTop w:val="0"/>
      <w:marBottom w:val="0"/>
      <w:divBdr>
        <w:top w:val="none" w:sz="0" w:space="0" w:color="auto"/>
        <w:left w:val="none" w:sz="0" w:space="0" w:color="auto"/>
        <w:bottom w:val="none" w:sz="0" w:space="0" w:color="auto"/>
        <w:right w:val="none" w:sz="0" w:space="0" w:color="auto"/>
      </w:divBdr>
      <w:divsChild>
        <w:div w:id="2099404683">
          <w:marLeft w:val="0"/>
          <w:marRight w:val="0"/>
          <w:marTop w:val="0"/>
          <w:marBottom w:val="0"/>
          <w:divBdr>
            <w:top w:val="none" w:sz="0" w:space="0" w:color="auto"/>
            <w:left w:val="none" w:sz="0" w:space="0" w:color="auto"/>
            <w:bottom w:val="none" w:sz="0" w:space="0" w:color="auto"/>
            <w:right w:val="none" w:sz="0" w:space="0" w:color="auto"/>
          </w:divBdr>
          <w:divsChild>
            <w:div w:id="2026515045">
              <w:marLeft w:val="0"/>
              <w:marRight w:val="0"/>
              <w:marTop w:val="0"/>
              <w:marBottom w:val="0"/>
              <w:divBdr>
                <w:top w:val="none" w:sz="0" w:space="0" w:color="auto"/>
                <w:left w:val="none" w:sz="0" w:space="0" w:color="auto"/>
                <w:bottom w:val="none" w:sz="0" w:space="0" w:color="auto"/>
                <w:right w:val="none" w:sz="0" w:space="0" w:color="auto"/>
              </w:divBdr>
              <w:divsChild>
                <w:div w:id="1488547187">
                  <w:marLeft w:val="0"/>
                  <w:marRight w:val="0"/>
                  <w:marTop w:val="0"/>
                  <w:marBottom w:val="0"/>
                  <w:divBdr>
                    <w:top w:val="none" w:sz="0" w:space="0" w:color="auto"/>
                    <w:left w:val="none" w:sz="0" w:space="0" w:color="auto"/>
                    <w:bottom w:val="none" w:sz="0" w:space="0" w:color="auto"/>
                    <w:right w:val="none" w:sz="0" w:space="0" w:color="auto"/>
                  </w:divBdr>
                  <w:divsChild>
                    <w:div w:id="377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2545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9801931">
      <w:bodyDiv w:val="1"/>
      <w:marLeft w:val="0"/>
      <w:marRight w:val="0"/>
      <w:marTop w:val="0"/>
      <w:marBottom w:val="0"/>
      <w:divBdr>
        <w:top w:val="none" w:sz="0" w:space="0" w:color="auto"/>
        <w:left w:val="none" w:sz="0" w:space="0" w:color="auto"/>
        <w:bottom w:val="none" w:sz="0" w:space="0" w:color="auto"/>
        <w:right w:val="none" w:sz="0" w:space="0" w:color="auto"/>
      </w:divBdr>
    </w:div>
    <w:div w:id="644049024">
      <w:bodyDiv w:val="1"/>
      <w:marLeft w:val="0"/>
      <w:marRight w:val="0"/>
      <w:marTop w:val="0"/>
      <w:marBottom w:val="0"/>
      <w:divBdr>
        <w:top w:val="none" w:sz="0" w:space="0" w:color="auto"/>
        <w:left w:val="none" w:sz="0" w:space="0" w:color="auto"/>
        <w:bottom w:val="none" w:sz="0" w:space="0" w:color="auto"/>
        <w:right w:val="none" w:sz="0" w:space="0" w:color="auto"/>
      </w:divBdr>
      <w:divsChild>
        <w:div w:id="232811659">
          <w:marLeft w:val="0"/>
          <w:marRight w:val="0"/>
          <w:marTop w:val="0"/>
          <w:marBottom w:val="0"/>
          <w:divBdr>
            <w:top w:val="none" w:sz="0" w:space="0" w:color="auto"/>
            <w:left w:val="none" w:sz="0" w:space="0" w:color="auto"/>
            <w:bottom w:val="none" w:sz="0" w:space="0" w:color="auto"/>
            <w:right w:val="none" w:sz="0" w:space="0" w:color="auto"/>
          </w:divBdr>
          <w:divsChild>
            <w:div w:id="1602302873">
              <w:marLeft w:val="0"/>
              <w:marRight w:val="0"/>
              <w:marTop w:val="0"/>
              <w:marBottom w:val="0"/>
              <w:divBdr>
                <w:top w:val="none" w:sz="0" w:space="0" w:color="auto"/>
                <w:left w:val="none" w:sz="0" w:space="0" w:color="auto"/>
                <w:bottom w:val="none" w:sz="0" w:space="0" w:color="auto"/>
                <w:right w:val="none" w:sz="0" w:space="0" w:color="auto"/>
              </w:divBdr>
              <w:divsChild>
                <w:div w:id="1418286806">
                  <w:marLeft w:val="0"/>
                  <w:marRight w:val="0"/>
                  <w:marTop w:val="0"/>
                  <w:marBottom w:val="0"/>
                  <w:divBdr>
                    <w:top w:val="none" w:sz="0" w:space="0" w:color="auto"/>
                    <w:left w:val="none" w:sz="0" w:space="0" w:color="auto"/>
                    <w:bottom w:val="none" w:sz="0" w:space="0" w:color="auto"/>
                    <w:right w:val="none" w:sz="0" w:space="0" w:color="auto"/>
                  </w:divBdr>
                  <w:divsChild>
                    <w:div w:id="4012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3809379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77912714">
      <w:bodyDiv w:val="1"/>
      <w:marLeft w:val="0"/>
      <w:marRight w:val="0"/>
      <w:marTop w:val="0"/>
      <w:marBottom w:val="0"/>
      <w:divBdr>
        <w:top w:val="none" w:sz="0" w:space="0" w:color="auto"/>
        <w:left w:val="none" w:sz="0" w:space="0" w:color="auto"/>
        <w:bottom w:val="none" w:sz="0" w:space="0" w:color="auto"/>
        <w:right w:val="none" w:sz="0" w:space="0" w:color="auto"/>
      </w:divBdr>
    </w:div>
    <w:div w:id="1643078422">
      <w:bodyDiv w:val="1"/>
      <w:marLeft w:val="0"/>
      <w:marRight w:val="0"/>
      <w:marTop w:val="0"/>
      <w:marBottom w:val="0"/>
      <w:divBdr>
        <w:top w:val="none" w:sz="0" w:space="0" w:color="auto"/>
        <w:left w:val="none" w:sz="0" w:space="0" w:color="auto"/>
        <w:bottom w:val="none" w:sz="0" w:space="0" w:color="auto"/>
        <w:right w:val="none" w:sz="0" w:space="0" w:color="auto"/>
      </w:divBdr>
    </w:div>
    <w:div w:id="173986046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4760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10300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7</cp:revision>
  <dcterms:created xsi:type="dcterms:W3CDTF">2024-12-30T08:09:00Z</dcterms:created>
  <dcterms:modified xsi:type="dcterms:W3CDTF">2026-02-10T11:35:00Z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