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C70A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C70A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CC70A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C70A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C70A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CC70A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E6C382" w:rsidR="0000007A" w:rsidRPr="00CC70A9" w:rsidRDefault="00F9119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C70A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Chemical and Materials Sciences: Research Findings</w:t>
              </w:r>
            </w:hyperlink>
            <w:r w:rsidRPr="00CC70A9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  </w:t>
            </w:r>
          </w:p>
        </w:tc>
      </w:tr>
      <w:tr w:rsidR="0000007A" w:rsidRPr="00CC70A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C70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C70A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8EF74E" w:rsidR="0000007A" w:rsidRPr="00CC70A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CC70A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CC70A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94851" w:rsidRPr="00CC70A9">
              <w:rPr>
                <w:rFonts w:ascii="Arial" w:hAnsi="Arial" w:cs="Arial"/>
                <w:b/>
                <w:bCs/>
                <w:szCs w:val="28"/>
              </w:rPr>
              <w:t>6740</w:t>
            </w:r>
          </w:p>
        </w:tc>
      </w:tr>
      <w:tr w:rsidR="0000007A" w:rsidRPr="00CC70A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C70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C70A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33FEF5" w:rsidR="0000007A" w:rsidRPr="00CC70A9" w:rsidRDefault="008C3F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C70A9">
              <w:rPr>
                <w:rFonts w:ascii="Arial" w:hAnsi="Arial" w:cs="Arial"/>
                <w:b/>
                <w:szCs w:val="28"/>
                <w:lang w:val="en-GB"/>
              </w:rPr>
              <w:t>Synthesis and Characterization of Mango Wood Nanocellulose Fibers</w:t>
            </w:r>
          </w:p>
        </w:tc>
      </w:tr>
      <w:tr w:rsidR="00CF0BBB" w:rsidRPr="00CC70A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C70A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C70A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032343" w:rsidR="00CF0BBB" w:rsidRPr="00CC70A9" w:rsidRDefault="008948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CC70A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CC70A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CC70A9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CC70A9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CC70A9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CC70A9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CC70A9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CC70A9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58BEA43" w:rsidR="00640538" w:rsidRPr="00CC70A9" w:rsidRDefault="003C57B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CC70A9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D71105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7967721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29BCE36" w:rsidR="00E03C32" w:rsidRDefault="00695A3F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95A3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Chemical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695A3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39-49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EE37730" w:rsidR="00E03C32" w:rsidRPr="007B54A4" w:rsidRDefault="008D4F11" w:rsidP="008D4F11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D4F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10.9734/ajocs/2022/v12i219145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29BCE36" w:rsidR="00E03C32" w:rsidRDefault="00695A3F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95A3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Chemical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695A3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39-49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EE37730" w:rsidR="00E03C32" w:rsidRPr="007B54A4" w:rsidRDefault="008D4F11" w:rsidP="008D4F11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D4F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10.9734/ajocs/2022/v12i219145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CC70A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CC70A9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CC70A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C70A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70A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C70A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70A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70A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C70A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C70A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C70A9">
              <w:rPr>
                <w:rFonts w:ascii="Arial" w:hAnsi="Arial" w:cs="Arial"/>
                <w:lang w:val="en-GB"/>
              </w:rPr>
              <w:t>Author’s Feedback</w:t>
            </w:r>
            <w:r w:rsidRPr="00CC70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C70A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C70A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C7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C70A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191FA27" w:rsidR="00F1171E" w:rsidRPr="00CC70A9" w:rsidRDefault="0023200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This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paper is a good contribution to sustainable materials science. It shows</w:t>
            </w:r>
            <w:r w:rsidRPr="00CC70A9">
              <w:rPr>
                <w:rFonts w:ascii="Arial" w:hAnsi="Arial" w:cs="Arial"/>
                <w:color w:val="172B4D"/>
                <w:sz w:val="28"/>
                <w:szCs w:val="28"/>
                <w:shd w:val="clear" w:color="auto" w:fill="FFFFFF"/>
              </w:rPr>
              <w:t xml:space="preserve"> </w:t>
            </w:r>
            <w:r w:rsidRPr="00CC70A9">
              <w:rPr>
                <w:rFonts w:ascii="Arial" w:hAnsi="Arial" w:cs="Arial"/>
                <w:sz w:val="22"/>
                <w:szCs w:val="22"/>
              </w:rPr>
              <w:t>how mango wood, the agricultural waste, could convert to the valued nanocellulose fibers.</w:t>
            </w:r>
            <w:r w:rsidRPr="00CC70A9">
              <w:rPr>
                <w:rFonts w:ascii="Arial" w:hAnsi="Arial" w:cs="Arial"/>
                <w:color w:val="172B4D"/>
                <w:sz w:val="28"/>
                <w:szCs w:val="28"/>
                <w:shd w:val="clear" w:color="auto" w:fill="FFFFFF"/>
              </w:rPr>
              <w:t xml:space="preserve"> </w:t>
            </w:r>
            <w:r w:rsidRPr="00CC70A9">
              <w:rPr>
                <w:rFonts w:ascii="Arial" w:hAnsi="Arial" w:cs="Arial"/>
                <w:sz w:val="22"/>
                <w:szCs w:val="22"/>
              </w:rPr>
              <w:t>The current work opens an alternative yet feasible route for waste utilization and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eco-material preparation</w:t>
            </w:r>
          </w:p>
        </w:tc>
        <w:tc>
          <w:tcPr>
            <w:tcW w:w="1523" w:type="pct"/>
          </w:tcPr>
          <w:p w14:paraId="462A339C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70A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C7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C7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B1B8E9" w:rsidR="00F1171E" w:rsidRPr="00CC70A9" w:rsidRDefault="00C858C5" w:rsidP="00C858C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The title is appropriate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and informative. Nevertheless, A more descriptive and targeted title such as "Ionic Liquid-Assisted Synthesis and Characterization of Nanocellulose Fibers from Mango Wood Biomass" can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 xml:space="preserve">be appropriate to enrich its specificity and visibility. </w:t>
            </w:r>
          </w:p>
        </w:tc>
        <w:tc>
          <w:tcPr>
            <w:tcW w:w="1523" w:type="pct"/>
          </w:tcPr>
          <w:p w14:paraId="405B6701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70A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C70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C70A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33474A6" w14:textId="77777777" w:rsidR="00F1171E" w:rsidRPr="00CC70A9" w:rsidRDefault="00C858C5" w:rsidP="007222C8">
            <w:pPr>
              <w:ind w:left="3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  <w:lang w:val="en-GB"/>
              </w:rPr>
              <w:t>The abstract could be more comprehensive if it includes the following points</w:t>
            </w:r>
          </w:p>
          <w:p w14:paraId="34F08495" w14:textId="77777777" w:rsidR="00C858C5" w:rsidRPr="00CC70A9" w:rsidRDefault="00C858C5" w:rsidP="00C858C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Quantify the Crystallinity Index</w:t>
            </w:r>
          </w:p>
          <w:p w14:paraId="1C4205FA" w14:textId="77777777" w:rsidR="00C858C5" w:rsidRPr="00CC70A9" w:rsidRDefault="00C858C5" w:rsidP="00C858C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 xml:space="preserve">Mention shortly </w:t>
            </w:r>
            <w:r w:rsidRPr="00CC70A9">
              <w:rPr>
                <w:rFonts w:ascii="Arial" w:hAnsi="Arial" w:cs="Arial"/>
                <w:i/>
                <w:iCs/>
                <w:sz w:val="22"/>
                <w:szCs w:val="22"/>
              </w:rPr>
              <w:t>why</w:t>
            </w:r>
            <w:r w:rsidRPr="00CC70A9">
              <w:rPr>
                <w:rFonts w:ascii="Arial" w:hAnsi="Arial" w:cs="Arial"/>
                <w:sz w:val="22"/>
                <w:szCs w:val="22"/>
              </w:rPr>
              <w:t> the ionic liquid process is greener</w:t>
            </w:r>
          </w:p>
          <w:p w14:paraId="0FB7E83A" w14:textId="6573C739" w:rsidR="00C858C5" w:rsidRPr="00CC70A9" w:rsidRDefault="00C858C5" w:rsidP="00C858C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Make it clear your comparison statements</w:t>
            </w:r>
          </w:p>
        </w:tc>
        <w:tc>
          <w:tcPr>
            <w:tcW w:w="1523" w:type="pct"/>
          </w:tcPr>
          <w:p w14:paraId="1D54B730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70A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C70A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14D5505" w14:textId="77777777" w:rsidR="00F1171E" w:rsidRPr="00CC70A9" w:rsidRDefault="00C858C5" w:rsidP="007222C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The manuscript is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technically good in its main approach and conclusion, but several important details are missing which would support reproducibility or robustness.</w:t>
            </w:r>
          </w:p>
          <w:p w14:paraId="1A58220F" w14:textId="77777777" w:rsidR="00C858C5" w:rsidRPr="00CC70A9" w:rsidRDefault="00F92457" w:rsidP="00C858C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XRD: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The CI value for raw cellulose and IL-MWNC must be presented according to standard</w:t>
            </w:r>
          </w:p>
          <w:p w14:paraId="3B202ECA" w14:textId="77777777" w:rsidR="00F92457" w:rsidRPr="00CC70A9" w:rsidRDefault="00F92457" w:rsidP="00C858C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The diameter distribution (range from 27.33 to 34.85 nm) requires a size distribution histogram taking into account measurement of multiple fibers</w:t>
            </w:r>
          </w:p>
          <w:p w14:paraId="54C1B24A" w14:textId="77777777" w:rsidR="00F92457" w:rsidRPr="00CC70A9" w:rsidRDefault="00F92457" w:rsidP="00C858C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It is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not clear what the "standard Nanocellulose" as pictured in Figures 7 and 8 is. What is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the origin and how is it prepared? Without it, the comparison of temperature stability is less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relevant.</w:t>
            </w:r>
          </w:p>
          <w:p w14:paraId="34991F98" w14:textId="77777777" w:rsidR="00F92457" w:rsidRPr="00CC70A9" w:rsidRDefault="00F92457" w:rsidP="00C858C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Power and time of sonication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for fibrillation are extremely important</w:t>
            </w:r>
          </w:p>
          <w:p w14:paraId="2B5A7721" w14:textId="7A524DBF" w:rsidR="00F92457" w:rsidRPr="00CC70A9" w:rsidRDefault="00F92457" w:rsidP="00C858C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C70A9">
              <w:rPr>
                <w:rFonts w:ascii="Arial" w:hAnsi="Arial" w:cs="Arial"/>
                <w:sz w:val="22"/>
                <w:szCs w:val="22"/>
              </w:rPr>
              <w:t>Purity of Ionic</w:t>
            </w:r>
            <w:r w:rsidRPr="00CC70A9">
              <w:rPr>
                <w:rFonts w:ascii="Arial" w:hAnsi="Arial" w:cs="Arial"/>
                <w:sz w:val="22"/>
                <w:szCs w:val="22"/>
              </w:rPr>
              <w:t> </w:t>
            </w:r>
            <w:r w:rsidRPr="00CC70A9">
              <w:rPr>
                <w:rFonts w:ascii="Arial" w:hAnsi="Arial" w:cs="Arial"/>
                <w:sz w:val="22"/>
                <w:szCs w:val="22"/>
              </w:rPr>
              <w:t>Liquid (Section 2.3): The synthesis is provided, but no characterization (e.g., NMR) was reported to verify the purity and identity of the ionic liquid used in this study</w:t>
            </w:r>
          </w:p>
        </w:tc>
        <w:tc>
          <w:tcPr>
            <w:tcW w:w="1523" w:type="pct"/>
          </w:tcPr>
          <w:p w14:paraId="4898F764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70A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C7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C7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90B2DE" w:rsidR="00F1171E" w:rsidRPr="00CC70A9" w:rsidRDefault="00F924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sufficient and updated</w:t>
            </w:r>
          </w:p>
        </w:tc>
        <w:tc>
          <w:tcPr>
            <w:tcW w:w="1523" w:type="pct"/>
          </w:tcPr>
          <w:p w14:paraId="40220055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70A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C70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C70A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AC4768E" w:rsidR="00F1171E" w:rsidRPr="00CC70A9" w:rsidRDefault="006234D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lang w:val="en-GB"/>
              </w:rPr>
              <w:t>The language quality is suitable for scholarly communications</w:t>
            </w:r>
          </w:p>
          <w:p w14:paraId="41E28118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70A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C70A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C70A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C70A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C7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C7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CC70A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C70A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C70A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C70A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70A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C7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C70A9">
              <w:rPr>
                <w:rFonts w:ascii="Arial" w:hAnsi="Arial" w:cs="Arial"/>
                <w:lang w:val="en-GB"/>
              </w:rPr>
              <w:t>Author’s comment</w:t>
            </w:r>
            <w:r w:rsidRPr="00CC70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C70A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C70A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70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C70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C70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C70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C70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C7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F002513" w14:textId="77777777" w:rsidR="00CC70A9" w:rsidRPr="004E41B4" w:rsidRDefault="00CC70A9" w:rsidP="00CC70A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E41B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39B27A4" w14:textId="77777777" w:rsidR="00CC70A9" w:rsidRDefault="00CC70A9" w:rsidP="00CC70A9">
      <w:r w:rsidRPr="004E41B4">
        <w:rPr>
          <w:rFonts w:ascii="Arial" w:hAnsi="Arial" w:cs="Arial"/>
          <w:b/>
          <w:color w:val="000000"/>
          <w:lang w:val="nl-BE"/>
        </w:rPr>
        <w:t>Worku Tegegne Molla, De Montfort University, UK</w:t>
      </w:r>
      <w:r w:rsidRPr="004E41B4">
        <w:rPr>
          <w:rFonts w:ascii="Arial" w:hAnsi="Arial" w:cs="Arial"/>
          <w:b/>
          <w:color w:val="000000"/>
          <w:lang w:val="nl-BE"/>
        </w:rPr>
        <w:br/>
      </w:r>
    </w:p>
    <w:p w14:paraId="48DC05A4" w14:textId="77777777" w:rsidR="004C3DF1" w:rsidRPr="00CC70A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CC70A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C0405" w14:textId="77777777" w:rsidR="00F83302" w:rsidRPr="0000007A" w:rsidRDefault="00F83302" w:rsidP="0099583E">
      <w:r>
        <w:separator/>
      </w:r>
    </w:p>
  </w:endnote>
  <w:endnote w:type="continuationSeparator" w:id="0">
    <w:p w14:paraId="0F75DD1F" w14:textId="77777777" w:rsidR="00F83302" w:rsidRPr="0000007A" w:rsidRDefault="00F8330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1C8DF" w14:textId="77777777" w:rsidR="00F83302" w:rsidRPr="0000007A" w:rsidRDefault="00F83302" w:rsidP="0099583E">
      <w:r>
        <w:separator/>
      </w:r>
    </w:p>
  </w:footnote>
  <w:footnote w:type="continuationSeparator" w:id="0">
    <w:p w14:paraId="2A6F654D" w14:textId="77777777" w:rsidR="00F83302" w:rsidRPr="0000007A" w:rsidRDefault="00F8330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65DE4"/>
    <w:multiLevelType w:val="hybridMultilevel"/>
    <w:tmpl w:val="716490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BC1C16"/>
    <w:multiLevelType w:val="hybridMultilevel"/>
    <w:tmpl w:val="5D224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380778">
    <w:abstractNumId w:val="3"/>
  </w:num>
  <w:num w:numId="2" w16cid:durableId="1259945614">
    <w:abstractNumId w:val="6"/>
  </w:num>
  <w:num w:numId="3" w16cid:durableId="964697975">
    <w:abstractNumId w:val="5"/>
  </w:num>
  <w:num w:numId="4" w16cid:durableId="1730878727">
    <w:abstractNumId w:val="7"/>
  </w:num>
  <w:num w:numId="5" w16cid:durableId="735585734">
    <w:abstractNumId w:val="4"/>
  </w:num>
  <w:num w:numId="6" w16cid:durableId="158272182">
    <w:abstractNumId w:val="0"/>
  </w:num>
  <w:num w:numId="7" w16cid:durableId="515653149">
    <w:abstractNumId w:val="1"/>
  </w:num>
  <w:num w:numId="8" w16cid:durableId="1874924120">
    <w:abstractNumId w:val="10"/>
  </w:num>
  <w:num w:numId="9" w16cid:durableId="1835221099">
    <w:abstractNumId w:val="9"/>
  </w:num>
  <w:num w:numId="10" w16cid:durableId="1131217424">
    <w:abstractNumId w:val="2"/>
  </w:num>
  <w:num w:numId="11" w16cid:durableId="1520504641">
    <w:abstractNumId w:val="11"/>
  </w:num>
  <w:num w:numId="12" w16cid:durableId="5127204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D9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A10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818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0B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1A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0FC5"/>
    <w:rsid w:val="003C57B0"/>
    <w:rsid w:val="003D1BDE"/>
    <w:rsid w:val="003D39E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138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4D2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A3F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6ED4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851"/>
    <w:rsid w:val="00895D0A"/>
    <w:rsid w:val="008B265C"/>
    <w:rsid w:val="008C2F62"/>
    <w:rsid w:val="008C3FD7"/>
    <w:rsid w:val="008C4B1F"/>
    <w:rsid w:val="008C75AD"/>
    <w:rsid w:val="008D020E"/>
    <w:rsid w:val="008D4F11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F33"/>
    <w:rsid w:val="00AD6C51"/>
    <w:rsid w:val="00AE0E9B"/>
    <w:rsid w:val="00AE54CD"/>
    <w:rsid w:val="00AF3016"/>
    <w:rsid w:val="00B03A45"/>
    <w:rsid w:val="00B2026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1AA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19AE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8C5"/>
    <w:rsid w:val="00CA4B20"/>
    <w:rsid w:val="00CA7853"/>
    <w:rsid w:val="00CB429B"/>
    <w:rsid w:val="00CC2753"/>
    <w:rsid w:val="00CC70A9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3D4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302"/>
    <w:rsid w:val="00F9119E"/>
    <w:rsid w:val="00F92457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5A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C70A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2025-11-17T20:02:00Z</dcterms:created>
  <dcterms:modified xsi:type="dcterms:W3CDTF">2026-01-05T12:15:00Z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