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A489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A489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A489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A489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54F5B4D" w:rsidR="0000007A" w:rsidRPr="007A4890" w:rsidRDefault="0081510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A489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Economic Development and Entrepreneurship</w:t>
            </w:r>
          </w:p>
        </w:tc>
      </w:tr>
      <w:tr w:rsidR="0000007A" w:rsidRPr="007A489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A489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95415E" w:rsidR="0000007A" w:rsidRPr="007A489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7A48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A48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7A48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07198" w:rsidRPr="007A4890">
              <w:rPr>
                <w:rFonts w:ascii="Arial" w:hAnsi="Arial" w:cs="Arial"/>
                <w:b/>
                <w:bCs/>
                <w:sz w:val="20"/>
                <w:szCs w:val="20"/>
              </w:rPr>
              <w:t>6771.7</w:t>
            </w:r>
          </w:p>
        </w:tc>
      </w:tr>
      <w:tr w:rsidR="0000007A" w:rsidRPr="007A489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A489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93ED03F" w:rsidR="0000007A" w:rsidRPr="007A4890" w:rsidRDefault="00B01A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A4890">
              <w:rPr>
                <w:rFonts w:ascii="Arial" w:hAnsi="Arial" w:cs="Arial"/>
                <w:b/>
                <w:sz w:val="20"/>
                <w:szCs w:val="20"/>
                <w:lang w:val="en-GB"/>
              </w:rPr>
              <w:t>STRATEGIC DRIVERS OF SUCCESS IN UNCONVENTIONAL OIL AND GAS PROJECTS FOR SUSTAINABLE ECONOMIC INCLUSION IN SOUTH AFRICA</w:t>
            </w:r>
          </w:p>
        </w:tc>
      </w:tr>
      <w:tr w:rsidR="00CF0BBB" w:rsidRPr="007A489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A489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CE1F38C" w:rsidR="00CF0BBB" w:rsidRPr="007A4890" w:rsidRDefault="00E0719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3CD10A5" w14:textId="77777777" w:rsidR="00DC18C6" w:rsidRPr="007A4890" w:rsidRDefault="00DC18C6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592B09B" w14:textId="77777777" w:rsidR="00DC18C6" w:rsidRPr="007A4890" w:rsidRDefault="00DC18C6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7A489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7A489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A489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A489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A489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A489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A489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489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A489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A4890">
              <w:rPr>
                <w:rFonts w:ascii="Arial" w:hAnsi="Arial" w:cs="Arial"/>
                <w:lang w:val="en-GB"/>
              </w:rPr>
              <w:t>Author’s Feedback</w:t>
            </w:r>
            <w:r w:rsidRPr="007A489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A489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A489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A489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A489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479085B" w14:textId="3128E08F" w:rsidR="00F1171E" w:rsidRPr="007A4890" w:rsidRDefault="00BE5664" w:rsidP="00BE5664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4890">
              <w:rPr>
                <w:rFonts w:ascii="Arial" w:hAnsi="Arial" w:cs="Arial"/>
                <w:sz w:val="20"/>
                <w:szCs w:val="20"/>
              </w:rPr>
              <w:t xml:space="preserve">Strategic drivers for success in </w:t>
            </w:r>
            <w:r w:rsidR="00DB4490" w:rsidRPr="007A4890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7A4890">
              <w:rPr>
                <w:rFonts w:ascii="Arial" w:hAnsi="Arial" w:cs="Arial"/>
                <w:sz w:val="20"/>
                <w:szCs w:val="20"/>
              </w:rPr>
              <w:t xml:space="preserve">oil and gas projects are crucial for ensuring the ventures translate into sustainable economic </w:t>
            </w:r>
            <w:r w:rsidR="00DB4490" w:rsidRPr="007A4890">
              <w:rPr>
                <w:rFonts w:ascii="Arial" w:hAnsi="Arial" w:cs="Arial"/>
                <w:sz w:val="20"/>
                <w:szCs w:val="20"/>
              </w:rPr>
              <w:t xml:space="preserve">development </w:t>
            </w:r>
            <w:r w:rsidRPr="007A4890">
              <w:rPr>
                <w:rFonts w:ascii="Arial" w:hAnsi="Arial" w:cs="Arial"/>
                <w:sz w:val="20"/>
                <w:szCs w:val="20"/>
              </w:rPr>
              <w:t>by attracting investment, creating jobs, and addressing local energy poverty. Without strategic management, the potential benefits can be hampered by regulatory uncertainty, environmental concerns, and socio-political challenges. </w:t>
            </w:r>
          </w:p>
          <w:p w14:paraId="7DBC9196" w14:textId="6699A5AB" w:rsidR="00754DBC" w:rsidRPr="007A4890" w:rsidRDefault="00754DBC" w:rsidP="00BE5664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</w:rPr>
              <w:t>Strategically positioning gas as a transitional fuel can help the country move away from a heavy reliance on coal, addressing the dual challenges of energy security. Gas can complement renewable energy sources, providing a cleaner alternative while the country transitions to a low-carbon economy.</w:t>
            </w:r>
          </w:p>
        </w:tc>
        <w:tc>
          <w:tcPr>
            <w:tcW w:w="1523" w:type="pct"/>
          </w:tcPr>
          <w:p w14:paraId="462A339C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4890" w14:paraId="0D8B5B2C" w14:textId="77777777" w:rsidTr="00754DBC">
        <w:trPr>
          <w:trHeight w:val="570"/>
        </w:trPr>
        <w:tc>
          <w:tcPr>
            <w:tcW w:w="1265" w:type="pct"/>
            <w:noWrap/>
          </w:tcPr>
          <w:p w14:paraId="21CBA5FE" w14:textId="77777777" w:rsidR="00F1171E" w:rsidRPr="007A489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6FB28CE2" w:rsidR="00F1171E" w:rsidRPr="007A4890" w:rsidRDefault="00F1171E" w:rsidP="00BE5664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A48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77B75CA8" w14:textId="77777777" w:rsidR="00F1171E" w:rsidRPr="007A4890" w:rsidRDefault="00BE5664" w:rsidP="00DB44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794AA9A7" w14:textId="74A85368" w:rsidR="00754DBC" w:rsidRPr="007A4890" w:rsidRDefault="00DB4490" w:rsidP="00DB449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Strategic Success </w:t>
            </w:r>
            <w:r w:rsidR="00D21EB9"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Drivers </w:t>
            </w:r>
            <w:r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>in Unconventional Oil and Gas Projects for Sustainable Economic Development in South Africa</w:t>
            </w:r>
          </w:p>
        </w:tc>
        <w:tc>
          <w:tcPr>
            <w:tcW w:w="1523" w:type="pct"/>
          </w:tcPr>
          <w:p w14:paraId="405B6701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489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A489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A489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0B9E04A" w14:textId="32BEF910" w:rsidR="00BE5664" w:rsidRPr="007A4890" w:rsidRDefault="00BE5664" w:rsidP="00C95D75">
            <w:pPr>
              <w:ind w:left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>Consider organizing it under the following:</w:t>
            </w:r>
          </w:p>
          <w:p w14:paraId="25DE7B95" w14:textId="77777777" w:rsidR="00BE5664" w:rsidRPr="007A4890" w:rsidRDefault="00BE5664" w:rsidP="00C95D75">
            <w:pPr>
              <w:numPr>
                <w:ilvl w:val="0"/>
                <w:numId w:val="11"/>
              </w:numPr>
              <w:ind w:left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>State the purpose of the study with indicators</w:t>
            </w:r>
          </w:p>
          <w:p w14:paraId="6337D0FA" w14:textId="77777777" w:rsidR="00BE5664" w:rsidRPr="007A4890" w:rsidRDefault="00BE5664" w:rsidP="00C95D75">
            <w:pPr>
              <w:numPr>
                <w:ilvl w:val="0"/>
                <w:numId w:val="11"/>
              </w:numPr>
              <w:ind w:left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>Design/method</w:t>
            </w:r>
          </w:p>
          <w:p w14:paraId="6F58FC75" w14:textId="77777777" w:rsidR="00BE5664" w:rsidRPr="007A4890" w:rsidRDefault="00BE5664" w:rsidP="00C95D75">
            <w:pPr>
              <w:numPr>
                <w:ilvl w:val="0"/>
                <w:numId w:val="11"/>
              </w:numPr>
              <w:ind w:left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>Findings</w:t>
            </w:r>
          </w:p>
          <w:p w14:paraId="43D9F516" w14:textId="77777777" w:rsidR="00BE5664" w:rsidRPr="007A4890" w:rsidRDefault="00BE5664" w:rsidP="00C95D75">
            <w:pPr>
              <w:numPr>
                <w:ilvl w:val="0"/>
                <w:numId w:val="11"/>
              </w:numPr>
              <w:ind w:left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 xml:space="preserve">Theoretical implication </w:t>
            </w:r>
          </w:p>
          <w:p w14:paraId="1B9C2C14" w14:textId="77777777" w:rsidR="00BE5664" w:rsidRPr="007A4890" w:rsidRDefault="00BE5664" w:rsidP="00C95D75">
            <w:pPr>
              <w:numPr>
                <w:ilvl w:val="0"/>
                <w:numId w:val="11"/>
              </w:numPr>
              <w:ind w:left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>Practical implication of the study</w:t>
            </w:r>
          </w:p>
          <w:p w14:paraId="15463F76" w14:textId="77777777" w:rsidR="00BE5664" w:rsidRPr="007A4890" w:rsidRDefault="00BE5664" w:rsidP="00C95D75">
            <w:pPr>
              <w:numPr>
                <w:ilvl w:val="0"/>
                <w:numId w:val="11"/>
              </w:numPr>
              <w:ind w:left="4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>Research limitations/future research</w:t>
            </w:r>
          </w:p>
          <w:p w14:paraId="0FB7E83A" w14:textId="77777777" w:rsidR="00F1171E" w:rsidRPr="007A489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489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A489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A48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94E05A5" w14:textId="1E10EA87" w:rsidR="00BE5664" w:rsidRPr="007A4890" w:rsidRDefault="00754DBC" w:rsidP="00BE5664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BE5664"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he manuscript is scientifically correct, but there is need to address the following: </w:t>
            </w:r>
          </w:p>
          <w:p w14:paraId="2B5A7721" w14:textId="284712B7" w:rsidR="00BE5664" w:rsidRPr="007A4890" w:rsidRDefault="00C95D75" w:rsidP="00BE566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>Introduction is brief</w:t>
            </w:r>
            <w:r w:rsidR="00BE5664"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>, theoretical background, conceptual framework, empirical literature</w:t>
            </w:r>
          </w:p>
        </w:tc>
        <w:tc>
          <w:tcPr>
            <w:tcW w:w="1523" w:type="pct"/>
          </w:tcPr>
          <w:p w14:paraId="4898F764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4890" w14:paraId="73739464" w14:textId="77777777" w:rsidTr="00DB4490">
        <w:trPr>
          <w:trHeight w:val="583"/>
        </w:trPr>
        <w:tc>
          <w:tcPr>
            <w:tcW w:w="1265" w:type="pct"/>
            <w:noWrap/>
          </w:tcPr>
          <w:p w14:paraId="7EFC02A2" w14:textId="792167F2" w:rsidR="00F1171E" w:rsidRPr="007A4890" w:rsidRDefault="00F1171E" w:rsidP="00DB44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A48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  <w:r w:rsidR="00DB4490" w:rsidRPr="007A48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7A489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4D3839C" w:rsidR="00F1171E" w:rsidRPr="007A4890" w:rsidRDefault="00BE566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 are sufficient</w:t>
            </w:r>
          </w:p>
        </w:tc>
        <w:tc>
          <w:tcPr>
            <w:tcW w:w="1523" w:type="pct"/>
          </w:tcPr>
          <w:p w14:paraId="40220055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4890" w14:paraId="73CC4A50" w14:textId="77777777" w:rsidTr="00DB4490">
        <w:trPr>
          <w:trHeight w:val="876"/>
        </w:trPr>
        <w:tc>
          <w:tcPr>
            <w:tcW w:w="1265" w:type="pct"/>
            <w:noWrap/>
          </w:tcPr>
          <w:p w14:paraId="029CE8D0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119D9E7C" w:rsidR="00F1171E" w:rsidRPr="007A4890" w:rsidRDefault="00F1171E" w:rsidP="00DB4490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A489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51FEA87" w:rsidR="00F1171E" w:rsidRPr="007A4890" w:rsidRDefault="00BE566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>Improve on grammar</w:t>
            </w:r>
          </w:p>
          <w:p w14:paraId="41E28118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A489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A489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A489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A489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A48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A48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A48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A48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A48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A48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7A489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A489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A489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A489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A489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A489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A489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A489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A48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A4890">
              <w:rPr>
                <w:rFonts w:ascii="Arial" w:hAnsi="Arial" w:cs="Arial"/>
                <w:lang w:val="en-GB"/>
              </w:rPr>
              <w:t>Author’s comment</w:t>
            </w:r>
            <w:r w:rsidRPr="007A489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A489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A489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A489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A489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A489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A489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A489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A489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A489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791D517" w:rsidR="00F1171E" w:rsidRPr="007A4890" w:rsidRDefault="00BE566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9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A489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A489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A489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A489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ED27A07" w14:textId="77777777" w:rsidR="007A4890" w:rsidRPr="007E5B68" w:rsidRDefault="007A4890" w:rsidP="007A489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E5B68">
        <w:rPr>
          <w:rFonts w:ascii="Arial" w:hAnsi="Arial" w:cs="Arial"/>
          <w:b/>
          <w:u w:val="single"/>
        </w:rPr>
        <w:t>Reviewer details:</w:t>
      </w:r>
    </w:p>
    <w:p w14:paraId="1BA05349" w14:textId="77777777" w:rsidR="007A4890" w:rsidRDefault="007A4890" w:rsidP="007A4890">
      <w:r w:rsidRPr="007E5B68">
        <w:rPr>
          <w:rFonts w:ascii="Arial" w:hAnsi="Arial" w:cs="Arial"/>
          <w:b/>
          <w:color w:val="000000"/>
          <w:sz w:val="20"/>
          <w:szCs w:val="20"/>
        </w:rPr>
        <w:t>Jane Nasimiyu Were, United States International University – Africa, Kenya</w:t>
      </w:r>
      <w:r w:rsidRPr="007E5B68">
        <w:rPr>
          <w:rFonts w:ascii="Arial" w:hAnsi="Arial" w:cs="Arial"/>
          <w:b/>
          <w:color w:val="000000"/>
          <w:sz w:val="20"/>
          <w:szCs w:val="20"/>
        </w:rPr>
        <w:br/>
      </w:r>
    </w:p>
    <w:p w14:paraId="58EB6558" w14:textId="77777777" w:rsidR="007A4890" w:rsidRPr="007A4890" w:rsidRDefault="007A4890">
      <w:pPr>
        <w:rPr>
          <w:rFonts w:ascii="Arial" w:hAnsi="Arial" w:cs="Arial"/>
          <w:b/>
          <w:sz w:val="20"/>
          <w:szCs w:val="20"/>
        </w:rPr>
      </w:pPr>
    </w:p>
    <w:sectPr w:rsidR="007A4890" w:rsidRPr="007A489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52872" w14:textId="77777777" w:rsidR="006C2365" w:rsidRPr="0000007A" w:rsidRDefault="006C2365" w:rsidP="0099583E">
      <w:r>
        <w:separator/>
      </w:r>
    </w:p>
  </w:endnote>
  <w:endnote w:type="continuationSeparator" w:id="0">
    <w:p w14:paraId="3D603543" w14:textId="77777777" w:rsidR="006C2365" w:rsidRPr="0000007A" w:rsidRDefault="006C236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E9A5" w14:textId="77777777" w:rsidR="006C2365" w:rsidRPr="0000007A" w:rsidRDefault="006C2365" w:rsidP="0099583E">
      <w:r>
        <w:separator/>
      </w:r>
    </w:p>
  </w:footnote>
  <w:footnote w:type="continuationSeparator" w:id="0">
    <w:p w14:paraId="45F92A8C" w14:textId="77777777" w:rsidR="006C2365" w:rsidRPr="0000007A" w:rsidRDefault="006C236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F2C03"/>
    <w:multiLevelType w:val="hybridMultilevel"/>
    <w:tmpl w:val="52DE8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6D7AA7"/>
    <w:multiLevelType w:val="multilevel"/>
    <w:tmpl w:val="6130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721265">
    <w:abstractNumId w:val="3"/>
  </w:num>
  <w:num w:numId="2" w16cid:durableId="1272590216">
    <w:abstractNumId w:val="6"/>
  </w:num>
  <w:num w:numId="3" w16cid:durableId="596521919">
    <w:abstractNumId w:val="5"/>
  </w:num>
  <w:num w:numId="4" w16cid:durableId="1785730847">
    <w:abstractNumId w:val="7"/>
  </w:num>
  <w:num w:numId="5" w16cid:durableId="581380760">
    <w:abstractNumId w:val="4"/>
  </w:num>
  <w:num w:numId="6" w16cid:durableId="767697408">
    <w:abstractNumId w:val="0"/>
  </w:num>
  <w:num w:numId="7" w16cid:durableId="365830718">
    <w:abstractNumId w:val="1"/>
  </w:num>
  <w:num w:numId="8" w16cid:durableId="493692288">
    <w:abstractNumId w:val="10"/>
  </w:num>
  <w:num w:numId="9" w16cid:durableId="1061750609">
    <w:abstractNumId w:val="9"/>
  </w:num>
  <w:num w:numId="10" w16cid:durableId="96486518">
    <w:abstractNumId w:val="2"/>
  </w:num>
  <w:num w:numId="11" w16cid:durableId="1293555438">
    <w:abstractNumId w:val="8"/>
  </w:num>
  <w:num w:numId="12" w16cid:durableId="1737373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7DA"/>
    <w:rsid w:val="00010403"/>
    <w:rsid w:val="00012C8B"/>
    <w:rsid w:val="000168A9"/>
    <w:rsid w:val="00021848"/>
    <w:rsid w:val="00021981"/>
    <w:rsid w:val="000234E1"/>
    <w:rsid w:val="0002598E"/>
    <w:rsid w:val="00034E22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BD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46C9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681F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550"/>
    <w:rsid w:val="005A1E3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101F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0722"/>
    <w:rsid w:val="006C236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DBC"/>
    <w:rsid w:val="00766889"/>
    <w:rsid w:val="00766A0D"/>
    <w:rsid w:val="00767F8C"/>
    <w:rsid w:val="00780B67"/>
    <w:rsid w:val="00781D07"/>
    <w:rsid w:val="007A4890"/>
    <w:rsid w:val="007A62F8"/>
    <w:rsid w:val="007B1099"/>
    <w:rsid w:val="007B54A4"/>
    <w:rsid w:val="007C6CDF"/>
    <w:rsid w:val="007D0246"/>
    <w:rsid w:val="007F5873"/>
    <w:rsid w:val="008126B7"/>
    <w:rsid w:val="00815104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53CA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89F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5D6B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1A3B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EEA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664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6B42"/>
    <w:rsid w:val="00C82466"/>
    <w:rsid w:val="00C84097"/>
    <w:rsid w:val="00C95D75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1EB9"/>
    <w:rsid w:val="00D24CBE"/>
    <w:rsid w:val="00D27A79"/>
    <w:rsid w:val="00D32AC2"/>
    <w:rsid w:val="00D33014"/>
    <w:rsid w:val="00D40416"/>
    <w:rsid w:val="00D430AB"/>
    <w:rsid w:val="00D44F85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4490"/>
    <w:rsid w:val="00DB7E1B"/>
    <w:rsid w:val="00DC18C6"/>
    <w:rsid w:val="00DC1D81"/>
    <w:rsid w:val="00DC6FED"/>
    <w:rsid w:val="00DD0C4A"/>
    <w:rsid w:val="00DD274C"/>
    <w:rsid w:val="00DE7D30"/>
    <w:rsid w:val="00DF04E3"/>
    <w:rsid w:val="00E03C32"/>
    <w:rsid w:val="00E0719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3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053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7A489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2025-11-26T12:28:00Z</dcterms:created>
  <dcterms:modified xsi:type="dcterms:W3CDTF">2025-11-28T11:03:00Z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