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0"/>
        <w:gridCol w:w="5170"/>
        <w:gridCol w:w="566"/>
        <w:gridCol w:w="8237"/>
        <w:gridCol w:w="6963"/>
        <w:gridCol w:w="106"/>
      </w:tblGrid>
      <w:tr w:rsidR="00602F7D" w:rsidRPr="00DE7D30" w14:paraId="1643A4CA" w14:textId="77777777" w:rsidTr="00291937">
        <w:trPr>
          <w:gridBefore w:val="1"/>
          <w:gridAfter w:val="1"/>
          <w:wBefore w:w="26" w:type="pct"/>
          <w:wAfter w:w="26" w:type="pct"/>
          <w:trHeight w:val="450"/>
        </w:trPr>
        <w:tc>
          <w:tcPr>
            <w:tcW w:w="4949"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291937">
        <w:trPr>
          <w:gridBefore w:val="1"/>
          <w:gridAfter w:val="1"/>
          <w:wBefore w:w="26" w:type="pct"/>
          <w:wAfter w:w="26" w:type="pct"/>
          <w:trHeight w:val="413"/>
        </w:trPr>
        <w:tc>
          <w:tcPr>
            <w:tcW w:w="1222"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27" w:type="pct"/>
            <w:gridSpan w:val="3"/>
            <w:shd w:val="clear" w:color="auto" w:fill="auto"/>
            <w:tcMar>
              <w:top w:w="0" w:type="dxa"/>
              <w:left w:w="108" w:type="dxa"/>
              <w:bottom w:w="0" w:type="dxa"/>
              <w:right w:w="108" w:type="dxa"/>
            </w:tcMar>
            <w:vAlign w:val="center"/>
          </w:tcPr>
          <w:p w14:paraId="23DA8DCD" w14:textId="0F94BE8E" w:rsidR="0000007A" w:rsidRPr="00DE7D30" w:rsidRDefault="00597D18" w:rsidP="00054BC4">
            <w:pPr>
              <w:pStyle w:val="NormalWeb"/>
              <w:rPr>
                <w:rFonts w:ascii="Arial" w:hAnsi="Arial" w:cs="Arial"/>
                <w:b/>
                <w:bCs/>
                <w:szCs w:val="28"/>
                <w:u w:val="single"/>
              </w:rPr>
            </w:pPr>
            <w:r w:rsidRPr="00597D18">
              <w:rPr>
                <w:rFonts w:ascii="Arial" w:hAnsi="Arial" w:cs="Arial"/>
                <w:b/>
                <w:bCs/>
                <w:szCs w:val="28"/>
                <w:u w:val="single"/>
              </w:rPr>
              <w:t>Theoretical Key Issues and Practical Development Trends of China’s Digital Economy</w:t>
            </w:r>
          </w:p>
        </w:tc>
      </w:tr>
      <w:tr w:rsidR="0000007A" w:rsidRPr="00DE7D30" w14:paraId="73C90375" w14:textId="77777777" w:rsidTr="00291937">
        <w:trPr>
          <w:gridBefore w:val="1"/>
          <w:gridAfter w:val="1"/>
          <w:wBefore w:w="26" w:type="pct"/>
          <w:wAfter w:w="26" w:type="pct"/>
          <w:trHeight w:val="290"/>
        </w:trPr>
        <w:tc>
          <w:tcPr>
            <w:tcW w:w="1222"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27" w:type="pct"/>
            <w:gridSpan w:val="3"/>
            <w:shd w:val="clear" w:color="auto" w:fill="auto"/>
            <w:tcMar>
              <w:top w:w="0" w:type="dxa"/>
              <w:left w:w="108" w:type="dxa"/>
              <w:bottom w:w="0" w:type="dxa"/>
              <w:right w:w="108" w:type="dxa"/>
            </w:tcMar>
            <w:vAlign w:val="center"/>
          </w:tcPr>
          <w:p w14:paraId="46B39E34" w14:textId="3DF60ACD"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97D18">
              <w:rPr>
                <w:rFonts w:ascii="Arial" w:hAnsi="Arial" w:cs="Arial"/>
                <w:b/>
                <w:bCs/>
                <w:szCs w:val="28"/>
                <w:lang w:val="en-GB"/>
              </w:rPr>
              <w:t>999.1</w:t>
            </w:r>
          </w:p>
        </w:tc>
      </w:tr>
      <w:tr w:rsidR="0000007A" w:rsidRPr="00DE7D30" w14:paraId="05B60576" w14:textId="77777777" w:rsidTr="00291937">
        <w:trPr>
          <w:gridBefore w:val="1"/>
          <w:gridAfter w:val="1"/>
          <w:wBefore w:w="26" w:type="pct"/>
          <w:wAfter w:w="26" w:type="pct"/>
          <w:trHeight w:val="650"/>
        </w:trPr>
        <w:tc>
          <w:tcPr>
            <w:tcW w:w="1222"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27" w:type="pct"/>
            <w:gridSpan w:val="3"/>
            <w:shd w:val="clear" w:color="auto" w:fill="auto"/>
            <w:tcMar>
              <w:top w:w="0" w:type="dxa"/>
              <w:left w:w="108" w:type="dxa"/>
              <w:bottom w:w="0" w:type="dxa"/>
              <w:right w:w="108" w:type="dxa"/>
            </w:tcMar>
            <w:vAlign w:val="center"/>
          </w:tcPr>
          <w:p w14:paraId="0B70E962" w14:textId="32A95957" w:rsidR="0000007A" w:rsidRPr="00DE7D30" w:rsidRDefault="00597D18" w:rsidP="000450FC">
            <w:pPr>
              <w:pStyle w:val="NormalWeb"/>
              <w:spacing w:before="0" w:beforeAutospacing="0" w:after="0" w:afterAutospacing="0"/>
              <w:rPr>
                <w:rFonts w:ascii="Arial" w:hAnsi="Arial" w:cs="Arial"/>
                <w:b/>
                <w:szCs w:val="28"/>
                <w:highlight w:val="yellow"/>
                <w:lang w:val="en-GB"/>
              </w:rPr>
            </w:pPr>
            <w:r w:rsidRPr="00597D18">
              <w:rPr>
                <w:rFonts w:ascii="Arial" w:hAnsi="Arial" w:cs="Arial"/>
                <w:b/>
                <w:szCs w:val="28"/>
                <w:lang w:val="en-GB"/>
              </w:rPr>
              <w:t>e-CNY and Digital Economy in China</w:t>
            </w:r>
          </w:p>
        </w:tc>
      </w:tr>
      <w:tr w:rsidR="00CF0BBB" w:rsidRPr="00DE7D30" w14:paraId="6D508B1C" w14:textId="77777777" w:rsidTr="00291937">
        <w:trPr>
          <w:gridBefore w:val="1"/>
          <w:gridAfter w:val="1"/>
          <w:wBefore w:w="26" w:type="pct"/>
          <w:wAfter w:w="26" w:type="pct"/>
          <w:trHeight w:val="332"/>
        </w:trPr>
        <w:tc>
          <w:tcPr>
            <w:tcW w:w="1222"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27" w:type="pct"/>
            <w:gridSpan w:val="3"/>
            <w:shd w:val="clear" w:color="auto" w:fill="auto"/>
            <w:tcMar>
              <w:top w:w="0" w:type="dxa"/>
              <w:left w:w="108" w:type="dxa"/>
              <w:bottom w:w="0" w:type="dxa"/>
              <w:right w:w="108" w:type="dxa"/>
            </w:tcMar>
            <w:vAlign w:val="center"/>
          </w:tcPr>
          <w:p w14:paraId="0EBC6A8E" w14:textId="4B1E68C2" w:rsidR="00CF0BBB" w:rsidRPr="00DE7D30" w:rsidRDefault="00597D1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291937">
        <w:tblPrEx>
          <w:shd w:val="clear" w:color="auto" w:fill="auto"/>
          <w:tblCellMar>
            <w:left w:w="108" w:type="dxa"/>
            <w:right w:w="108" w:type="dxa"/>
          </w:tblCellMar>
        </w:tblPrEx>
        <w:tc>
          <w:tcPr>
            <w:tcW w:w="5000" w:type="pct"/>
            <w:gridSpan w:val="6"/>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291937">
        <w:tblPrEx>
          <w:shd w:val="clear" w:color="auto" w:fill="auto"/>
          <w:tblCellMar>
            <w:left w:w="108" w:type="dxa"/>
            <w:right w:w="108" w:type="dxa"/>
          </w:tblCellMar>
        </w:tblPrEx>
        <w:tc>
          <w:tcPr>
            <w:tcW w:w="1382" w:type="pct"/>
            <w:gridSpan w:val="3"/>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gridSpan w:val="2"/>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291937">
        <w:tblPrEx>
          <w:shd w:val="clear" w:color="auto" w:fill="auto"/>
          <w:tblCellMar>
            <w:left w:w="108" w:type="dxa"/>
            <w:right w:w="108" w:type="dxa"/>
          </w:tblCellMar>
        </w:tblPrEx>
        <w:tc>
          <w:tcPr>
            <w:tcW w:w="1382" w:type="pct"/>
            <w:gridSpan w:val="3"/>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7" w:type="pct"/>
          </w:tcPr>
          <w:p w14:paraId="62B0017C" w14:textId="2C9BE154" w:rsidR="00204D68" w:rsidRPr="00DE7D30" w:rsidRDefault="00E0559A" w:rsidP="003659D6">
            <w:pPr>
              <w:pStyle w:val="ListParagraph"/>
              <w:ind w:left="0"/>
              <w:rPr>
                <w:rFonts w:ascii="Arial" w:hAnsi="Arial" w:cs="Arial"/>
                <w:bCs/>
                <w:sz w:val="20"/>
                <w:szCs w:val="20"/>
                <w:lang w:val="en-GB"/>
              </w:rPr>
            </w:pPr>
            <w:proofErr w:type="spellStart"/>
            <w:r>
              <w:rPr>
                <w:rFonts w:ascii="Arial" w:hAnsi="Arial" w:cs="Arial"/>
                <w:bCs/>
                <w:sz w:val="20"/>
                <w:szCs w:val="20"/>
                <w:lang w:val="en-GB"/>
              </w:rPr>
              <w:t>YES</w:t>
            </w:r>
            <w:r w:rsidR="003659D6">
              <w:rPr>
                <w:rFonts w:ascii="Arial" w:hAnsi="Arial" w:cs="Arial"/>
                <w:bCs/>
                <w:sz w:val="20"/>
                <w:szCs w:val="20"/>
                <w:lang w:val="en-GB"/>
              </w:rPr>
              <w:t>.The</w:t>
            </w:r>
            <w:proofErr w:type="spellEnd"/>
            <w:r w:rsidR="003659D6">
              <w:rPr>
                <w:rFonts w:ascii="Arial" w:hAnsi="Arial" w:cs="Arial"/>
                <w:bCs/>
                <w:sz w:val="20"/>
                <w:szCs w:val="20"/>
                <w:lang w:val="en-GB"/>
              </w:rPr>
              <w:t xml:space="preserve"> envisaged implementation </w:t>
            </w:r>
            <w:proofErr w:type="gramStart"/>
            <w:r w:rsidR="003659D6">
              <w:rPr>
                <w:rFonts w:ascii="Arial" w:hAnsi="Arial" w:cs="Arial"/>
                <w:bCs/>
                <w:sz w:val="20"/>
                <w:szCs w:val="20"/>
                <w:lang w:val="en-GB"/>
              </w:rPr>
              <w:t>of  e</w:t>
            </w:r>
            <w:proofErr w:type="gramEnd"/>
            <w:r w:rsidR="003659D6">
              <w:rPr>
                <w:rFonts w:ascii="Arial" w:hAnsi="Arial" w:cs="Arial"/>
                <w:bCs/>
                <w:sz w:val="20"/>
                <w:szCs w:val="20"/>
                <w:lang w:val="en-GB"/>
              </w:rPr>
              <w:t xml:space="preserve">-CNY </w:t>
            </w:r>
            <w:proofErr w:type="spellStart"/>
            <w:r w:rsidR="003659D6">
              <w:rPr>
                <w:rFonts w:ascii="Arial" w:hAnsi="Arial" w:cs="Arial"/>
                <w:bCs/>
                <w:sz w:val="20"/>
                <w:szCs w:val="20"/>
                <w:lang w:val="en-GB"/>
              </w:rPr>
              <w:t>thai</w:t>
            </w:r>
            <w:proofErr w:type="spellEnd"/>
            <w:r w:rsidR="003659D6">
              <w:rPr>
                <w:rFonts w:ascii="Arial" w:hAnsi="Arial" w:cs="Arial"/>
                <w:bCs/>
                <w:sz w:val="20"/>
                <w:szCs w:val="20"/>
                <w:lang w:val="en-GB"/>
              </w:rPr>
              <w:t xml:space="preserve"> is intended to improve the social wellbeing of Chinese and improve the country’s competitiveness globally is taking place at the right time. The immense benefits by far outweigh the associated cost and risk. The publication will serve as a catalyst to other </w:t>
            </w:r>
            <w:proofErr w:type="spellStart"/>
            <w:r w:rsidR="003659D6">
              <w:rPr>
                <w:rFonts w:ascii="Arial" w:hAnsi="Arial" w:cs="Arial"/>
                <w:bCs/>
                <w:sz w:val="20"/>
                <w:szCs w:val="20"/>
                <w:lang w:val="en-GB"/>
              </w:rPr>
              <w:t>reserchers</w:t>
            </w:r>
            <w:proofErr w:type="spellEnd"/>
            <w:r w:rsidR="003659D6">
              <w:rPr>
                <w:rFonts w:ascii="Arial" w:hAnsi="Arial" w:cs="Arial"/>
                <w:bCs/>
                <w:sz w:val="20"/>
                <w:szCs w:val="20"/>
                <w:lang w:val="en-GB"/>
              </w:rPr>
              <w:t xml:space="preserve"> to </w:t>
            </w:r>
            <w:proofErr w:type="spellStart"/>
            <w:r w:rsidR="003659D6">
              <w:rPr>
                <w:rFonts w:ascii="Arial" w:hAnsi="Arial" w:cs="Arial"/>
                <w:bCs/>
                <w:sz w:val="20"/>
                <w:szCs w:val="20"/>
                <w:lang w:val="en-GB"/>
              </w:rPr>
              <w:t>expolore</w:t>
            </w:r>
            <w:proofErr w:type="spellEnd"/>
            <w:r w:rsidR="003659D6">
              <w:rPr>
                <w:rFonts w:ascii="Arial" w:hAnsi="Arial" w:cs="Arial"/>
                <w:bCs/>
                <w:sz w:val="20"/>
                <w:szCs w:val="20"/>
                <w:lang w:val="en-GB"/>
              </w:rPr>
              <w:t xml:space="preserve"> further the areas not addressed by the author.  </w:t>
            </w:r>
          </w:p>
        </w:tc>
        <w:tc>
          <w:tcPr>
            <w:tcW w:w="1671" w:type="pct"/>
            <w:gridSpan w:val="2"/>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291937">
        <w:tblPrEx>
          <w:shd w:val="clear" w:color="auto" w:fill="auto"/>
          <w:tblCellMar>
            <w:left w:w="108" w:type="dxa"/>
            <w:right w:w="108" w:type="dxa"/>
          </w:tblCellMar>
        </w:tblPrEx>
        <w:trPr>
          <w:trHeight w:val="554"/>
        </w:trPr>
        <w:tc>
          <w:tcPr>
            <w:tcW w:w="1382" w:type="pct"/>
            <w:gridSpan w:val="3"/>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5E72C6B8" w:rsidR="00D9392F" w:rsidRPr="00DE7D30" w:rsidRDefault="003659D6" w:rsidP="00DA2679">
            <w:pPr>
              <w:rPr>
                <w:rFonts w:ascii="Arial" w:hAnsi="Arial" w:cs="Arial"/>
                <w:sz w:val="20"/>
                <w:szCs w:val="20"/>
                <w:lang w:val="en-GB"/>
              </w:rPr>
            </w:pPr>
            <w:r>
              <w:rPr>
                <w:rFonts w:ascii="Arial" w:hAnsi="Arial" w:cs="Arial"/>
                <w:sz w:val="20"/>
                <w:szCs w:val="20"/>
                <w:lang w:val="en-GB"/>
              </w:rPr>
              <w:t>NO.</w:t>
            </w:r>
          </w:p>
        </w:tc>
        <w:tc>
          <w:tcPr>
            <w:tcW w:w="1671" w:type="pct"/>
            <w:gridSpan w:val="2"/>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291937">
        <w:tblPrEx>
          <w:shd w:val="clear" w:color="auto" w:fill="auto"/>
          <w:tblCellMar>
            <w:left w:w="108" w:type="dxa"/>
            <w:right w:w="108" w:type="dxa"/>
          </w:tblCellMar>
        </w:tblPrEx>
        <w:trPr>
          <w:trHeight w:val="574"/>
        </w:trPr>
        <w:tc>
          <w:tcPr>
            <w:tcW w:w="1382" w:type="pct"/>
            <w:gridSpan w:val="3"/>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7" w:type="pct"/>
          </w:tcPr>
          <w:p w14:paraId="1D6A4D69" w14:textId="743E6253" w:rsidR="00D9392F" w:rsidRPr="00DE7D30" w:rsidRDefault="00E0559A" w:rsidP="00B62F41">
            <w:pPr>
              <w:rPr>
                <w:rFonts w:ascii="Arial" w:hAnsi="Arial" w:cs="Arial"/>
                <w:sz w:val="20"/>
                <w:szCs w:val="20"/>
                <w:lang w:val="en-GB"/>
              </w:rPr>
            </w:pPr>
            <w:r>
              <w:rPr>
                <w:rFonts w:ascii="Arial" w:hAnsi="Arial" w:cs="Arial"/>
                <w:sz w:val="20"/>
                <w:szCs w:val="20"/>
                <w:lang w:val="en-GB"/>
              </w:rPr>
              <w:t>YES</w:t>
            </w:r>
            <w:r w:rsidR="003659D6">
              <w:rPr>
                <w:rFonts w:ascii="Arial" w:hAnsi="Arial" w:cs="Arial"/>
                <w:sz w:val="20"/>
                <w:szCs w:val="20"/>
                <w:lang w:val="en-GB"/>
              </w:rPr>
              <w:t>.</w:t>
            </w:r>
          </w:p>
        </w:tc>
        <w:tc>
          <w:tcPr>
            <w:tcW w:w="1671" w:type="pct"/>
            <w:gridSpan w:val="2"/>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291937">
        <w:tblPrEx>
          <w:shd w:val="clear" w:color="auto" w:fill="auto"/>
          <w:tblCellMar>
            <w:left w:w="108" w:type="dxa"/>
            <w:right w:w="108" w:type="dxa"/>
          </w:tblCellMar>
        </w:tblPrEx>
        <w:trPr>
          <w:trHeight w:val="1178"/>
        </w:trPr>
        <w:tc>
          <w:tcPr>
            <w:tcW w:w="1382" w:type="pct"/>
            <w:gridSpan w:val="3"/>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7" w:type="pct"/>
          </w:tcPr>
          <w:p w14:paraId="50A78266" w14:textId="6BB68F7C" w:rsidR="00FB3DE3" w:rsidRPr="00DE7D30" w:rsidRDefault="00E0559A" w:rsidP="00477844">
            <w:pPr>
              <w:rPr>
                <w:rFonts w:ascii="Arial" w:hAnsi="Arial" w:cs="Arial"/>
                <w:sz w:val="20"/>
                <w:szCs w:val="20"/>
                <w:lang w:val="en-GB"/>
              </w:rPr>
            </w:pPr>
            <w:r>
              <w:rPr>
                <w:rFonts w:ascii="Arial" w:hAnsi="Arial" w:cs="Arial"/>
                <w:sz w:val="20"/>
                <w:szCs w:val="20"/>
                <w:lang w:val="en-GB"/>
              </w:rPr>
              <w:t>YES</w:t>
            </w:r>
            <w:r w:rsidR="00914C50">
              <w:rPr>
                <w:rFonts w:ascii="Arial" w:hAnsi="Arial" w:cs="Arial"/>
                <w:sz w:val="20"/>
                <w:szCs w:val="20"/>
                <w:lang w:val="en-GB"/>
              </w:rPr>
              <w:t>.</w:t>
            </w:r>
          </w:p>
        </w:tc>
        <w:tc>
          <w:tcPr>
            <w:tcW w:w="1671" w:type="pct"/>
            <w:gridSpan w:val="2"/>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291937">
        <w:tblPrEx>
          <w:shd w:val="clear" w:color="auto" w:fill="auto"/>
          <w:tblCellMar>
            <w:left w:w="108" w:type="dxa"/>
            <w:right w:w="108" w:type="dxa"/>
          </w:tblCellMar>
        </w:tblPrEx>
        <w:trPr>
          <w:trHeight w:val="1178"/>
        </w:trPr>
        <w:tc>
          <w:tcPr>
            <w:tcW w:w="1382" w:type="pct"/>
            <w:gridSpan w:val="3"/>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7" w:type="pct"/>
          </w:tcPr>
          <w:p w14:paraId="48453557" w14:textId="77777777" w:rsidR="00E0559A" w:rsidRPr="001B5151" w:rsidRDefault="00E0559A" w:rsidP="00E0559A">
            <w:pPr>
              <w:pStyle w:val="yiv2693808652p1"/>
              <w:spacing w:before="0" w:beforeAutospacing="0" w:after="0" w:afterAutospacing="0"/>
              <w:rPr>
                <w:rStyle w:val="yiv2693808652s1"/>
                <w:rFonts w:ascii="UICTFontTextStyleBody" w:hAnsi="UICTFontTextStyleBody"/>
                <w:sz w:val="35"/>
                <w:szCs w:val="35"/>
              </w:rPr>
            </w:pPr>
            <w:r w:rsidRPr="001B5151">
              <w:rPr>
                <w:rStyle w:val="yiv2693808652s1"/>
                <w:rFonts w:ascii="UICTFontTextStyleBody" w:hAnsi="UICTFontTextStyleBody"/>
                <w:sz w:val="35"/>
                <w:szCs w:val="35"/>
              </w:rPr>
              <w:t xml:space="preserve">In section 4, the author stated how impossible it was for private companies doing wide-area payment business or special narrow-area environment token business, to change mobile game currencies to fiat money theoretically. </w:t>
            </w:r>
          </w:p>
          <w:p w14:paraId="221C2725" w14:textId="77777777"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p>
          <w:p w14:paraId="2D16766F" w14:textId="77777777" w:rsidR="00E0559A" w:rsidRPr="007B4BAC" w:rsidRDefault="00E0559A" w:rsidP="00E0559A">
            <w:pPr>
              <w:pStyle w:val="yiv2693808652p1"/>
              <w:spacing w:before="0" w:beforeAutospacing="0" w:after="0" w:afterAutospacing="0"/>
              <w:rPr>
                <w:rFonts w:ascii="UICTFontTextStyleBody" w:hAnsi="UICTFontTextStyleBody"/>
                <w:sz w:val="35"/>
                <w:szCs w:val="35"/>
              </w:rPr>
            </w:pPr>
            <w:r>
              <w:rPr>
                <w:rStyle w:val="yiv2693808652s1"/>
                <w:rFonts w:ascii="UICTFontTextStyleBody" w:hAnsi="UICTFontTextStyleBody"/>
                <w:sz w:val="35"/>
                <w:szCs w:val="35"/>
              </w:rPr>
              <w:t xml:space="preserve">On the contrary, given the significance of value attached to mobile game currencies, China could theoretically establish a structure for integrating mobile game tokens into the wider digital currency ecosystem. A critical requirement would be establishing exchange and tracking mechanisms between e-CNY and popular mobile game tokens. Also, PBoC, CIPS, and CHIPS may need to establish laws and regulations to address ensuing challenges from legal and regulatory perspectives to guarantee stability and security. </w:t>
            </w:r>
          </w:p>
          <w:p w14:paraId="51CA3872" w14:textId="77777777"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r>
              <w:rPr>
                <w:rStyle w:val="yiv2693808652s1"/>
                <w:rFonts w:ascii="UICTFontTextStyleBody" w:hAnsi="UICTFontTextStyleBody"/>
                <w:sz w:val="35"/>
                <w:szCs w:val="35"/>
              </w:rPr>
              <w:t xml:space="preserve"> </w:t>
            </w:r>
          </w:p>
          <w:p w14:paraId="55E44920" w14:textId="5AAC54BB"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r>
              <w:rPr>
                <w:rStyle w:val="yiv2693808652s1"/>
                <w:rFonts w:ascii="UICTFontTextStyleBody" w:hAnsi="UICTFontTextStyleBody"/>
                <w:sz w:val="35"/>
                <w:szCs w:val="35"/>
              </w:rPr>
              <w:t xml:space="preserve">Practically, a collaboration between the PBoC, game developers, and platform operators can facilitate the </w:t>
            </w:r>
            <w:r>
              <w:rPr>
                <w:rStyle w:val="yiv2693808652s1"/>
                <w:rFonts w:ascii="UICTFontTextStyleBody" w:hAnsi="UICTFontTextStyleBody"/>
                <w:sz w:val="35"/>
                <w:szCs w:val="35"/>
              </w:rPr>
              <w:lastRenderedPageBreak/>
              <w:t>conversion process by developing APIs or interoperability protocols to permit smooth exchange between e-CNY and mobile game tokens, integrating digital wallets with gaming platforms, and implementing identity verification and anti-money laundering measures to ensure compliance.</w:t>
            </w:r>
          </w:p>
          <w:p w14:paraId="203B772E" w14:textId="77777777"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p>
          <w:p w14:paraId="0EAEBCA0" w14:textId="77777777" w:rsidR="00E0559A" w:rsidRPr="001B5151" w:rsidRDefault="00E0559A" w:rsidP="00E0559A">
            <w:pPr>
              <w:pStyle w:val="yiv2693808652p1"/>
              <w:spacing w:before="0" w:beforeAutospacing="0" w:after="0" w:afterAutospacing="0"/>
              <w:rPr>
                <w:rStyle w:val="yiv2693808652s1"/>
                <w:rFonts w:ascii="UICTFontTextStyleBody" w:hAnsi="UICTFontTextStyleBody"/>
                <w:sz w:val="35"/>
                <w:szCs w:val="35"/>
              </w:rPr>
            </w:pPr>
            <w:r w:rsidRPr="001B5151">
              <w:rPr>
                <w:rStyle w:val="yiv2693808652s1"/>
                <w:rFonts w:ascii="UICTFontTextStyleBody" w:hAnsi="UICTFontTextStyleBody"/>
                <w:sz w:val="35"/>
                <w:szCs w:val="35"/>
              </w:rPr>
              <w:t xml:space="preserve">In section 5, the author has extensively discussed the globalization of e-CNY. He may wish to consider the following views. </w:t>
            </w:r>
          </w:p>
          <w:p w14:paraId="60870537" w14:textId="77777777" w:rsidR="00E0559A" w:rsidRDefault="00E0559A" w:rsidP="00E0559A">
            <w:pPr>
              <w:pStyle w:val="yiv2693808652p1"/>
              <w:spacing w:before="0" w:beforeAutospacing="0" w:after="0" w:afterAutospacing="0"/>
              <w:rPr>
                <w:sz w:val="35"/>
                <w:szCs w:val="35"/>
              </w:rPr>
            </w:pPr>
          </w:p>
          <w:p w14:paraId="36DFE693" w14:textId="45755FF8" w:rsidR="00E0559A" w:rsidRDefault="00E0559A" w:rsidP="00E0559A">
            <w:pPr>
              <w:rPr>
                <w:rStyle w:val="yiv2693808652s1"/>
                <w:rFonts w:ascii="UICTFontTextStyleBody" w:hAnsi="UICTFontTextStyleBody"/>
                <w:sz w:val="35"/>
                <w:szCs w:val="35"/>
                <w:lang w:val="en-GB"/>
              </w:rPr>
            </w:pPr>
            <w:r>
              <w:rPr>
                <w:rStyle w:val="yiv2693808652s1"/>
                <w:rFonts w:ascii="UICTFontTextStyleBody" w:hAnsi="UICTFontTextStyleBody"/>
                <w:sz w:val="35"/>
                <w:szCs w:val="35"/>
                <w:lang w:val="en-GB"/>
              </w:rPr>
              <w:t>R</w:t>
            </w:r>
            <w:proofErr w:type="spellStart"/>
            <w:r>
              <w:rPr>
                <w:rStyle w:val="yiv2693808652s1"/>
                <w:rFonts w:ascii="UICTFontTextStyleBody" w:hAnsi="UICTFontTextStyleBody"/>
                <w:sz w:val="35"/>
                <w:szCs w:val="35"/>
              </w:rPr>
              <w:t>estriction</w:t>
            </w:r>
            <w:proofErr w:type="spellEnd"/>
            <w:r>
              <w:rPr>
                <w:rStyle w:val="yiv2693808652s1"/>
                <w:rFonts w:ascii="UICTFontTextStyleBody" w:hAnsi="UICTFontTextStyleBody"/>
                <w:sz w:val="35"/>
                <w:szCs w:val="35"/>
              </w:rPr>
              <w:t xml:space="preserve"> on resident</w:t>
            </w:r>
            <w:r>
              <w:rPr>
                <w:rStyle w:val="yiv2693808652s1"/>
                <w:rFonts w:ascii="UICTFontTextStyleBody" w:hAnsi="UICTFontTextStyleBody"/>
                <w:sz w:val="35"/>
                <w:szCs w:val="35"/>
                <w:lang w:val="en-GB"/>
              </w:rPr>
              <w:t xml:space="preserve"> Chinese</w:t>
            </w:r>
            <w:r>
              <w:rPr>
                <w:rStyle w:val="yiv2693808652s1"/>
                <w:rFonts w:ascii="UICTFontTextStyleBody" w:hAnsi="UICTFontTextStyleBody"/>
                <w:sz w:val="35"/>
                <w:szCs w:val="35"/>
              </w:rPr>
              <w:t xml:space="preserve"> </w:t>
            </w:r>
            <w:proofErr w:type="gramStart"/>
            <w:r>
              <w:rPr>
                <w:rStyle w:val="yiv2693808652s1"/>
                <w:rFonts w:ascii="UICTFontTextStyleBody" w:hAnsi="UICTFontTextStyleBody"/>
                <w:sz w:val="35"/>
                <w:szCs w:val="35"/>
                <w:lang w:val="en-GB"/>
              </w:rPr>
              <w:t xml:space="preserve">from </w:t>
            </w:r>
            <w:r w:rsidR="001B5151">
              <w:rPr>
                <w:rStyle w:val="yiv2693808652s1"/>
                <w:rFonts w:ascii="UICTFontTextStyleBody" w:hAnsi="UICTFontTextStyleBody"/>
                <w:sz w:val="35"/>
                <w:szCs w:val="35"/>
                <w:lang w:val="en-GB"/>
              </w:rPr>
              <w:t xml:space="preserve"> </w:t>
            </w:r>
            <w:r>
              <w:rPr>
                <w:rStyle w:val="yiv2693808652s1"/>
                <w:rFonts w:ascii="UICTFontTextStyleBody" w:hAnsi="UICTFontTextStyleBody"/>
                <w:sz w:val="35"/>
                <w:szCs w:val="35"/>
                <w:lang w:val="en-GB"/>
              </w:rPr>
              <w:t>participating</w:t>
            </w:r>
            <w:proofErr w:type="gramEnd"/>
            <w:r>
              <w:rPr>
                <w:rStyle w:val="yiv2693808652s1"/>
                <w:rFonts w:ascii="UICTFontTextStyleBody" w:hAnsi="UICTFontTextStyleBody"/>
                <w:sz w:val="35"/>
                <w:szCs w:val="35"/>
              </w:rPr>
              <w:t xml:space="preserve"> in </w:t>
            </w:r>
            <w:r>
              <w:rPr>
                <w:rStyle w:val="yiv2693808652s1"/>
                <w:rFonts w:ascii="UICTFontTextStyleBody" w:hAnsi="UICTFontTextStyleBody"/>
                <w:sz w:val="35"/>
                <w:szCs w:val="35"/>
                <w:lang w:val="en-GB"/>
              </w:rPr>
              <w:t>the</w:t>
            </w:r>
            <w:r>
              <w:rPr>
                <w:rStyle w:val="yiv2693808652s1"/>
                <w:rFonts w:ascii="UICTFontTextStyleBody" w:hAnsi="UICTFontTextStyleBody"/>
                <w:sz w:val="35"/>
                <w:szCs w:val="35"/>
              </w:rPr>
              <w:t xml:space="preserve"> speculation </w:t>
            </w:r>
            <w:r>
              <w:rPr>
                <w:rStyle w:val="yiv2693808652s1"/>
                <w:rFonts w:ascii="UICTFontTextStyleBody" w:hAnsi="UICTFontTextStyleBody"/>
                <w:sz w:val="35"/>
                <w:szCs w:val="35"/>
                <w:lang w:val="en-GB"/>
              </w:rPr>
              <w:t>of FX and the USD 5,000 limit as the physical cash one</w:t>
            </w:r>
            <w:r>
              <w:rPr>
                <w:rStyle w:val="yiv2693808652s1"/>
                <w:rFonts w:ascii="UICTFontTextStyleBody" w:hAnsi="UICTFontTextStyleBody"/>
                <w:sz w:val="35"/>
                <w:szCs w:val="35"/>
              </w:rPr>
              <w:t xml:space="preserve"> can </w:t>
            </w:r>
            <w:r>
              <w:rPr>
                <w:rStyle w:val="yiv2693808652s1"/>
                <w:rFonts w:ascii="UICTFontTextStyleBody" w:hAnsi="UICTFontTextStyleBody"/>
                <w:sz w:val="35"/>
                <w:szCs w:val="35"/>
                <w:lang w:val="en-GB"/>
              </w:rPr>
              <w:t>carry</w:t>
            </w:r>
            <w:r>
              <w:rPr>
                <w:rStyle w:val="yiv2693808652s1"/>
                <w:rFonts w:ascii="UICTFontTextStyleBody" w:hAnsi="UICTFontTextStyleBody"/>
                <w:sz w:val="35"/>
                <w:szCs w:val="35"/>
              </w:rPr>
              <w:t xml:space="preserve"> into the country </w:t>
            </w:r>
            <w:r>
              <w:rPr>
                <w:rStyle w:val="yiv2693808652s1"/>
                <w:rFonts w:ascii="UICTFontTextStyleBody" w:hAnsi="UICTFontTextStyleBody"/>
                <w:sz w:val="35"/>
                <w:szCs w:val="35"/>
                <w:lang w:val="en-GB"/>
              </w:rPr>
              <w:t>may</w:t>
            </w:r>
            <w:r>
              <w:rPr>
                <w:rStyle w:val="yiv2693808652s1"/>
                <w:rFonts w:ascii="UICTFontTextStyleBody" w:hAnsi="UICTFontTextStyleBody"/>
                <w:sz w:val="35"/>
                <w:szCs w:val="35"/>
              </w:rPr>
              <w:t xml:space="preserve"> </w:t>
            </w:r>
            <w:r>
              <w:rPr>
                <w:rStyle w:val="yiv2693808652s1"/>
                <w:rFonts w:ascii="UICTFontTextStyleBody" w:hAnsi="UICTFontTextStyleBody"/>
                <w:sz w:val="35"/>
                <w:szCs w:val="35"/>
                <w:lang w:val="en-GB"/>
              </w:rPr>
              <w:t>negatively impair</w:t>
            </w:r>
            <w:r>
              <w:rPr>
                <w:rStyle w:val="yiv2693808652s1"/>
                <w:rFonts w:ascii="UICTFontTextStyleBody" w:hAnsi="UICTFontTextStyleBody"/>
                <w:sz w:val="35"/>
                <w:szCs w:val="35"/>
              </w:rPr>
              <w:t xml:space="preserve"> the </w:t>
            </w:r>
            <w:r>
              <w:rPr>
                <w:rStyle w:val="yiv2693808652s1"/>
                <w:rFonts w:ascii="UICTFontTextStyleBody" w:hAnsi="UICTFontTextStyleBody"/>
                <w:sz w:val="35"/>
                <w:szCs w:val="35"/>
                <w:lang w:val="en-GB"/>
              </w:rPr>
              <w:t xml:space="preserve">China </w:t>
            </w:r>
            <w:r>
              <w:rPr>
                <w:rStyle w:val="yiv2693808652s1"/>
                <w:rFonts w:ascii="UICTFontTextStyleBody" w:hAnsi="UICTFontTextStyleBody"/>
                <w:sz w:val="35"/>
                <w:szCs w:val="35"/>
              </w:rPr>
              <w:t xml:space="preserve">internationalization </w:t>
            </w:r>
            <w:r>
              <w:rPr>
                <w:rStyle w:val="yiv2693808652s1"/>
                <w:rFonts w:ascii="UICTFontTextStyleBody" w:hAnsi="UICTFontTextStyleBody"/>
                <w:sz w:val="35"/>
                <w:szCs w:val="35"/>
                <w:lang w:val="en-GB"/>
              </w:rPr>
              <w:t xml:space="preserve">efforts </w:t>
            </w:r>
            <w:r>
              <w:rPr>
                <w:rStyle w:val="yiv2693808652s1"/>
                <w:rFonts w:ascii="UICTFontTextStyleBody" w:hAnsi="UICTFontTextStyleBody"/>
                <w:sz w:val="35"/>
                <w:szCs w:val="35"/>
              </w:rPr>
              <w:t>of the RMB</w:t>
            </w:r>
            <w:r>
              <w:rPr>
                <w:rStyle w:val="yiv2693808652s1"/>
                <w:rFonts w:ascii="UICTFontTextStyleBody" w:hAnsi="UICTFontTextStyleBody"/>
                <w:sz w:val="35"/>
                <w:szCs w:val="35"/>
                <w:lang w:val="en-GB"/>
              </w:rPr>
              <w:t xml:space="preserve">. Also, limiting the amount of RMB that Chinese residents may invest abroad is likely to limit international circulation and impair its adoption globally. </w:t>
            </w:r>
          </w:p>
          <w:p w14:paraId="469D55D7" w14:textId="77777777" w:rsidR="00E0559A" w:rsidRDefault="00E0559A" w:rsidP="00E0559A">
            <w:pPr>
              <w:rPr>
                <w:rStyle w:val="yiv2693808652s1"/>
                <w:rFonts w:ascii="UICTFontTextStyleBody" w:hAnsi="UICTFontTextStyleBody"/>
                <w:sz w:val="35"/>
                <w:szCs w:val="35"/>
                <w:lang w:val="en-GB"/>
              </w:rPr>
            </w:pPr>
          </w:p>
          <w:p w14:paraId="1CF2FB0A" w14:textId="77777777" w:rsidR="00E0559A" w:rsidRDefault="00E0559A" w:rsidP="00E0559A">
            <w:pPr>
              <w:rPr>
                <w:rStyle w:val="yiv2693808652s1"/>
                <w:rFonts w:ascii="UICTFontTextStyleBody" w:hAnsi="UICTFontTextStyleBody"/>
                <w:sz w:val="35"/>
                <w:szCs w:val="35"/>
                <w:lang w:val="en-GB"/>
              </w:rPr>
            </w:pPr>
            <w:r>
              <w:rPr>
                <w:rStyle w:val="yiv2693808652s1"/>
                <w:rFonts w:ascii="UICTFontTextStyleBody" w:hAnsi="UICTFontTextStyleBody"/>
                <w:sz w:val="35"/>
                <w:szCs w:val="35"/>
                <w:lang w:val="en-GB"/>
              </w:rPr>
              <w:t xml:space="preserve">Other likely negative impacts may include a slow growth in outbound investment and cross-border trade. </w:t>
            </w:r>
          </w:p>
          <w:p w14:paraId="3095719F" w14:textId="77777777" w:rsidR="00E0559A" w:rsidRDefault="00E0559A" w:rsidP="00E0559A">
            <w:pPr>
              <w:rPr>
                <w:rStyle w:val="yiv2693808652s1"/>
                <w:rFonts w:ascii="UICTFontTextStyleBody" w:hAnsi="UICTFontTextStyleBody"/>
                <w:sz w:val="35"/>
                <w:szCs w:val="35"/>
                <w:lang w:val="en-GB"/>
              </w:rPr>
            </w:pPr>
            <w:r>
              <w:rPr>
                <w:rStyle w:val="yiv2693808652s1"/>
                <w:rFonts w:ascii="UICTFontTextStyleBody" w:hAnsi="UICTFontTextStyleBody"/>
                <w:sz w:val="35"/>
                <w:szCs w:val="35"/>
                <w:lang w:val="en-GB"/>
              </w:rPr>
              <w:t xml:space="preserve">The author may consider recommending in his book the following: </w:t>
            </w:r>
          </w:p>
          <w:p w14:paraId="7034A312" w14:textId="77777777" w:rsidR="00E0559A" w:rsidRPr="0047776E" w:rsidRDefault="00E0559A" w:rsidP="00E0559A">
            <w:pPr>
              <w:pStyle w:val="ListParagraph"/>
              <w:numPr>
                <w:ilvl w:val="0"/>
                <w:numId w:val="11"/>
              </w:numPr>
              <w:rPr>
                <w:rStyle w:val="yiv2693808652s2"/>
                <w:rFonts w:ascii="UICTFontTextStyleBody" w:hAnsi="UICTFontTextStyleBody"/>
                <w:sz w:val="35"/>
                <w:szCs w:val="35"/>
                <w:lang w:val="en-GB"/>
              </w:rPr>
            </w:pPr>
            <w:r w:rsidRPr="0047776E">
              <w:rPr>
                <w:rStyle w:val="yiv2693808652s1"/>
                <w:rFonts w:ascii="UICTFontTextStyleBody" w:hAnsi="UICTFontTextStyleBody"/>
                <w:sz w:val="35"/>
                <w:szCs w:val="35"/>
                <w:lang w:val="en-GB"/>
              </w:rPr>
              <w:t xml:space="preserve">China to consider </w:t>
            </w:r>
            <w:r>
              <w:rPr>
                <w:rStyle w:val="yiv2693808652s2"/>
                <w:rFonts w:ascii="UICTFontTextStyleEmphasizedBody" w:hAnsi="UICTFontTextStyleEmphasizedBody"/>
                <w:bCs/>
                <w:sz w:val="35"/>
                <w:szCs w:val="35"/>
                <w:lang w:val="en-GB"/>
              </w:rPr>
              <w:t>g</w:t>
            </w:r>
            <w:proofErr w:type="spellStart"/>
            <w:r w:rsidRPr="0047776E">
              <w:rPr>
                <w:rStyle w:val="yiv2693808652s2"/>
                <w:rFonts w:ascii="UICTFontTextStyleEmphasizedBody" w:hAnsi="UICTFontTextStyleEmphasizedBody"/>
                <w:bCs/>
                <w:sz w:val="35"/>
                <w:szCs w:val="35"/>
              </w:rPr>
              <w:t>radual</w:t>
            </w:r>
            <w:proofErr w:type="spellEnd"/>
            <w:r w:rsidRPr="0047776E">
              <w:rPr>
                <w:rStyle w:val="yiv2693808652s2"/>
                <w:rFonts w:ascii="UICTFontTextStyleEmphasizedBody" w:hAnsi="UICTFontTextStyleEmphasizedBody"/>
                <w:bCs/>
                <w:sz w:val="35"/>
                <w:szCs w:val="35"/>
              </w:rPr>
              <w:t xml:space="preserve"> </w:t>
            </w:r>
            <w:r w:rsidRPr="0047776E">
              <w:rPr>
                <w:rStyle w:val="yiv2693808652s2"/>
                <w:rFonts w:ascii="UICTFontTextStyleEmphasizedBody" w:hAnsi="UICTFontTextStyleEmphasizedBody"/>
                <w:bCs/>
                <w:sz w:val="35"/>
                <w:szCs w:val="35"/>
                <w:lang w:val="en-GB"/>
              </w:rPr>
              <w:t>r</w:t>
            </w:r>
            <w:proofErr w:type="spellStart"/>
            <w:r w:rsidRPr="0047776E">
              <w:rPr>
                <w:rStyle w:val="yiv2693808652s2"/>
                <w:rFonts w:ascii="UICTFontTextStyleEmphasizedBody" w:hAnsi="UICTFontTextStyleEmphasizedBody"/>
                <w:bCs/>
                <w:sz w:val="35"/>
                <w:szCs w:val="35"/>
              </w:rPr>
              <w:t>elaxation</w:t>
            </w:r>
            <w:proofErr w:type="spellEnd"/>
            <w:r w:rsidRPr="0047776E">
              <w:rPr>
                <w:rStyle w:val="yiv2693808652s2"/>
                <w:rFonts w:ascii="UICTFontTextStyleEmphasizedBody" w:hAnsi="UICTFontTextStyleEmphasizedBody"/>
                <w:bCs/>
                <w:sz w:val="35"/>
                <w:szCs w:val="35"/>
              </w:rPr>
              <w:t xml:space="preserve"> of </w:t>
            </w:r>
            <w:r>
              <w:rPr>
                <w:rStyle w:val="yiv2693808652s2"/>
                <w:rFonts w:ascii="UICTFontTextStyleEmphasizedBody" w:hAnsi="UICTFontTextStyleEmphasizedBody"/>
                <w:bCs/>
                <w:sz w:val="35"/>
                <w:szCs w:val="35"/>
                <w:lang w:val="en-GB"/>
              </w:rPr>
              <w:t xml:space="preserve">the </w:t>
            </w:r>
            <w:r w:rsidRPr="0047776E">
              <w:rPr>
                <w:rStyle w:val="yiv2693808652s2"/>
                <w:rFonts w:ascii="UICTFontTextStyleEmphasizedBody" w:hAnsi="UICTFontTextStyleEmphasizedBody"/>
                <w:bCs/>
                <w:sz w:val="35"/>
                <w:szCs w:val="35"/>
                <w:lang w:val="en-GB"/>
              </w:rPr>
              <w:t>r</w:t>
            </w:r>
            <w:proofErr w:type="spellStart"/>
            <w:r w:rsidRPr="0047776E">
              <w:rPr>
                <w:rStyle w:val="yiv2693808652s2"/>
                <w:rFonts w:ascii="UICTFontTextStyleEmphasizedBody" w:eastAsia="MS Mincho" w:hAnsi="UICTFontTextStyleEmphasizedBody"/>
                <w:bCs/>
                <w:sz w:val="35"/>
                <w:szCs w:val="35"/>
              </w:rPr>
              <w:t>estrictions</w:t>
            </w:r>
            <w:proofErr w:type="spellEnd"/>
            <w:r>
              <w:rPr>
                <w:rStyle w:val="yiv2693808652s2"/>
                <w:rFonts w:ascii="UICTFontTextStyleEmphasizedBody" w:hAnsi="UICTFontTextStyleEmphasizedBody"/>
                <w:bCs/>
                <w:sz w:val="35"/>
                <w:szCs w:val="35"/>
                <w:lang w:val="en-GB"/>
              </w:rPr>
              <w:t>.</w:t>
            </w:r>
          </w:p>
          <w:p w14:paraId="2E60E03A" w14:textId="77777777" w:rsidR="00E0559A" w:rsidRPr="0047776E" w:rsidRDefault="00E0559A" w:rsidP="00E0559A">
            <w:pPr>
              <w:pStyle w:val="ListParagraph"/>
              <w:numPr>
                <w:ilvl w:val="0"/>
                <w:numId w:val="11"/>
              </w:numPr>
              <w:rPr>
                <w:rStyle w:val="yiv2693808652s2"/>
                <w:rFonts w:ascii="UICTFontTextStyleBody" w:hAnsi="UICTFontTextStyleBody"/>
                <w:sz w:val="35"/>
                <w:szCs w:val="35"/>
                <w:lang w:val="en-GB"/>
              </w:rPr>
            </w:pPr>
            <w:r w:rsidRPr="0047776E">
              <w:rPr>
                <w:rStyle w:val="yiv2693808652s2"/>
                <w:rFonts w:ascii="UICTFontTextStyleEmphasizedBody" w:hAnsi="UICTFontTextStyleEmphasizedBody"/>
                <w:bCs/>
                <w:sz w:val="35"/>
                <w:szCs w:val="35"/>
                <w:lang w:val="en-GB"/>
              </w:rPr>
              <w:t xml:space="preserve"> </w:t>
            </w:r>
            <w:r>
              <w:rPr>
                <w:rStyle w:val="yiv2693808652s2"/>
                <w:rFonts w:ascii="UICTFontTextStyleEmphasizedBody" w:hAnsi="UICTFontTextStyleEmphasizedBody"/>
                <w:bCs/>
                <w:sz w:val="35"/>
                <w:szCs w:val="35"/>
                <w:lang w:val="en-GB"/>
              </w:rPr>
              <w:t>China to consider l</w:t>
            </w:r>
            <w:proofErr w:type="spellStart"/>
            <w:r w:rsidRPr="0047776E">
              <w:rPr>
                <w:rStyle w:val="yiv2693808652s2"/>
                <w:rFonts w:ascii="UICTFontTextStyleEmphasizedBody" w:hAnsi="UICTFontTextStyleEmphasizedBody"/>
                <w:bCs/>
                <w:sz w:val="35"/>
                <w:szCs w:val="35"/>
              </w:rPr>
              <w:t>iberalization</w:t>
            </w:r>
            <w:proofErr w:type="spellEnd"/>
            <w:r w:rsidRPr="0047776E">
              <w:rPr>
                <w:rStyle w:val="yiv2693808652s2"/>
                <w:rFonts w:ascii="UICTFontTextStyleEmphasizedBody" w:hAnsi="UICTFontTextStyleEmphasizedBody"/>
                <w:bCs/>
                <w:sz w:val="35"/>
                <w:szCs w:val="35"/>
              </w:rPr>
              <w:t xml:space="preserve"> of </w:t>
            </w:r>
            <w:r w:rsidRPr="0047776E">
              <w:rPr>
                <w:rStyle w:val="yiv2693808652s2"/>
                <w:rFonts w:ascii="UICTFontTextStyleEmphasizedBody" w:hAnsi="UICTFontTextStyleEmphasizedBody"/>
                <w:bCs/>
                <w:sz w:val="35"/>
                <w:szCs w:val="35"/>
                <w:lang w:val="en-GB"/>
              </w:rPr>
              <w:t>c</w:t>
            </w:r>
            <w:proofErr w:type="spellStart"/>
            <w:r w:rsidRPr="0047776E">
              <w:rPr>
                <w:rStyle w:val="yiv2693808652s2"/>
                <w:rFonts w:ascii="UICTFontTextStyleEmphasizedBody" w:hAnsi="UICTFontTextStyleEmphasizedBody"/>
                <w:bCs/>
                <w:sz w:val="35"/>
                <w:szCs w:val="35"/>
              </w:rPr>
              <w:t>apital</w:t>
            </w:r>
            <w:proofErr w:type="spellEnd"/>
            <w:r w:rsidRPr="0047776E">
              <w:rPr>
                <w:rStyle w:val="yiv2693808652s2"/>
                <w:rFonts w:ascii="UICTFontTextStyleEmphasizedBody" w:hAnsi="UICTFontTextStyleEmphasizedBody"/>
                <w:bCs/>
                <w:sz w:val="35"/>
                <w:szCs w:val="35"/>
              </w:rPr>
              <w:t xml:space="preserve"> </w:t>
            </w:r>
            <w:r w:rsidRPr="0047776E">
              <w:rPr>
                <w:rStyle w:val="yiv2693808652s2"/>
                <w:rFonts w:ascii="UICTFontTextStyleEmphasizedBody" w:hAnsi="UICTFontTextStyleEmphasizedBody"/>
                <w:bCs/>
                <w:sz w:val="35"/>
                <w:szCs w:val="35"/>
                <w:lang w:val="en-GB"/>
              </w:rPr>
              <w:t>account c</w:t>
            </w:r>
            <w:proofErr w:type="spellStart"/>
            <w:r w:rsidRPr="0047776E">
              <w:rPr>
                <w:rStyle w:val="yiv2693808652s2"/>
                <w:rFonts w:ascii="UICTFontTextStyleEmphasizedBody" w:eastAsia="MS Mincho" w:hAnsi="UICTFontTextStyleEmphasizedBody"/>
                <w:bCs/>
                <w:sz w:val="35"/>
                <w:szCs w:val="35"/>
              </w:rPr>
              <w:t>ontrols</w:t>
            </w:r>
            <w:proofErr w:type="spellEnd"/>
            <w:r w:rsidRPr="0047776E">
              <w:rPr>
                <w:rStyle w:val="yiv2693808652s2"/>
                <w:rFonts w:ascii="UICTFontTextStyleEmphasizedBody" w:hAnsi="UICTFontTextStyleEmphasizedBody"/>
                <w:bCs/>
                <w:sz w:val="35"/>
                <w:szCs w:val="35"/>
                <w:lang w:val="en-GB"/>
              </w:rPr>
              <w:t xml:space="preserve"> and</w:t>
            </w:r>
            <w:r>
              <w:rPr>
                <w:rStyle w:val="yiv2693808652s2"/>
                <w:rFonts w:ascii="UICTFontTextStyleEmphasizedBody" w:hAnsi="UICTFontTextStyleEmphasizedBody"/>
                <w:bCs/>
                <w:sz w:val="35"/>
                <w:szCs w:val="35"/>
                <w:lang w:val="en-GB"/>
              </w:rPr>
              <w:t>,</w:t>
            </w:r>
          </w:p>
          <w:p w14:paraId="5586E01E" w14:textId="77777777" w:rsidR="00E0559A" w:rsidRPr="0047776E" w:rsidRDefault="00E0559A" w:rsidP="00E0559A">
            <w:pPr>
              <w:pStyle w:val="ListParagraph"/>
              <w:numPr>
                <w:ilvl w:val="0"/>
                <w:numId w:val="11"/>
              </w:numPr>
              <w:rPr>
                <w:rStyle w:val="yiv2693808652s1"/>
                <w:rFonts w:ascii="UICTFontTextStyleBody" w:hAnsi="UICTFontTextStyleBody"/>
                <w:sz w:val="35"/>
                <w:szCs w:val="35"/>
                <w:lang w:val="en-GB"/>
              </w:rPr>
            </w:pPr>
            <w:r w:rsidRPr="0047776E">
              <w:rPr>
                <w:rStyle w:val="yiv2693808652s2"/>
                <w:rFonts w:ascii="UICTFontTextStyleEmphasizedBody" w:hAnsi="UICTFontTextStyleEmphasizedBody"/>
                <w:bCs/>
                <w:sz w:val="35"/>
                <w:szCs w:val="35"/>
                <w:lang w:val="en-GB"/>
              </w:rPr>
              <w:t xml:space="preserve"> </w:t>
            </w:r>
            <w:r>
              <w:rPr>
                <w:rStyle w:val="yiv2693808652s2"/>
                <w:rFonts w:ascii="UICTFontTextStyleEmphasizedBody" w:hAnsi="UICTFontTextStyleEmphasizedBody"/>
                <w:bCs/>
                <w:sz w:val="35"/>
                <w:szCs w:val="35"/>
                <w:lang w:val="en-GB"/>
              </w:rPr>
              <w:t xml:space="preserve">China to actively </w:t>
            </w:r>
            <w:r w:rsidRPr="0047776E">
              <w:rPr>
                <w:rStyle w:val="yiv2693808652s2"/>
                <w:rFonts w:ascii="UICTFontTextStyleEmphasizedBody" w:hAnsi="UICTFontTextStyleEmphasizedBody"/>
                <w:bCs/>
                <w:sz w:val="35"/>
                <w:szCs w:val="35"/>
                <w:lang w:val="en-GB"/>
              </w:rPr>
              <w:t>p</w:t>
            </w:r>
            <w:proofErr w:type="spellStart"/>
            <w:r>
              <w:rPr>
                <w:rStyle w:val="yiv2693808652s2"/>
                <w:rFonts w:ascii="UICTFontTextStyleEmphasizedBody" w:hAnsi="UICTFontTextStyleEmphasizedBody"/>
                <w:bCs/>
                <w:sz w:val="35"/>
                <w:szCs w:val="35"/>
              </w:rPr>
              <w:t>romot</w:t>
            </w:r>
            <w:proofErr w:type="spellEnd"/>
            <w:r>
              <w:rPr>
                <w:rStyle w:val="yiv2693808652s2"/>
                <w:rFonts w:ascii="UICTFontTextStyleEmphasizedBody" w:hAnsi="UICTFontTextStyleEmphasizedBody"/>
                <w:bCs/>
                <w:sz w:val="35"/>
                <w:szCs w:val="35"/>
                <w:lang w:val="en-GB"/>
              </w:rPr>
              <w:t>e</w:t>
            </w:r>
            <w:r w:rsidRPr="0047776E">
              <w:rPr>
                <w:rStyle w:val="yiv2693808652s2"/>
                <w:rFonts w:ascii="UICTFontTextStyleEmphasizedBody" w:hAnsi="UICTFontTextStyleEmphasizedBody"/>
                <w:bCs/>
                <w:sz w:val="35"/>
                <w:szCs w:val="35"/>
              </w:rPr>
              <w:t xml:space="preserve"> RMB </w:t>
            </w:r>
            <w:r w:rsidRPr="0047776E">
              <w:rPr>
                <w:rStyle w:val="yiv2693808652s2"/>
                <w:rFonts w:ascii="UICTFontTextStyleEmphasizedBody" w:hAnsi="UICTFontTextStyleEmphasizedBody"/>
                <w:bCs/>
                <w:sz w:val="35"/>
                <w:szCs w:val="35"/>
                <w:lang w:val="en-GB"/>
              </w:rPr>
              <w:t>u</w:t>
            </w:r>
            <w:r w:rsidRPr="0047776E">
              <w:rPr>
                <w:rStyle w:val="yiv2693808652s2"/>
                <w:rFonts w:ascii="UICTFontTextStyleEmphasizedBody" w:eastAsia="MS Mincho" w:hAnsi="UICTFontTextStyleEmphasizedBody"/>
                <w:bCs/>
                <w:sz w:val="35"/>
                <w:szCs w:val="35"/>
              </w:rPr>
              <w:t>sage</w:t>
            </w:r>
            <w:r w:rsidRPr="0047776E">
              <w:rPr>
                <w:rStyle w:val="yiv2693808652s2"/>
                <w:rFonts w:ascii="UICTFontTextStyleEmphasizedBody" w:hAnsi="UICTFontTextStyleEmphasizedBody"/>
                <w:bCs/>
                <w:sz w:val="35"/>
                <w:szCs w:val="35"/>
                <w:lang w:val="en-GB"/>
              </w:rPr>
              <w:t xml:space="preserve"> abroad</w:t>
            </w:r>
            <w:r>
              <w:rPr>
                <w:rStyle w:val="yiv2693808652s2"/>
                <w:rFonts w:ascii="UICTFontTextStyleEmphasizedBody" w:hAnsi="UICTFontTextStyleEmphasizedBody"/>
                <w:bCs/>
                <w:sz w:val="35"/>
                <w:szCs w:val="35"/>
                <w:lang w:val="en-GB"/>
              </w:rPr>
              <w:t xml:space="preserve"> starting with</w:t>
            </w:r>
            <w:r w:rsidRPr="0047776E">
              <w:rPr>
                <w:rStyle w:val="yiv2693808652s2"/>
                <w:rFonts w:ascii="UICTFontTextStyleEmphasizedBody" w:hAnsi="UICTFontTextStyleEmphasizedBody"/>
                <w:bCs/>
                <w:sz w:val="35"/>
                <w:szCs w:val="35"/>
                <w:lang w:val="en-GB"/>
              </w:rPr>
              <w:t xml:space="preserve"> </w:t>
            </w:r>
            <w:r>
              <w:rPr>
                <w:rStyle w:val="yiv2693808652s2"/>
                <w:rFonts w:ascii="UICTFontTextStyleEmphasizedBody" w:hAnsi="UICTFontTextStyleEmphasizedBody"/>
                <w:bCs/>
                <w:sz w:val="35"/>
                <w:szCs w:val="35"/>
                <w:lang w:val="en-GB"/>
              </w:rPr>
              <w:t xml:space="preserve">the </w:t>
            </w:r>
            <w:r w:rsidRPr="0047776E">
              <w:rPr>
                <w:rStyle w:val="yiv2693808652s2"/>
                <w:rFonts w:ascii="UICTFontTextStyleEmphasizedBody" w:hAnsi="UICTFontTextStyleEmphasizedBody"/>
                <w:bCs/>
                <w:sz w:val="35"/>
                <w:szCs w:val="35"/>
                <w:lang w:val="en-GB"/>
              </w:rPr>
              <w:t>BRICS</w:t>
            </w:r>
            <w:r>
              <w:rPr>
                <w:rStyle w:val="yiv2693808652s2"/>
                <w:rFonts w:ascii="UICTFontTextStyleEmphasizedBody" w:hAnsi="UICTFontTextStyleEmphasizedBody"/>
                <w:bCs/>
                <w:sz w:val="35"/>
                <w:szCs w:val="35"/>
                <w:lang w:val="en-GB"/>
              </w:rPr>
              <w:t xml:space="preserve"> economic block.</w:t>
            </w:r>
          </w:p>
          <w:p w14:paraId="3250D0F1" w14:textId="77777777" w:rsidR="00E0559A" w:rsidRDefault="00E0559A" w:rsidP="00E0559A">
            <w:pPr>
              <w:rPr>
                <w:rStyle w:val="yiv2693808652s1"/>
                <w:rFonts w:ascii="UICTFontTextStyleBody" w:hAnsi="UICTFontTextStyleBody"/>
                <w:sz w:val="35"/>
                <w:szCs w:val="35"/>
                <w:lang w:val="en-GB"/>
              </w:rPr>
            </w:pPr>
          </w:p>
          <w:p w14:paraId="616C728F" w14:textId="77777777" w:rsidR="00E0559A" w:rsidRPr="006C1AC6" w:rsidRDefault="00E0559A" w:rsidP="00E0559A">
            <w:pPr>
              <w:rPr>
                <w:rStyle w:val="yiv2693808652s1"/>
                <w:rFonts w:asciiTheme="minorHAnsi" w:hAnsiTheme="minorHAnsi"/>
                <w:sz w:val="35"/>
                <w:szCs w:val="35"/>
              </w:rPr>
            </w:pPr>
          </w:p>
          <w:p w14:paraId="1873BCF5" w14:textId="77777777" w:rsidR="00E0559A" w:rsidRPr="001B5151" w:rsidRDefault="00E0559A" w:rsidP="00E0559A">
            <w:pPr>
              <w:pStyle w:val="yiv2693808652p1"/>
              <w:spacing w:before="0" w:beforeAutospacing="0" w:after="0" w:afterAutospacing="0"/>
              <w:rPr>
                <w:rStyle w:val="yiv2693808652s1"/>
                <w:rFonts w:ascii="UICTFontTextStyleBody" w:hAnsi="UICTFontTextStyleBody"/>
                <w:sz w:val="35"/>
                <w:szCs w:val="35"/>
              </w:rPr>
            </w:pPr>
            <w:r w:rsidRPr="001B5151">
              <w:rPr>
                <w:rStyle w:val="yiv2693808652s1"/>
                <w:rFonts w:ascii="UICTFontTextStyleBody" w:hAnsi="UICTFontTextStyleBody"/>
                <w:sz w:val="35"/>
                <w:szCs w:val="35"/>
              </w:rPr>
              <w:t>In section 6 the author has correctly discussed the potential impact on monetary and central bank policies and deflation from transferring larger amounts of e-CNY from M0 to M1 and M2.</w:t>
            </w:r>
          </w:p>
          <w:p w14:paraId="2B24B0C9" w14:textId="77777777"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p>
          <w:p w14:paraId="399EE82F" w14:textId="0B65C7BD"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r>
              <w:rPr>
                <w:rStyle w:val="yiv2693808652s1"/>
                <w:rFonts w:ascii="UICTFontTextStyleBody" w:hAnsi="UICTFontTextStyleBody"/>
                <w:sz w:val="35"/>
                <w:szCs w:val="35"/>
              </w:rPr>
              <w:t xml:space="preserve">While the resultant shocks can fully be reversed by the monetary tools available to the PBoC including interest rates, the benefits from e-CNY adoption include financial inclusion, modernization of payment systems, improved regulatory controls, reduction of cash handling costs, and internationalization of the RMB on China’s economy far more outweigh the skepticism about e-CNY adoption.  </w:t>
            </w:r>
          </w:p>
          <w:p w14:paraId="203E32C3" w14:textId="77777777"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p>
          <w:p w14:paraId="0D2E1498" w14:textId="73C542A3"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r>
              <w:rPr>
                <w:rStyle w:val="yiv2693808652s1"/>
                <w:rFonts w:ascii="UICTFontTextStyleBody" w:hAnsi="UICTFontTextStyleBody"/>
                <w:sz w:val="35"/>
                <w:szCs w:val="35"/>
              </w:rPr>
              <w:t xml:space="preserve">Here, the author may wish to study how the M-Pesa revolutionized the payment system in East Africa (Kenya, Tanzania, and Uganda) in the Government-led e-money adoption. They had similar skeptics who have since embraced the full adoption. Also, quarterly reports of the three central banks provide statistics on the ratio of e-money to other currencies with no adverse effects on the economy.  </w:t>
            </w:r>
          </w:p>
          <w:p w14:paraId="3BD8D613" w14:textId="77777777" w:rsidR="00E0559A" w:rsidRDefault="00E0559A" w:rsidP="00E0559A">
            <w:pPr>
              <w:pStyle w:val="yiv2693808652p1"/>
              <w:spacing w:before="0" w:beforeAutospacing="0" w:after="0" w:afterAutospacing="0"/>
              <w:rPr>
                <w:rStyle w:val="yiv2693808652s1"/>
                <w:rFonts w:ascii="UICTFontTextStyleBody" w:hAnsi="UICTFontTextStyleBody"/>
                <w:sz w:val="35"/>
                <w:szCs w:val="35"/>
              </w:rPr>
            </w:pPr>
          </w:p>
          <w:p w14:paraId="5C93CB83" w14:textId="77777777" w:rsidR="004430CD" w:rsidRPr="00DE7D30" w:rsidRDefault="004430CD" w:rsidP="00477844">
            <w:pPr>
              <w:pStyle w:val="ListParagraph"/>
              <w:rPr>
                <w:rFonts w:ascii="Arial" w:hAnsi="Arial" w:cs="Arial"/>
                <w:sz w:val="20"/>
                <w:szCs w:val="20"/>
                <w:lang w:val="en-GB"/>
              </w:rPr>
            </w:pPr>
          </w:p>
        </w:tc>
        <w:tc>
          <w:tcPr>
            <w:tcW w:w="1671" w:type="pct"/>
            <w:gridSpan w:val="2"/>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291937">
        <w:tblPrEx>
          <w:shd w:val="clear" w:color="auto" w:fill="auto"/>
          <w:tblCellMar>
            <w:left w:w="108" w:type="dxa"/>
            <w:right w:w="108" w:type="dxa"/>
          </w:tblCellMar>
        </w:tblPrEx>
        <w:trPr>
          <w:trHeight w:val="1178"/>
        </w:trPr>
        <w:tc>
          <w:tcPr>
            <w:tcW w:w="1382" w:type="pct"/>
            <w:gridSpan w:val="3"/>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7" w:type="pct"/>
          </w:tcPr>
          <w:p w14:paraId="6D532B8F" w14:textId="76282CA8" w:rsidR="005F184C" w:rsidRPr="00DE7D30" w:rsidRDefault="001B5151" w:rsidP="003659D6">
            <w:pPr>
              <w:rPr>
                <w:rFonts w:ascii="Arial" w:hAnsi="Arial" w:cs="Arial"/>
                <w:sz w:val="20"/>
                <w:szCs w:val="20"/>
                <w:lang w:val="en-GB"/>
              </w:rPr>
            </w:pPr>
            <w:r>
              <w:rPr>
                <w:rFonts w:ascii="Arial" w:hAnsi="Arial" w:cs="Arial"/>
                <w:sz w:val="20"/>
                <w:szCs w:val="20"/>
                <w:lang w:val="en-GB"/>
              </w:rPr>
              <w:t>YES.</w:t>
            </w:r>
            <w:r w:rsidR="00EF6BB1">
              <w:rPr>
                <w:rFonts w:ascii="Arial" w:hAnsi="Arial" w:cs="Arial"/>
                <w:sz w:val="20"/>
                <w:szCs w:val="20"/>
                <w:lang w:val="en-GB"/>
              </w:rPr>
              <w:t xml:space="preserve"> Most peer-reviewed articles</w:t>
            </w:r>
            <w:r w:rsidR="003659D6">
              <w:rPr>
                <w:rFonts w:ascii="Arial" w:hAnsi="Arial" w:cs="Arial"/>
                <w:sz w:val="20"/>
                <w:szCs w:val="20"/>
                <w:lang w:val="en-GB"/>
              </w:rPr>
              <w:t xml:space="preserve"> are current and relevant to the subject matter.</w:t>
            </w:r>
          </w:p>
        </w:tc>
        <w:tc>
          <w:tcPr>
            <w:tcW w:w="1671" w:type="pct"/>
            <w:gridSpan w:val="2"/>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105428" w:rsidRPr="00340561" w14:paraId="2F1D4C58" w14:textId="77777777" w:rsidTr="0090300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E401FBF" w14:textId="77777777" w:rsidR="00105428" w:rsidRPr="00340561" w:rsidRDefault="00105428" w:rsidP="0090300C">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2D0EE2BE" w14:textId="77777777" w:rsidR="00105428" w:rsidRPr="00340561" w:rsidRDefault="00105428" w:rsidP="0090300C">
            <w:pPr>
              <w:rPr>
                <w:rFonts w:ascii="Arial" w:eastAsia="Arial Unicode MS" w:hAnsi="Arial" w:cs="Arial"/>
                <w:b/>
                <w:sz w:val="20"/>
                <w:szCs w:val="20"/>
                <w:u w:val="single"/>
                <w:lang w:val="en-GB"/>
              </w:rPr>
            </w:pPr>
          </w:p>
        </w:tc>
      </w:tr>
      <w:tr w:rsidR="00105428" w:rsidRPr="00340561" w14:paraId="7399FBFA" w14:textId="77777777" w:rsidTr="0090300C">
        <w:tc>
          <w:tcPr>
            <w:tcW w:w="1629" w:type="pct"/>
            <w:shd w:val="clear" w:color="auto" w:fill="auto"/>
            <w:noWrap/>
            <w:tcMar>
              <w:top w:w="0" w:type="dxa"/>
              <w:left w:w="108" w:type="dxa"/>
              <w:bottom w:w="0" w:type="dxa"/>
              <w:right w:w="108" w:type="dxa"/>
            </w:tcMar>
            <w:vAlign w:val="center"/>
          </w:tcPr>
          <w:p w14:paraId="1206A416" w14:textId="77777777" w:rsidR="00105428" w:rsidRPr="00340561" w:rsidRDefault="00105428" w:rsidP="0090300C">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23D1AAD9" w14:textId="77777777" w:rsidR="00105428" w:rsidRPr="00340561" w:rsidRDefault="00105428" w:rsidP="0090300C">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3D940BEB" w14:textId="77777777" w:rsidR="00105428" w:rsidRPr="00340561" w:rsidRDefault="00105428" w:rsidP="0090300C">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05428" w:rsidRPr="00340561" w14:paraId="240D66FD" w14:textId="77777777" w:rsidTr="0090300C">
        <w:trPr>
          <w:trHeight w:val="890"/>
        </w:trPr>
        <w:tc>
          <w:tcPr>
            <w:tcW w:w="1629" w:type="pct"/>
            <w:shd w:val="clear" w:color="auto" w:fill="auto"/>
            <w:noWrap/>
            <w:tcMar>
              <w:top w:w="0" w:type="dxa"/>
              <w:left w:w="108" w:type="dxa"/>
              <w:bottom w:w="0" w:type="dxa"/>
              <w:right w:w="108" w:type="dxa"/>
            </w:tcMar>
            <w:vAlign w:val="center"/>
          </w:tcPr>
          <w:p w14:paraId="75649C34" w14:textId="77777777" w:rsidR="00105428" w:rsidRPr="00340561" w:rsidRDefault="00105428" w:rsidP="0090300C">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FC976CB" w14:textId="77777777" w:rsidR="00105428" w:rsidRPr="00340561" w:rsidRDefault="00105428" w:rsidP="0090300C">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5EDF25FB" w14:textId="77777777" w:rsidR="00105428" w:rsidRPr="00340561" w:rsidRDefault="00105428" w:rsidP="0090300C">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31C0FF07" w14:textId="77777777" w:rsidR="00105428" w:rsidRPr="00340561" w:rsidRDefault="00105428" w:rsidP="0090300C">
            <w:pPr>
              <w:rPr>
                <w:rFonts w:ascii="Arial" w:eastAsia="Arial Unicode MS" w:hAnsi="Arial" w:cs="Arial"/>
                <w:sz w:val="20"/>
                <w:szCs w:val="20"/>
                <w:lang w:val="en-GB"/>
              </w:rPr>
            </w:pPr>
          </w:p>
          <w:p w14:paraId="54047826" w14:textId="77777777" w:rsidR="00105428" w:rsidRPr="00340561" w:rsidRDefault="00105428" w:rsidP="0090300C">
            <w:pPr>
              <w:rPr>
                <w:rFonts w:ascii="Arial" w:eastAsia="Arial Unicode MS" w:hAnsi="Arial" w:cs="Arial"/>
                <w:sz w:val="20"/>
                <w:szCs w:val="20"/>
                <w:lang w:val="en-GB"/>
              </w:rPr>
            </w:pPr>
          </w:p>
        </w:tc>
        <w:tc>
          <w:tcPr>
            <w:tcW w:w="1684" w:type="pct"/>
            <w:shd w:val="clear" w:color="auto" w:fill="auto"/>
            <w:vAlign w:val="center"/>
          </w:tcPr>
          <w:p w14:paraId="4A822405" w14:textId="77777777" w:rsidR="00105428" w:rsidRPr="00340561" w:rsidRDefault="00105428" w:rsidP="0090300C">
            <w:pPr>
              <w:rPr>
                <w:rFonts w:ascii="Arial" w:eastAsia="Arial Unicode MS" w:hAnsi="Arial" w:cs="Arial"/>
                <w:sz w:val="20"/>
                <w:szCs w:val="20"/>
                <w:lang w:val="en-GB"/>
              </w:rPr>
            </w:pPr>
          </w:p>
          <w:p w14:paraId="7DACA1F7" w14:textId="77777777" w:rsidR="00105428" w:rsidRPr="00340561" w:rsidRDefault="00105428" w:rsidP="0090300C">
            <w:pPr>
              <w:rPr>
                <w:rFonts w:ascii="Arial" w:eastAsia="Arial Unicode MS" w:hAnsi="Arial" w:cs="Arial"/>
                <w:sz w:val="20"/>
                <w:szCs w:val="20"/>
                <w:lang w:val="en-GB"/>
              </w:rPr>
            </w:pPr>
          </w:p>
          <w:p w14:paraId="62CE6BE0" w14:textId="77777777" w:rsidR="00105428" w:rsidRPr="00340561" w:rsidRDefault="00105428" w:rsidP="0090300C">
            <w:pPr>
              <w:rPr>
                <w:rFonts w:ascii="Arial" w:eastAsia="Arial Unicode MS" w:hAnsi="Arial" w:cs="Arial"/>
                <w:sz w:val="20"/>
                <w:szCs w:val="20"/>
                <w:lang w:val="en-GB"/>
              </w:rPr>
            </w:pPr>
          </w:p>
        </w:tc>
      </w:tr>
    </w:tbl>
    <w:p w14:paraId="3134BFFE" w14:textId="77777777" w:rsidR="00105428" w:rsidRDefault="00105428" w:rsidP="00105428"/>
    <w:p w14:paraId="6099858D" w14:textId="77777777" w:rsidR="00105428" w:rsidRDefault="00105428" w:rsidP="00105428"/>
    <w:p w14:paraId="7D44CC7E" w14:textId="3AA8A393" w:rsidR="00D9392F" w:rsidRDefault="00946CE0" w:rsidP="0000007A">
      <w:pPr>
        <w:pStyle w:val="BodyText"/>
        <w:rPr>
          <w:rFonts w:ascii="Arial" w:hAnsi="Arial" w:cs="Arial"/>
          <w:b/>
          <w:bCs/>
          <w:sz w:val="20"/>
          <w:szCs w:val="20"/>
          <w:u w:val="single"/>
          <w:lang w:val="en-GB"/>
        </w:rPr>
      </w:pPr>
      <w:r w:rsidRPr="00946CE0">
        <w:rPr>
          <w:rFonts w:ascii="Arial" w:hAnsi="Arial" w:cs="Arial"/>
          <w:b/>
          <w:bCs/>
          <w:sz w:val="20"/>
          <w:szCs w:val="20"/>
          <w:u w:val="single"/>
          <w:lang w:val="en-GB"/>
        </w:rPr>
        <w:t>Reviewer Details:</w:t>
      </w:r>
    </w:p>
    <w:p w14:paraId="53EBFFBB" w14:textId="581617BF" w:rsidR="004B4034" w:rsidRDefault="004B4034" w:rsidP="0000007A">
      <w:pPr>
        <w:pStyle w:val="BodyText"/>
        <w:rPr>
          <w:rFonts w:ascii="Arial" w:hAnsi="Arial" w:cs="Arial"/>
          <w:b/>
          <w:bCs/>
          <w:sz w:val="20"/>
          <w:szCs w:val="20"/>
          <w:u w:val="single"/>
          <w:lang w:val="en-GB"/>
        </w:rPr>
      </w:pPr>
    </w:p>
    <w:p w14:paraId="6299CEAE" w14:textId="6F36D174" w:rsidR="00492825" w:rsidRPr="004B4034" w:rsidRDefault="00492825" w:rsidP="0000007A">
      <w:pPr>
        <w:pStyle w:val="BodyText"/>
        <w:rPr>
          <w:rFonts w:ascii="Arial" w:hAnsi="Arial" w:cs="Arial"/>
          <w:bCs/>
          <w:sz w:val="20"/>
          <w:szCs w:val="20"/>
          <w:u w:val="single"/>
          <w:lang w:val="en-GB"/>
        </w:rPr>
      </w:pPr>
      <w:r>
        <w:rPr>
          <w:rFonts w:ascii="Arial" w:hAnsi="Arial" w:cs="Arial"/>
          <w:sz w:val="16"/>
          <w:szCs w:val="16"/>
        </w:rPr>
        <w:t xml:space="preserve">Joseph </w:t>
      </w:r>
      <w:proofErr w:type="spellStart"/>
      <w:r>
        <w:rPr>
          <w:rFonts w:ascii="Arial" w:hAnsi="Arial" w:cs="Arial"/>
          <w:sz w:val="16"/>
          <w:szCs w:val="16"/>
        </w:rPr>
        <w:t>Ochieng</w:t>
      </w:r>
      <w:proofErr w:type="spellEnd"/>
      <w:r>
        <w:rPr>
          <w:rFonts w:ascii="Arial" w:hAnsi="Arial" w:cs="Arial"/>
          <w:sz w:val="16"/>
          <w:szCs w:val="16"/>
        </w:rPr>
        <w:t xml:space="preserve"> Witts, </w:t>
      </w:r>
      <w:proofErr w:type="spellStart"/>
      <w:r>
        <w:rPr>
          <w:rFonts w:ascii="Arial" w:hAnsi="Arial" w:cs="Arial"/>
          <w:sz w:val="16"/>
          <w:szCs w:val="16"/>
        </w:rPr>
        <w:t>Tanzania</w:t>
      </w:r>
      <w:bookmarkStart w:id="0" w:name="_GoBack"/>
      <w:bookmarkEnd w:id="0"/>
      <w:proofErr w:type="spellEnd"/>
    </w:p>
    <w:sectPr w:rsidR="00492825" w:rsidRPr="004B403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DE6D" w14:textId="77777777" w:rsidR="006C482C" w:rsidRPr="0000007A" w:rsidRDefault="006C482C" w:rsidP="0099583E">
      <w:r>
        <w:separator/>
      </w:r>
    </w:p>
  </w:endnote>
  <w:endnote w:type="continuationSeparator" w:id="0">
    <w:p w14:paraId="198D0DFC" w14:textId="77777777" w:rsidR="006C482C" w:rsidRPr="0000007A" w:rsidRDefault="006C48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ICTFontTextStyleBody">
    <w:altName w:val="Times New Roman"/>
    <w:panose1 w:val="00000000000000000000"/>
    <w:charset w:val="00"/>
    <w:family w:val="roman"/>
    <w:notTrueType/>
    <w:pitch w:val="default"/>
  </w:font>
  <w:font w:name="UICTFontTextStyleEmphasizedBod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3A234" w14:textId="77777777" w:rsidR="006C482C" w:rsidRPr="0000007A" w:rsidRDefault="006C482C" w:rsidP="0099583E">
      <w:r>
        <w:separator/>
      </w:r>
    </w:p>
  </w:footnote>
  <w:footnote w:type="continuationSeparator" w:id="0">
    <w:p w14:paraId="448E9BB9" w14:textId="77777777" w:rsidR="006C482C" w:rsidRPr="0000007A" w:rsidRDefault="006C48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E0A"/>
    <w:multiLevelType w:val="hybridMultilevel"/>
    <w:tmpl w:val="6E402D42"/>
    <w:lvl w:ilvl="0" w:tplc="162A977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1"/>
  </w:num>
  <w:num w:numId="7">
    <w:abstractNumId w:val="2"/>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A7ACF"/>
    <w:rsid w:val="000B4EE5"/>
    <w:rsid w:val="000B74A1"/>
    <w:rsid w:val="000B757E"/>
    <w:rsid w:val="000C0837"/>
    <w:rsid w:val="000C0B04"/>
    <w:rsid w:val="000C3B7E"/>
    <w:rsid w:val="000D13B0"/>
    <w:rsid w:val="00101322"/>
    <w:rsid w:val="00105428"/>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151"/>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56982"/>
    <w:rsid w:val="00262634"/>
    <w:rsid w:val="00275984"/>
    <w:rsid w:val="00280EC9"/>
    <w:rsid w:val="00282BEE"/>
    <w:rsid w:val="002859CC"/>
    <w:rsid w:val="00291937"/>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59D6"/>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2825"/>
    <w:rsid w:val="00495DBB"/>
    <w:rsid w:val="004B0965"/>
    <w:rsid w:val="004B4034"/>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1E4F"/>
    <w:rsid w:val="00533FC1"/>
    <w:rsid w:val="0054564B"/>
    <w:rsid w:val="00545A13"/>
    <w:rsid w:val="00546343"/>
    <w:rsid w:val="00547ABB"/>
    <w:rsid w:val="00555430"/>
    <w:rsid w:val="00557CD3"/>
    <w:rsid w:val="00560D3C"/>
    <w:rsid w:val="00565D90"/>
    <w:rsid w:val="00567DE0"/>
    <w:rsid w:val="005735A5"/>
    <w:rsid w:val="005757CF"/>
    <w:rsid w:val="00581FF9"/>
    <w:rsid w:val="00597D18"/>
    <w:rsid w:val="005A4F17"/>
    <w:rsid w:val="005C25A0"/>
    <w:rsid w:val="005D230D"/>
    <w:rsid w:val="005E29CE"/>
    <w:rsid w:val="005E3241"/>
    <w:rsid w:val="005E7FB0"/>
    <w:rsid w:val="005F184C"/>
    <w:rsid w:val="00602F7D"/>
    <w:rsid w:val="00604897"/>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C482C"/>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C50"/>
    <w:rsid w:val="009245E3"/>
    <w:rsid w:val="00942DEE"/>
    <w:rsid w:val="00946CE0"/>
    <w:rsid w:val="009553EC"/>
    <w:rsid w:val="00962B70"/>
    <w:rsid w:val="00967C62"/>
    <w:rsid w:val="00973279"/>
    <w:rsid w:val="00982766"/>
    <w:rsid w:val="009852C4"/>
    <w:rsid w:val="0099583E"/>
    <w:rsid w:val="009A0242"/>
    <w:rsid w:val="009A59ED"/>
    <w:rsid w:val="009B101F"/>
    <w:rsid w:val="009C5642"/>
    <w:rsid w:val="009E13C3"/>
    <w:rsid w:val="009E6A30"/>
    <w:rsid w:val="009E7856"/>
    <w:rsid w:val="009F07D4"/>
    <w:rsid w:val="009F29EB"/>
    <w:rsid w:val="009F7A71"/>
    <w:rsid w:val="00A001A0"/>
    <w:rsid w:val="00A06056"/>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1418"/>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11BE"/>
    <w:rsid w:val="00D1283A"/>
    <w:rsid w:val="00D12970"/>
    <w:rsid w:val="00D17979"/>
    <w:rsid w:val="00D2075F"/>
    <w:rsid w:val="00D27A79"/>
    <w:rsid w:val="00D40416"/>
    <w:rsid w:val="00D42B6C"/>
    <w:rsid w:val="00D430AB"/>
    <w:rsid w:val="00D4782A"/>
    <w:rsid w:val="00D709EB"/>
    <w:rsid w:val="00D7603E"/>
    <w:rsid w:val="00D90124"/>
    <w:rsid w:val="00D9392F"/>
    <w:rsid w:val="00DA2679"/>
    <w:rsid w:val="00DA41F5"/>
    <w:rsid w:val="00DB7E1B"/>
    <w:rsid w:val="00DC1D81"/>
    <w:rsid w:val="00DD274C"/>
    <w:rsid w:val="00DE7D30"/>
    <w:rsid w:val="00E03C32"/>
    <w:rsid w:val="00E0559A"/>
    <w:rsid w:val="00E21849"/>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EF6BB1"/>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1B59"/>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597D18"/>
    <w:rPr>
      <w:color w:val="605E5C"/>
      <w:shd w:val="clear" w:color="auto" w:fill="E1DFDD"/>
    </w:rPr>
  </w:style>
  <w:style w:type="paragraph" w:customStyle="1" w:styleId="yiv2693808652p1">
    <w:name w:val="yiv2693808652p1"/>
    <w:basedOn w:val="Normal"/>
    <w:rsid w:val="00E0559A"/>
    <w:pPr>
      <w:spacing w:before="100" w:beforeAutospacing="1" w:after="100" w:afterAutospacing="1"/>
    </w:pPr>
  </w:style>
  <w:style w:type="character" w:customStyle="1" w:styleId="yiv2693808652s1">
    <w:name w:val="yiv2693808652s1"/>
    <w:basedOn w:val="DefaultParagraphFont"/>
    <w:rsid w:val="00E0559A"/>
  </w:style>
  <w:style w:type="character" w:customStyle="1" w:styleId="yiv2693808652s2">
    <w:name w:val="yiv2693808652s2"/>
    <w:basedOn w:val="DefaultParagraphFont"/>
    <w:rsid w:val="00E0559A"/>
  </w:style>
  <w:style w:type="character" w:customStyle="1" w:styleId="UnresolvedMention2">
    <w:name w:val="Unresolved Mention2"/>
    <w:basedOn w:val="DefaultParagraphFont"/>
    <w:uiPriority w:val="99"/>
    <w:semiHidden/>
    <w:unhideWhenUsed/>
    <w:rsid w:val="00D42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11</cp:revision>
  <dcterms:created xsi:type="dcterms:W3CDTF">2024-05-27T16:52:00Z</dcterms:created>
  <dcterms:modified xsi:type="dcterms:W3CDTF">2026-02-18T05:15:00Z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f8879453f2b3c5faae597ef71efed6d59669f41076f9047afc26913d0df51dc4</vt:lpwstr>
  </property>
</Properties>
</file>