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0"/>
        <w:gridCol w:w="5170"/>
        <w:gridCol w:w="566"/>
        <w:gridCol w:w="8237"/>
        <w:gridCol w:w="6963"/>
        <w:gridCol w:w="106"/>
      </w:tblGrid>
      <w:tr w:rsidR="00602F7D" w:rsidRPr="00DE7D30" w14:paraId="1643A4CA" w14:textId="77777777" w:rsidTr="00140BE9">
        <w:trPr>
          <w:gridBefore w:val="1"/>
          <w:gridAfter w:val="1"/>
          <w:wBefore w:w="26" w:type="pct"/>
          <w:wAfter w:w="26" w:type="pct"/>
          <w:trHeight w:val="450"/>
        </w:trPr>
        <w:tc>
          <w:tcPr>
            <w:tcW w:w="4949" w:type="pct"/>
            <w:gridSpan w:val="4"/>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140BE9">
        <w:trPr>
          <w:gridBefore w:val="1"/>
          <w:gridAfter w:val="1"/>
          <w:wBefore w:w="26" w:type="pct"/>
          <w:wAfter w:w="26" w:type="pct"/>
          <w:trHeight w:val="413"/>
        </w:trPr>
        <w:tc>
          <w:tcPr>
            <w:tcW w:w="1222"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27" w:type="pct"/>
            <w:gridSpan w:val="3"/>
            <w:shd w:val="clear" w:color="auto" w:fill="auto"/>
            <w:tcMar>
              <w:top w:w="0" w:type="dxa"/>
              <w:left w:w="108" w:type="dxa"/>
              <w:bottom w:w="0" w:type="dxa"/>
              <w:right w:w="108" w:type="dxa"/>
            </w:tcMar>
            <w:vAlign w:val="center"/>
          </w:tcPr>
          <w:p w14:paraId="23DA8DCD" w14:textId="5494C005" w:rsidR="0000007A" w:rsidRPr="00DE7D30" w:rsidRDefault="00E9418A" w:rsidP="00054BC4">
            <w:pPr>
              <w:pStyle w:val="NormalWeb"/>
              <w:rPr>
                <w:rFonts w:ascii="Arial" w:hAnsi="Arial" w:cs="Arial"/>
                <w:b/>
                <w:bCs/>
                <w:szCs w:val="28"/>
                <w:u w:val="single"/>
              </w:rPr>
            </w:pPr>
            <w:r w:rsidRPr="00E9418A">
              <w:rPr>
                <w:rFonts w:ascii="Arial" w:hAnsi="Arial" w:cs="Arial"/>
                <w:b/>
                <w:bCs/>
                <w:szCs w:val="28"/>
                <w:u w:val="single"/>
              </w:rPr>
              <w:t>Theoretical Key Issues and Practical Development Trends of China’s Digital Economy</w:t>
            </w:r>
          </w:p>
        </w:tc>
      </w:tr>
      <w:tr w:rsidR="0000007A" w:rsidRPr="00DE7D30" w14:paraId="73C90375" w14:textId="77777777" w:rsidTr="00140BE9">
        <w:trPr>
          <w:gridBefore w:val="1"/>
          <w:gridAfter w:val="1"/>
          <w:wBefore w:w="26" w:type="pct"/>
          <w:wAfter w:w="26" w:type="pct"/>
          <w:trHeight w:val="290"/>
        </w:trPr>
        <w:tc>
          <w:tcPr>
            <w:tcW w:w="1222"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27" w:type="pct"/>
            <w:gridSpan w:val="3"/>
            <w:shd w:val="clear" w:color="auto" w:fill="auto"/>
            <w:tcMar>
              <w:top w:w="0" w:type="dxa"/>
              <w:left w:w="108" w:type="dxa"/>
              <w:bottom w:w="0" w:type="dxa"/>
              <w:right w:w="108" w:type="dxa"/>
            </w:tcMar>
            <w:vAlign w:val="center"/>
          </w:tcPr>
          <w:p w14:paraId="46B39E34" w14:textId="245D8023"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9418A">
              <w:rPr>
                <w:rFonts w:ascii="Arial" w:hAnsi="Arial" w:cs="Arial"/>
                <w:b/>
                <w:bCs/>
                <w:szCs w:val="28"/>
                <w:lang w:val="en-GB"/>
              </w:rPr>
              <w:t>999.</w:t>
            </w:r>
            <w:r w:rsidR="00AD7225">
              <w:rPr>
                <w:rFonts w:ascii="Arial" w:hAnsi="Arial" w:cs="Arial"/>
                <w:b/>
                <w:bCs/>
                <w:szCs w:val="28"/>
                <w:lang w:val="en-GB"/>
              </w:rPr>
              <w:t>6</w:t>
            </w:r>
          </w:p>
        </w:tc>
      </w:tr>
      <w:tr w:rsidR="0000007A" w:rsidRPr="00DE7D30" w14:paraId="05B60576" w14:textId="77777777" w:rsidTr="00140BE9">
        <w:trPr>
          <w:gridBefore w:val="1"/>
          <w:gridAfter w:val="1"/>
          <w:wBefore w:w="26" w:type="pct"/>
          <w:wAfter w:w="26" w:type="pct"/>
          <w:trHeight w:val="650"/>
        </w:trPr>
        <w:tc>
          <w:tcPr>
            <w:tcW w:w="1222"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27" w:type="pct"/>
            <w:gridSpan w:val="3"/>
            <w:shd w:val="clear" w:color="auto" w:fill="auto"/>
            <w:tcMar>
              <w:top w:w="0" w:type="dxa"/>
              <w:left w:w="108" w:type="dxa"/>
              <w:bottom w:w="0" w:type="dxa"/>
              <w:right w:w="108" w:type="dxa"/>
            </w:tcMar>
            <w:vAlign w:val="center"/>
          </w:tcPr>
          <w:p w14:paraId="0B70E962" w14:textId="29981BC6" w:rsidR="0000007A" w:rsidRPr="00962F49" w:rsidRDefault="00E9418A" w:rsidP="00962F49">
            <w:pPr>
              <w:pStyle w:val="NormalWeb"/>
              <w:rPr>
                <w:rFonts w:ascii="Arial" w:hAnsi="Arial" w:cs="Arial"/>
                <w:b/>
                <w:szCs w:val="28"/>
                <w:lang w:val="en-GB"/>
              </w:rPr>
            </w:pPr>
            <w:r w:rsidRPr="00E9418A">
              <w:rPr>
                <w:rFonts w:ascii="Arial" w:hAnsi="Arial" w:cs="Arial"/>
                <w:b/>
                <w:szCs w:val="28"/>
                <w:lang w:val="en-GB"/>
              </w:rPr>
              <w:t>Further mathematical analysis of ‘The Roller Conduction Effect’--From stock market data</w:t>
            </w:r>
          </w:p>
        </w:tc>
      </w:tr>
      <w:tr w:rsidR="00CF0BBB" w:rsidRPr="00DE7D30" w14:paraId="6D508B1C" w14:textId="77777777" w:rsidTr="00140BE9">
        <w:trPr>
          <w:gridBefore w:val="1"/>
          <w:gridAfter w:val="1"/>
          <w:wBefore w:w="26" w:type="pct"/>
          <w:wAfter w:w="26" w:type="pct"/>
          <w:trHeight w:val="332"/>
        </w:trPr>
        <w:tc>
          <w:tcPr>
            <w:tcW w:w="1222"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27" w:type="pct"/>
            <w:gridSpan w:val="3"/>
            <w:shd w:val="clear" w:color="auto" w:fill="auto"/>
            <w:tcMar>
              <w:top w:w="0" w:type="dxa"/>
              <w:left w:w="108" w:type="dxa"/>
              <w:bottom w:w="0" w:type="dxa"/>
              <w:right w:w="108" w:type="dxa"/>
            </w:tcMar>
            <w:vAlign w:val="center"/>
          </w:tcPr>
          <w:p w14:paraId="0EBC6A8E" w14:textId="481C3864" w:rsidR="00CF0BBB" w:rsidRPr="00DE7D30" w:rsidRDefault="00E9418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02F7D" w:rsidRPr="00DE7D30" w14:paraId="5E6C8173" w14:textId="77777777" w:rsidTr="00140BE9">
        <w:tblPrEx>
          <w:shd w:val="clear" w:color="auto" w:fill="auto"/>
          <w:tblCellMar>
            <w:left w:w="108" w:type="dxa"/>
            <w:right w:w="108" w:type="dxa"/>
          </w:tblCellMar>
        </w:tblPrEx>
        <w:tc>
          <w:tcPr>
            <w:tcW w:w="5000" w:type="pct"/>
            <w:gridSpan w:val="6"/>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140BE9">
        <w:tblPrEx>
          <w:shd w:val="clear" w:color="auto" w:fill="auto"/>
          <w:tblCellMar>
            <w:left w:w="108" w:type="dxa"/>
            <w:right w:w="108" w:type="dxa"/>
          </w:tblCellMar>
        </w:tblPrEx>
        <w:tc>
          <w:tcPr>
            <w:tcW w:w="1382" w:type="pct"/>
            <w:gridSpan w:val="3"/>
            <w:noWrap/>
          </w:tcPr>
          <w:p w14:paraId="03AF08CD" w14:textId="77777777" w:rsidR="0000007A" w:rsidRPr="00DE7D30" w:rsidRDefault="0000007A" w:rsidP="00B62F41">
            <w:pPr>
              <w:pStyle w:val="Heading2"/>
              <w:jc w:val="left"/>
              <w:rPr>
                <w:rFonts w:ascii="Arial" w:hAnsi="Arial" w:cs="Arial"/>
                <w:lang w:val="en-GB"/>
              </w:rPr>
            </w:pPr>
          </w:p>
        </w:tc>
        <w:tc>
          <w:tcPr>
            <w:tcW w:w="1947"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gridSpan w:val="2"/>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2A28AE" w:rsidRPr="00DE7D30" w14:paraId="51257839" w14:textId="77777777" w:rsidTr="00140BE9">
        <w:tblPrEx>
          <w:shd w:val="clear" w:color="auto" w:fill="auto"/>
          <w:tblCellMar>
            <w:left w:w="108" w:type="dxa"/>
            <w:right w:w="108" w:type="dxa"/>
          </w:tblCellMar>
        </w:tblPrEx>
        <w:tc>
          <w:tcPr>
            <w:tcW w:w="1382" w:type="pct"/>
            <w:gridSpan w:val="3"/>
            <w:noWrap/>
          </w:tcPr>
          <w:p w14:paraId="2281D8DC" w14:textId="77777777" w:rsidR="002A28AE" w:rsidRPr="00DE7D30" w:rsidRDefault="002A28AE" w:rsidP="002A28AE">
            <w:pPr>
              <w:pStyle w:val="Heading2"/>
              <w:jc w:val="left"/>
              <w:rPr>
                <w:rFonts w:ascii="Arial" w:hAnsi="Arial" w:cs="Arial"/>
                <w:b w:val="0"/>
                <w:bCs w:val="0"/>
                <w:lang w:val="en-GB"/>
              </w:rPr>
            </w:pPr>
            <w:r w:rsidRPr="00DE7D30">
              <w:rPr>
                <w:rFonts w:ascii="Arial" w:hAnsi="Arial" w:cs="Arial"/>
                <w:b w:val="0"/>
                <w:bCs w:val="0"/>
                <w:lang w:val="en-GB"/>
              </w:rPr>
              <w:t>Is the manuscript important for the scientific community?</w:t>
            </w:r>
          </w:p>
          <w:p w14:paraId="6A693F58" w14:textId="77777777" w:rsidR="002A28AE" w:rsidRPr="00DE7D30" w:rsidRDefault="002A28AE" w:rsidP="002A28AE">
            <w:pPr>
              <w:rPr>
                <w:rFonts w:ascii="Arial" w:eastAsia="MS Mincho" w:hAnsi="Arial" w:cs="Arial"/>
                <w:sz w:val="20"/>
                <w:szCs w:val="20"/>
                <w:lang w:val="en-GB"/>
              </w:rPr>
            </w:pPr>
            <w:r w:rsidRPr="00DE7D30">
              <w:rPr>
                <w:rFonts w:ascii="Arial" w:hAnsi="Arial" w:cs="Arial"/>
                <w:lang w:val="en-GB"/>
              </w:rPr>
              <w:t>Please write a few sentences explaining your answer</w:t>
            </w:r>
          </w:p>
        </w:tc>
        <w:tc>
          <w:tcPr>
            <w:tcW w:w="1947" w:type="pct"/>
          </w:tcPr>
          <w:p w14:paraId="62B0017C" w14:textId="1B57722C" w:rsidR="002A28AE" w:rsidRPr="00952807" w:rsidRDefault="002A28AE" w:rsidP="002A28AE">
            <w:pPr>
              <w:pStyle w:val="ListParagraph"/>
              <w:ind w:left="0"/>
              <w:rPr>
                <w:rFonts w:ascii="Arial" w:hAnsi="Arial" w:cs="Arial"/>
                <w:bCs/>
                <w:sz w:val="22"/>
                <w:szCs w:val="20"/>
                <w:lang w:val="en-GB"/>
              </w:rPr>
            </w:pPr>
            <w:r w:rsidRPr="00952807">
              <w:rPr>
                <w:color w:val="0A0A0A"/>
                <w:sz w:val="22"/>
                <w:szCs w:val="20"/>
              </w:rPr>
              <w:t>From my point of view, it is a very interesting topic and simultaneously it seems that to the best of my knowledge is an important research a</w:t>
            </w:r>
            <w:r w:rsidRPr="00952807">
              <w:rPr>
                <w:bCs/>
                <w:color w:val="101214"/>
                <w:sz w:val="22"/>
                <w:szCs w:val="20"/>
                <w:shd w:val="clear" w:color="auto" w:fill="FFFFFF"/>
              </w:rPr>
              <w:t xml:space="preserve">nalyzing A-share data during the initial four months of 2022. This study in quantitative terms assesses the rotational shifts among different consumption sectors as their valuations approach rational levels. Through the innovative categorization termed "sensory-based consumption," the explanation is provided for digital consumption as a mechanism facilitating consumption enhancement and its link to elevated valuation targets, accompanied by an examination of the "echo transmission </w:t>
            </w:r>
            <w:proofErr w:type="spellStart"/>
            <w:r w:rsidRPr="00952807">
              <w:rPr>
                <w:bCs/>
                <w:color w:val="101214"/>
                <w:sz w:val="22"/>
                <w:szCs w:val="20"/>
                <w:shd w:val="clear" w:color="auto" w:fill="FFFFFF"/>
              </w:rPr>
              <w:t>effect."This</w:t>
            </w:r>
            <w:proofErr w:type="spellEnd"/>
            <w:r w:rsidRPr="00952807">
              <w:rPr>
                <w:bCs/>
                <w:color w:val="101214"/>
                <w:sz w:val="22"/>
                <w:szCs w:val="20"/>
                <w:shd w:val="clear" w:color="auto" w:fill="FFFFFF"/>
              </w:rPr>
              <w:t xml:space="preserve"> paper explores the laws governing the period for consumption recovery and valuation normalization through the lens of spatial-temporal transmission. The findings reveal that consumer confidence rebounds slowly in the initial phase of recovery. During this stage, A-shares were primarily influenced by stock capital maneuvers, with a clear pattern of sector rotation evident. Understanding this pattern is crucial as it aids policymakers in refining policy direction and equips financial investors with insights for optimizing investment strategies. However, the limitation of this study lies in its exclusion of the ripple effects across the global financial markets and the need for more robust mathematical models to better define stock fund dynamics, which will be the primary focus of future research by the author.</w:t>
            </w:r>
          </w:p>
        </w:tc>
        <w:tc>
          <w:tcPr>
            <w:tcW w:w="1671" w:type="pct"/>
            <w:gridSpan w:val="2"/>
          </w:tcPr>
          <w:p w14:paraId="1535EF2E" w14:textId="77777777" w:rsidR="002A28AE" w:rsidRPr="00DE7D30" w:rsidRDefault="002A28AE" w:rsidP="002A28AE">
            <w:pPr>
              <w:pStyle w:val="Heading2"/>
              <w:jc w:val="left"/>
              <w:rPr>
                <w:rFonts w:ascii="Arial" w:hAnsi="Arial" w:cs="Arial"/>
                <w:b w:val="0"/>
                <w:lang w:val="en-GB"/>
              </w:rPr>
            </w:pPr>
          </w:p>
        </w:tc>
      </w:tr>
      <w:tr w:rsidR="002A28AE" w:rsidRPr="00DE7D30" w14:paraId="37D8EA3D" w14:textId="77777777" w:rsidTr="00140BE9">
        <w:tblPrEx>
          <w:shd w:val="clear" w:color="auto" w:fill="auto"/>
          <w:tblCellMar>
            <w:left w:w="108" w:type="dxa"/>
            <w:right w:w="108" w:type="dxa"/>
          </w:tblCellMar>
        </w:tblPrEx>
        <w:trPr>
          <w:trHeight w:val="554"/>
        </w:trPr>
        <w:tc>
          <w:tcPr>
            <w:tcW w:w="1382" w:type="pct"/>
            <w:gridSpan w:val="3"/>
            <w:noWrap/>
          </w:tcPr>
          <w:p w14:paraId="25820B9C" w14:textId="77777777" w:rsidR="002A28AE" w:rsidRPr="00DE7D30" w:rsidRDefault="002A28AE" w:rsidP="002A28AE">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2A28AE" w:rsidRPr="00DE7D30" w:rsidRDefault="002A28AE" w:rsidP="002A28AE">
            <w:pPr>
              <w:rPr>
                <w:rFonts w:ascii="Arial" w:hAnsi="Arial" w:cs="Arial"/>
                <w:lang w:val="en-GB"/>
              </w:rPr>
            </w:pPr>
            <w:r w:rsidRPr="00DE7D30">
              <w:rPr>
                <w:rFonts w:ascii="Arial" w:hAnsi="Arial" w:cs="Arial"/>
                <w:lang w:val="en-GB"/>
              </w:rPr>
              <w:t>Do you have any alternative Title in your mind?</w:t>
            </w:r>
          </w:p>
        </w:tc>
        <w:tc>
          <w:tcPr>
            <w:tcW w:w="1947" w:type="pct"/>
          </w:tcPr>
          <w:p w14:paraId="7E1456D1" w14:textId="61C23BE9" w:rsidR="002A28AE" w:rsidRPr="00952807" w:rsidRDefault="002A28AE" w:rsidP="002A28AE">
            <w:pPr>
              <w:rPr>
                <w:rFonts w:ascii="Arial" w:hAnsi="Arial" w:cs="Arial"/>
                <w:sz w:val="22"/>
                <w:szCs w:val="20"/>
                <w:lang w:val="en-GB"/>
              </w:rPr>
            </w:pPr>
            <w:r w:rsidRPr="00952807">
              <w:rPr>
                <w:sz w:val="22"/>
                <w:szCs w:val="20"/>
                <w:lang w:val="en-GB"/>
              </w:rPr>
              <w:t>No case</w:t>
            </w:r>
          </w:p>
        </w:tc>
        <w:tc>
          <w:tcPr>
            <w:tcW w:w="1671" w:type="pct"/>
            <w:gridSpan w:val="2"/>
          </w:tcPr>
          <w:p w14:paraId="6D538317" w14:textId="77777777" w:rsidR="002A28AE" w:rsidRPr="00DE7D30" w:rsidRDefault="002A28AE" w:rsidP="002A28AE">
            <w:pPr>
              <w:rPr>
                <w:rFonts w:ascii="Arial" w:hAnsi="Arial" w:cs="Arial"/>
                <w:sz w:val="20"/>
                <w:szCs w:val="20"/>
                <w:lang w:val="en-GB"/>
              </w:rPr>
            </w:pPr>
          </w:p>
        </w:tc>
      </w:tr>
      <w:tr w:rsidR="002A28AE" w:rsidRPr="00DE7D30" w14:paraId="3398A98E" w14:textId="77777777" w:rsidTr="00140BE9">
        <w:tblPrEx>
          <w:shd w:val="clear" w:color="auto" w:fill="auto"/>
          <w:tblCellMar>
            <w:left w:w="108" w:type="dxa"/>
            <w:right w:w="108" w:type="dxa"/>
          </w:tblCellMar>
        </w:tblPrEx>
        <w:trPr>
          <w:trHeight w:val="574"/>
        </w:trPr>
        <w:tc>
          <w:tcPr>
            <w:tcW w:w="1382" w:type="pct"/>
            <w:gridSpan w:val="3"/>
            <w:noWrap/>
          </w:tcPr>
          <w:p w14:paraId="179EFAC2" w14:textId="77777777" w:rsidR="002A28AE" w:rsidRPr="00DE7D30" w:rsidRDefault="002A28AE" w:rsidP="002A28AE">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2A28AE" w:rsidRPr="00DE7D30" w:rsidRDefault="002A28AE" w:rsidP="002A28AE">
            <w:pPr>
              <w:rPr>
                <w:rFonts w:ascii="Arial" w:hAnsi="Arial" w:cs="Arial"/>
                <w:lang w:val="en-GB"/>
              </w:rPr>
            </w:pPr>
            <w:r w:rsidRPr="00DE7D30">
              <w:rPr>
                <w:rFonts w:ascii="Arial" w:hAnsi="Arial" w:cs="Arial"/>
                <w:lang w:val="en-GB"/>
              </w:rPr>
              <w:t>If your answer is No, please provide suggestions</w:t>
            </w:r>
          </w:p>
          <w:p w14:paraId="1D6A9888" w14:textId="77777777" w:rsidR="002A28AE" w:rsidRPr="00DE7D30" w:rsidRDefault="002A28AE" w:rsidP="002A28AE">
            <w:pPr>
              <w:pStyle w:val="Heading2"/>
              <w:jc w:val="left"/>
              <w:rPr>
                <w:rFonts w:ascii="Arial" w:hAnsi="Arial" w:cs="Arial"/>
                <w:b w:val="0"/>
                <w:lang w:val="en-GB"/>
              </w:rPr>
            </w:pPr>
          </w:p>
        </w:tc>
        <w:tc>
          <w:tcPr>
            <w:tcW w:w="1947" w:type="pct"/>
          </w:tcPr>
          <w:p w14:paraId="7381471D" w14:textId="77777777" w:rsidR="002A28AE" w:rsidRPr="00952807" w:rsidRDefault="002A28AE" w:rsidP="002A28AE">
            <w:pPr>
              <w:pStyle w:val="ListParagraph"/>
              <w:widowControl w:val="0"/>
              <w:autoSpaceDE w:val="0"/>
              <w:autoSpaceDN w:val="0"/>
              <w:spacing w:line="270" w:lineRule="exact"/>
              <w:ind w:left="0"/>
              <w:contextualSpacing w:val="0"/>
              <w:jc w:val="both"/>
              <w:rPr>
                <w:sz w:val="22"/>
                <w:szCs w:val="20"/>
              </w:rPr>
            </w:pPr>
            <w:r w:rsidRPr="00952807">
              <w:rPr>
                <w:sz w:val="22"/>
                <w:szCs w:val="20"/>
              </w:rPr>
              <w:t xml:space="preserve">The abstract must contains the main purpose of the paper, the research method used in the research and the main contributions. </w:t>
            </w:r>
          </w:p>
          <w:p w14:paraId="1D6A4D69" w14:textId="77777777" w:rsidR="002A28AE" w:rsidRPr="00952807" w:rsidRDefault="002A28AE" w:rsidP="002A28AE">
            <w:pPr>
              <w:rPr>
                <w:rFonts w:ascii="Arial" w:hAnsi="Arial" w:cs="Arial"/>
                <w:sz w:val="22"/>
                <w:szCs w:val="20"/>
                <w:lang w:val="en-GB"/>
              </w:rPr>
            </w:pPr>
          </w:p>
        </w:tc>
        <w:tc>
          <w:tcPr>
            <w:tcW w:w="1671" w:type="pct"/>
            <w:gridSpan w:val="2"/>
          </w:tcPr>
          <w:p w14:paraId="12286ADF" w14:textId="77777777" w:rsidR="002A28AE" w:rsidRPr="00DE7D30" w:rsidRDefault="002A28AE" w:rsidP="002A28AE">
            <w:pPr>
              <w:rPr>
                <w:rFonts w:ascii="Arial" w:hAnsi="Arial" w:cs="Arial"/>
                <w:sz w:val="20"/>
                <w:szCs w:val="20"/>
                <w:lang w:val="en-GB"/>
              </w:rPr>
            </w:pPr>
          </w:p>
        </w:tc>
      </w:tr>
      <w:tr w:rsidR="002A28AE" w:rsidRPr="00DE7D30" w14:paraId="20511394" w14:textId="77777777" w:rsidTr="00140BE9">
        <w:tblPrEx>
          <w:shd w:val="clear" w:color="auto" w:fill="auto"/>
          <w:tblCellMar>
            <w:left w:w="108" w:type="dxa"/>
            <w:right w:w="108" w:type="dxa"/>
          </w:tblCellMar>
        </w:tblPrEx>
        <w:trPr>
          <w:trHeight w:val="1178"/>
        </w:trPr>
        <w:tc>
          <w:tcPr>
            <w:tcW w:w="1382" w:type="pct"/>
            <w:gridSpan w:val="3"/>
            <w:noWrap/>
          </w:tcPr>
          <w:p w14:paraId="02AD7D70" w14:textId="77777777" w:rsidR="002A28AE" w:rsidRPr="00DE7D30" w:rsidRDefault="002A28AE" w:rsidP="002A28AE">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2A28AE" w:rsidRPr="00DE7D30" w:rsidRDefault="002A28AE" w:rsidP="002A28AE">
            <w:pPr>
              <w:rPr>
                <w:rFonts w:ascii="Arial" w:hAnsi="Arial" w:cs="Arial"/>
                <w:lang w:val="en-GB"/>
              </w:rPr>
            </w:pPr>
            <w:r w:rsidRPr="00DE7D30">
              <w:rPr>
                <w:rFonts w:ascii="Arial" w:hAnsi="Arial" w:cs="Arial"/>
                <w:lang w:val="en-GB"/>
              </w:rPr>
              <w:t>scholarly communications?</w:t>
            </w:r>
          </w:p>
          <w:p w14:paraId="47A2EE94" w14:textId="77777777" w:rsidR="002A28AE" w:rsidRPr="00DE7D30" w:rsidRDefault="002A28AE" w:rsidP="002A28AE">
            <w:pPr>
              <w:rPr>
                <w:rFonts w:ascii="Arial" w:hAnsi="Arial" w:cs="Arial"/>
                <w:lang w:val="en-GB"/>
              </w:rPr>
            </w:pPr>
            <w:r w:rsidRPr="00DE7D30">
              <w:rPr>
                <w:rFonts w:ascii="Arial" w:hAnsi="Arial" w:cs="Arial"/>
                <w:lang w:val="en-GB"/>
              </w:rPr>
              <w:t>If your answer is No, please provide suggestions</w:t>
            </w:r>
          </w:p>
        </w:tc>
        <w:tc>
          <w:tcPr>
            <w:tcW w:w="1947" w:type="pct"/>
          </w:tcPr>
          <w:p w14:paraId="1ADCE497" w14:textId="40F1D24B" w:rsidR="002A28AE" w:rsidRPr="00952807" w:rsidRDefault="002A28AE" w:rsidP="002A28AE">
            <w:pPr>
              <w:rPr>
                <w:sz w:val="22"/>
                <w:szCs w:val="20"/>
                <w:lang w:val="en-GB"/>
              </w:rPr>
            </w:pPr>
            <w:r w:rsidRPr="00952807">
              <w:rPr>
                <w:sz w:val="22"/>
                <w:szCs w:val="20"/>
              </w:rPr>
              <w:t>The Manuscript needs careful English proofreading because there are some shortcomings. For instance, the article “the” is sometimes missing in front of nouns, the message in some paragraphs is not clear enough.</w:t>
            </w:r>
          </w:p>
          <w:p w14:paraId="50A78266" w14:textId="181D4CC8" w:rsidR="002A28AE" w:rsidRPr="00952807" w:rsidRDefault="002A28AE" w:rsidP="002A28AE">
            <w:pPr>
              <w:rPr>
                <w:rFonts w:ascii="Arial" w:hAnsi="Arial" w:cs="Arial"/>
                <w:sz w:val="22"/>
                <w:szCs w:val="20"/>
                <w:lang w:val="en-GB"/>
              </w:rPr>
            </w:pPr>
          </w:p>
        </w:tc>
        <w:tc>
          <w:tcPr>
            <w:tcW w:w="1671" w:type="pct"/>
            <w:gridSpan w:val="2"/>
          </w:tcPr>
          <w:p w14:paraId="45426CB4" w14:textId="77777777" w:rsidR="002A28AE" w:rsidRPr="00DE7D30" w:rsidRDefault="002A28AE" w:rsidP="002A28AE">
            <w:pPr>
              <w:rPr>
                <w:rFonts w:ascii="Arial" w:hAnsi="Arial" w:cs="Arial"/>
                <w:sz w:val="20"/>
                <w:szCs w:val="20"/>
                <w:lang w:val="en-GB"/>
              </w:rPr>
            </w:pPr>
          </w:p>
        </w:tc>
      </w:tr>
      <w:tr w:rsidR="002A28AE" w:rsidRPr="00DE7D30" w14:paraId="0BDB8B34" w14:textId="77777777" w:rsidTr="00140BE9">
        <w:tblPrEx>
          <w:shd w:val="clear" w:color="auto" w:fill="auto"/>
          <w:tblCellMar>
            <w:left w:w="108" w:type="dxa"/>
            <w:right w:w="108" w:type="dxa"/>
          </w:tblCellMar>
        </w:tblPrEx>
        <w:trPr>
          <w:trHeight w:val="2105"/>
        </w:trPr>
        <w:tc>
          <w:tcPr>
            <w:tcW w:w="1382" w:type="pct"/>
            <w:gridSpan w:val="3"/>
            <w:noWrap/>
          </w:tcPr>
          <w:p w14:paraId="6168D49A" w14:textId="77777777" w:rsidR="002A28AE" w:rsidRPr="00DE7D30" w:rsidRDefault="002A28AE" w:rsidP="002A28AE">
            <w:pPr>
              <w:pStyle w:val="Heading2"/>
              <w:jc w:val="left"/>
              <w:rPr>
                <w:rFonts w:ascii="Arial" w:hAnsi="Arial" w:cs="Arial"/>
                <w:b w:val="0"/>
                <w:bCs w:val="0"/>
                <w:lang w:val="en-GB"/>
              </w:rPr>
            </w:pPr>
            <w:r w:rsidRPr="00DE7D30">
              <w:rPr>
                <w:rFonts w:ascii="Arial" w:hAnsi="Arial" w:cs="Arial"/>
                <w:b w:val="0"/>
                <w:bCs w:val="0"/>
                <w:lang w:val="en-GB"/>
              </w:rPr>
              <w:t>Please provide your comments regarding the appropriateness</w:t>
            </w:r>
          </w:p>
          <w:p w14:paraId="0DB10EDC" w14:textId="77777777" w:rsidR="002A28AE" w:rsidRPr="00DE7D30" w:rsidRDefault="002A28AE" w:rsidP="002A28AE">
            <w:pPr>
              <w:rPr>
                <w:rFonts w:ascii="Arial" w:hAnsi="Arial" w:cs="Arial"/>
                <w:lang w:val="en-GB"/>
              </w:rPr>
            </w:pPr>
            <w:r w:rsidRPr="00DE7D30">
              <w:rPr>
                <w:rFonts w:ascii="Arial" w:hAnsi="Arial" w:cs="Arial"/>
                <w:lang w:val="en-GB"/>
              </w:rPr>
              <w:t>of different sections of the manuscript.</w:t>
            </w:r>
          </w:p>
        </w:tc>
        <w:tc>
          <w:tcPr>
            <w:tcW w:w="1947" w:type="pct"/>
          </w:tcPr>
          <w:p w14:paraId="127DED6D" w14:textId="77777777" w:rsidR="002A28AE" w:rsidRDefault="002A28AE" w:rsidP="00952807">
            <w:pPr>
              <w:pStyle w:val="ListParagraph"/>
              <w:widowControl w:val="0"/>
              <w:shd w:val="clear" w:color="auto" w:fill="FEFEFE"/>
              <w:autoSpaceDE w:val="0"/>
              <w:autoSpaceDN w:val="0"/>
              <w:spacing w:before="100" w:beforeAutospacing="1" w:after="100" w:afterAutospacing="1"/>
              <w:ind w:left="0"/>
              <w:contextualSpacing w:val="0"/>
              <w:rPr>
                <w:color w:val="0A0A0A"/>
                <w:sz w:val="22"/>
                <w:szCs w:val="20"/>
                <w:lang w:val="ro-RO" w:eastAsia="ro-RO"/>
              </w:rPr>
            </w:pPr>
            <w:r w:rsidRPr="00952807">
              <w:rPr>
                <w:sz w:val="22"/>
                <w:szCs w:val="20"/>
              </w:rPr>
              <w:t xml:space="preserve">I consider that the introduction should compared to other papers published in this area. </w:t>
            </w:r>
            <w:r w:rsidRPr="00952807">
              <w:rPr>
                <w:color w:val="0A0A0A"/>
                <w:sz w:val="22"/>
                <w:szCs w:val="20"/>
                <w:lang w:val="ro-RO" w:eastAsia="ro-RO"/>
              </w:rPr>
              <w:t>I consider an econometric model will increase the quality of the paper.</w:t>
            </w:r>
          </w:p>
          <w:p w14:paraId="040A20A7" w14:textId="77777777" w:rsidR="00952807" w:rsidRPr="00952807" w:rsidRDefault="00952807" w:rsidP="00952807">
            <w:pPr>
              <w:pStyle w:val="ListParagraph"/>
              <w:ind w:left="0"/>
              <w:rPr>
                <w:color w:val="0A0A0A"/>
                <w:sz w:val="22"/>
                <w:szCs w:val="20"/>
              </w:rPr>
            </w:pPr>
            <w:r w:rsidRPr="00952807">
              <w:rPr>
                <w:color w:val="0A0A0A"/>
                <w:sz w:val="22"/>
                <w:szCs w:val="20"/>
              </w:rPr>
              <w:t>We recommend the authors to number the paragraphs: 1. Introduction; 2.Literature review; 3. Methods and Results, Discussions and Conclusions.</w:t>
            </w:r>
          </w:p>
          <w:p w14:paraId="5C93CB83" w14:textId="0FFDCA1F" w:rsidR="00952807" w:rsidRPr="00952807" w:rsidRDefault="00952807" w:rsidP="00952807">
            <w:pPr>
              <w:pStyle w:val="ListParagraph"/>
              <w:ind w:left="0"/>
              <w:rPr>
                <w:b/>
                <w:bCs/>
                <w:sz w:val="22"/>
                <w:szCs w:val="20"/>
                <w:lang w:val="en-GB"/>
              </w:rPr>
            </w:pPr>
            <w:r w:rsidRPr="00952807">
              <w:rPr>
                <w:color w:val="0A0A0A"/>
                <w:sz w:val="22"/>
                <w:szCs w:val="20"/>
              </w:rPr>
              <w:t>In conclusion, the article should be thoroughly rebuilt (changes in structure recommended above). It should also be enhanced with a review of the literature adequate to the subject and a broader interpretation and commentary of the research results.</w:t>
            </w:r>
          </w:p>
        </w:tc>
        <w:tc>
          <w:tcPr>
            <w:tcW w:w="1671" w:type="pct"/>
            <w:gridSpan w:val="2"/>
          </w:tcPr>
          <w:p w14:paraId="2CF34645" w14:textId="77777777" w:rsidR="002A28AE" w:rsidRPr="00DE7D30" w:rsidRDefault="002A28AE" w:rsidP="002A28AE">
            <w:pPr>
              <w:rPr>
                <w:rFonts w:ascii="Arial" w:hAnsi="Arial" w:cs="Arial"/>
                <w:sz w:val="20"/>
                <w:szCs w:val="20"/>
                <w:lang w:val="en-GB"/>
              </w:rPr>
            </w:pPr>
          </w:p>
        </w:tc>
      </w:tr>
      <w:tr w:rsidR="002A28AE" w:rsidRPr="00DE7D30" w14:paraId="60D1229B" w14:textId="77777777" w:rsidTr="00140BE9">
        <w:tblPrEx>
          <w:shd w:val="clear" w:color="auto" w:fill="auto"/>
          <w:tblCellMar>
            <w:left w:w="108" w:type="dxa"/>
            <w:right w:w="108" w:type="dxa"/>
          </w:tblCellMar>
        </w:tblPrEx>
        <w:trPr>
          <w:trHeight w:val="1178"/>
        </w:trPr>
        <w:tc>
          <w:tcPr>
            <w:tcW w:w="1382" w:type="pct"/>
            <w:gridSpan w:val="3"/>
            <w:noWrap/>
          </w:tcPr>
          <w:p w14:paraId="0077FDF8" w14:textId="77777777" w:rsidR="002A28AE" w:rsidRPr="00DE7D30" w:rsidRDefault="002A28AE" w:rsidP="002A28AE">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in the manuscript are proper, </w:t>
            </w:r>
          </w:p>
          <w:p w14:paraId="1656CFCA" w14:textId="77777777" w:rsidR="002A28AE" w:rsidRPr="00DE7D30" w:rsidRDefault="002A28AE" w:rsidP="002A28AE">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2A28AE" w:rsidRPr="00DE7D30" w:rsidRDefault="002A28AE" w:rsidP="002A28AE">
            <w:pPr>
              <w:rPr>
                <w:rFonts w:ascii="Arial" w:hAnsi="Arial" w:cs="Arial"/>
                <w:lang w:val="en-GB"/>
              </w:rPr>
            </w:pPr>
            <w:r w:rsidRPr="00DE7D30">
              <w:rPr>
                <w:rFonts w:ascii="Arial" w:hAnsi="Arial" w:cs="Arial"/>
                <w:lang w:val="en-GB"/>
              </w:rPr>
              <w:t>If you have any suggestions, please write here.</w:t>
            </w:r>
          </w:p>
        </w:tc>
        <w:tc>
          <w:tcPr>
            <w:tcW w:w="1947" w:type="pct"/>
          </w:tcPr>
          <w:p w14:paraId="40B8284A" w14:textId="77777777" w:rsidR="002A28AE" w:rsidRPr="00952807" w:rsidRDefault="002A28AE" w:rsidP="002A28AE">
            <w:pPr>
              <w:pStyle w:val="ListParagraph"/>
              <w:widowControl w:val="0"/>
              <w:numPr>
                <w:ilvl w:val="0"/>
                <w:numId w:val="11"/>
              </w:numPr>
              <w:shd w:val="clear" w:color="auto" w:fill="FEFEFE"/>
              <w:autoSpaceDE w:val="0"/>
              <w:autoSpaceDN w:val="0"/>
              <w:spacing w:before="100" w:beforeAutospacing="1" w:after="100" w:afterAutospacing="1"/>
              <w:contextualSpacing w:val="0"/>
              <w:jc w:val="both"/>
              <w:rPr>
                <w:sz w:val="22"/>
                <w:szCs w:val="20"/>
              </w:rPr>
            </w:pPr>
            <w:r w:rsidRPr="00952807">
              <w:rPr>
                <w:color w:val="0A0A0A"/>
                <w:sz w:val="22"/>
                <w:szCs w:val="20"/>
                <w:lang w:val="ro-RO" w:eastAsia="ro-RO"/>
              </w:rPr>
              <w:t>In the same time, I</w:t>
            </w:r>
            <w:r w:rsidRPr="00952807">
              <w:rPr>
                <w:sz w:val="22"/>
                <w:szCs w:val="20"/>
              </w:rPr>
              <w:t xml:space="preserve"> consider the literature review section cannot missing from the paper and that is why we consider that the literature is not enough  and that is why, we recommend the authors to refer to other recent works indexed in Web of Science, Scopus, Emerald, </w:t>
            </w:r>
            <w:proofErr w:type="spellStart"/>
            <w:r w:rsidRPr="00952807">
              <w:rPr>
                <w:sz w:val="22"/>
                <w:szCs w:val="20"/>
              </w:rPr>
              <w:t>Cambrige</w:t>
            </w:r>
            <w:proofErr w:type="spellEnd"/>
            <w:r w:rsidRPr="00952807">
              <w:rPr>
                <w:sz w:val="22"/>
                <w:szCs w:val="20"/>
              </w:rPr>
              <w:t>, and of course MDPI Journals. We suggest that the authors cite papers published in MDPI journals and Web of Science Journals, such as:</w:t>
            </w:r>
          </w:p>
          <w:p w14:paraId="73EE77D2" w14:textId="77777777" w:rsidR="002A28AE" w:rsidRPr="00952807" w:rsidRDefault="002A28AE" w:rsidP="002A28AE">
            <w:pPr>
              <w:numPr>
                <w:ilvl w:val="0"/>
                <w:numId w:val="12"/>
              </w:numPr>
              <w:shd w:val="clear" w:color="auto" w:fill="FFFFFF"/>
              <w:spacing w:after="150"/>
              <w:rPr>
                <w:bCs/>
                <w:color w:val="000000"/>
                <w:sz w:val="22"/>
                <w:szCs w:val="20"/>
              </w:rPr>
            </w:pPr>
            <w:bookmarkStart w:id="0" w:name="_Hlk55337341"/>
            <w:r w:rsidRPr="00952807">
              <w:rPr>
                <w:bCs/>
                <w:color w:val="000000"/>
                <w:sz w:val="22"/>
                <w:szCs w:val="20"/>
              </w:rPr>
              <w:t xml:space="preserve">Batrancea L., Batrancea I., </w:t>
            </w:r>
            <w:proofErr w:type="spellStart"/>
            <w:r w:rsidRPr="00952807">
              <w:rPr>
                <w:bCs/>
                <w:color w:val="000000"/>
                <w:sz w:val="22"/>
                <w:szCs w:val="20"/>
              </w:rPr>
              <w:t>Moscviciov</w:t>
            </w:r>
            <w:proofErr w:type="spellEnd"/>
            <w:r w:rsidRPr="00952807">
              <w:rPr>
                <w:bCs/>
                <w:color w:val="000000"/>
                <w:sz w:val="22"/>
                <w:szCs w:val="20"/>
              </w:rPr>
              <w:t xml:space="preserve"> A. (2009), The Roots of the World </w:t>
            </w:r>
            <w:r w:rsidRPr="00952807">
              <w:rPr>
                <w:bCs/>
                <w:color w:val="000000"/>
                <w:sz w:val="22"/>
                <w:szCs w:val="20"/>
              </w:rPr>
              <w:lastRenderedPageBreak/>
              <w:t>Financial Crisis, Annals of Faculty of Economics, 3(1):57-62</w:t>
            </w:r>
            <w:bookmarkEnd w:id="0"/>
            <w:r w:rsidRPr="00952807">
              <w:rPr>
                <w:bCs/>
                <w:color w:val="000000"/>
                <w:sz w:val="22"/>
                <w:szCs w:val="20"/>
              </w:rPr>
              <w:t>.</w:t>
            </w:r>
          </w:p>
          <w:p w14:paraId="1E77A46F" w14:textId="77777777" w:rsidR="002A28AE" w:rsidRPr="00952807" w:rsidRDefault="002A28AE" w:rsidP="002A28AE">
            <w:pPr>
              <w:numPr>
                <w:ilvl w:val="0"/>
                <w:numId w:val="12"/>
              </w:numPr>
              <w:shd w:val="clear" w:color="auto" w:fill="FFFFFF"/>
              <w:spacing w:line="360" w:lineRule="auto"/>
              <w:rPr>
                <w:color w:val="222222"/>
                <w:sz w:val="22"/>
                <w:szCs w:val="20"/>
              </w:rPr>
            </w:pPr>
            <w:proofErr w:type="spellStart"/>
            <w:r w:rsidRPr="00952807">
              <w:rPr>
                <w:color w:val="222222"/>
                <w:sz w:val="22"/>
                <w:szCs w:val="20"/>
              </w:rPr>
              <w:t>Moscviciov</w:t>
            </w:r>
            <w:proofErr w:type="spellEnd"/>
            <w:r w:rsidRPr="00952807">
              <w:rPr>
                <w:color w:val="222222"/>
                <w:sz w:val="22"/>
                <w:szCs w:val="20"/>
              </w:rPr>
              <w:t xml:space="preserve">, A., </w:t>
            </w:r>
            <w:proofErr w:type="spellStart"/>
            <w:r w:rsidRPr="00952807">
              <w:rPr>
                <w:color w:val="222222"/>
                <w:sz w:val="22"/>
                <w:szCs w:val="20"/>
              </w:rPr>
              <w:t>Bătrâncea</w:t>
            </w:r>
            <w:proofErr w:type="spellEnd"/>
            <w:r w:rsidRPr="00952807">
              <w:rPr>
                <w:color w:val="222222"/>
                <w:sz w:val="22"/>
                <w:szCs w:val="20"/>
              </w:rPr>
              <w:t>, I.</w:t>
            </w:r>
            <w:proofErr w:type="gramStart"/>
            <w:r w:rsidRPr="00952807">
              <w:rPr>
                <w:color w:val="222222"/>
                <w:sz w:val="22"/>
                <w:szCs w:val="20"/>
              </w:rPr>
              <w:t xml:space="preserve">,  </w:t>
            </w:r>
            <w:proofErr w:type="spellStart"/>
            <w:r w:rsidRPr="00952807">
              <w:rPr>
                <w:color w:val="222222"/>
                <w:sz w:val="22"/>
                <w:szCs w:val="20"/>
              </w:rPr>
              <w:t>Bătrâncea</w:t>
            </w:r>
            <w:proofErr w:type="gramEnd"/>
            <w:r w:rsidRPr="00952807">
              <w:rPr>
                <w:color w:val="222222"/>
                <w:sz w:val="22"/>
                <w:szCs w:val="20"/>
              </w:rPr>
              <w:t>,M</w:t>
            </w:r>
            <w:proofErr w:type="spellEnd"/>
            <w:r w:rsidRPr="00952807">
              <w:rPr>
                <w:color w:val="222222"/>
                <w:sz w:val="22"/>
                <w:szCs w:val="20"/>
              </w:rPr>
              <w:t xml:space="preserve">., </w:t>
            </w:r>
            <w:proofErr w:type="spellStart"/>
            <w:r w:rsidRPr="00952807">
              <w:rPr>
                <w:color w:val="222222"/>
                <w:sz w:val="22"/>
                <w:szCs w:val="20"/>
              </w:rPr>
              <w:t>Bătrâncea</w:t>
            </w:r>
            <w:proofErr w:type="spellEnd"/>
            <w:r w:rsidRPr="00952807">
              <w:rPr>
                <w:color w:val="222222"/>
                <w:sz w:val="22"/>
                <w:szCs w:val="20"/>
              </w:rPr>
              <w:t xml:space="preserve">, L.M. (2010) Financial Ratio Analysis Used In the It Enterprises, Annals of the University of Oradea: Economic Science, 19(2):600-603. </w:t>
            </w:r>
          </w:p>
          <w:p w14:paraId="6EEBF496" w14:textId="77777777" w:rsidR="002A28AE" w:rsidRPr="00952807" w:rsidRDefault="002A28AE" w:rsidP="002A28AE">
            <w:pPr>
              <w:numPr>
                <w:ilvl w:val="0"/>
                <w:numId w:val="12"/>
              </w:numPr>
              <w:shd w:val="clear" w:color="auto" w:fill="FFFFFF"/>
              <w:spacing w:after="150"/>
              <w:rPr>
                <w:bCs/>
                <w:color w:val="000000"/>
                <w:sz w:val="22"/>
                <w:szCs w:val="20"/>
              </w:rPr>
            </w:pPr>
            <w:r w:rsidRPr="00952807">
              <w:rPr>
                <w:sz w:val="22"/>
                <w:szCs w:val="20"/>
              </w:rPr>
              <w:t xml:space="preserve">Batrancea, L., Batrancea, I., </w:t>
            </w:r>
            <w:proofErr w:type="spellStart"/>
            <w:r w:rsidRPr="00952807">
              <w:rPr>
                <w:sz w:val="22"/>
                <w:szCs w:val="20"/>
              </w:rPr>
              <w:t>Moscviciov</w:t>
            </w:r>
            <w:proofErr w:type="spellEnd"/>
            <w:r w:rsidRPr="00952807">
              <w:rPr>
                <w:sz w:val="22"/>
                <w:szCs w:val="20"/>
              </w:rPr>
              <w:t xml:space="preserve">, A. (2009) </w:t>
            </w:r>
            <w:hyperlink r:id="rId7" w:history="1">
              <w:r w:rsidRPr="00952807">
                <w:rPr>
                  <w:sz w:val="22"/>
                  <w:szCs w:val="20"/>
                </w:rPr>
                <w:t>The analysis of the entity’s liquidity—A means of evaluating cash flow</w:t>
              </w:r>
            </w:hyperlink>
            <w:r w:rsidRPr="00952807">
              <w:rPr>
                <w:sz w:val="22"/>
                <w:szCs w:val="20"/>
              </w:rPr>
              <w:t>, Journal of International Finance and Economics, 9(1):92-98.</w:t>
            </w:r>
          </w:p>
          <w:p w14:paraId="6D131C85" w14:textId="77777777" w:rsidR="002A28AE" w:rsidRPr="00952807" w:rsidRDefault="002A28AE" w:rsidP="002A28AE">
            <w:pPr>
              <w:numPr>
                <w:ilvl w:val="0"/>
                <w:numId w:val="12"/>
              </w:numPr>
              <w:shd w:val="clear" w:color="auto" w:fill="FFFFFF"/>
              <w:spacing w:after="150"/>
              <w:rPr>
                <w:bCs/>
                <w:color w:val="000000"/>
                <w:sz w:val="22"/>
                <w:szCs w:val="20"/>
              </w:rPr>
            </w:pPr>
            <w:r w:rsidRPr="00952807">
              <w:rPr>
                <w:sz w:val="22"/>
                <w:szCs w:val="20"/>
              </w:rPr>
              <w:t xml:space="preserve">Batrancea, L.M., Batrancea, I., </w:t>
            </w:r>
            <w:proofErr w:type="spellStart"/>
            <w:r w:rsidRPr="00952807">
              <w:rPr>
                <w:sz w:val="22"/>
                <w:szCs w:val="20"/>
              </w:rPr>
              <w:t>Moscviciov</w:t>
            </w:r>
            <w:proofErr w:type="spellEnd"/>
            <w:r w:rsidRPr="00952807">
              <w:rPr>
                <w:sz w:val="22"/>
                <w:szCs w:val="20"/>
              </w:rPr>
              <w:t xml:space="preserve">, A. (2009) </w:t>
            </w:r>
            <w:r w:rsidRPr="00952807">
              <w:rPr>
                <w:color w:val="222222"/>
                <w:sz w:val="22"/>
                <w:szCs w:val="20"/>
                <w:shd w:val="clear" w:color="auto" w:fill="FFFFFF"/>
              </w:rPr>
              <w:t xml:space="preserve">The Roots of the World Financial Crisis, </w:t>
            </w:r>
            <w:r w:rsidRPr="00952807">
              <w:rPr>
                <w:color w:val="222222"/>
                <w:sz w:val="22"/>
                <w:szCs w:val="20"/>
              </w:rPr>
              <w:t>Annals of Faculty of Economics, 3(1):57-62.</w:t>
            </w:r>
          </w:p>
          <w:p w14:paraId="113A083D" w14:textId="77777777" w:rsidR="002A28AE" w:rsidRPr="00952807" w:rsidRDefault="002A28AE" w:rsidP="002A28AE">
            <w:pPr>
              <w:numPr>
                <w:ilvl w:val="0"/>
                <w:numId w:val="12"/>
              </w:numPr>
              <w:shd w:val="clear" w:color="auto" w:fill="FFFFFF"/>
              <w:spacing w:after="150"/>
              <w:rPr>
                <w:bCs/>
                <w:color w:val="000000"/>
                <w:sz w:val="22"/>
                <w:szCs w:val="20"/>
              </w:rPr>
            </w:pPr>
            <w:r w:rsidRPr="00952807">
              <w:rPr>
                <w:sz w:val="22"/>
                <w:szCs w:val="20"/>
              </w:rPr>
              <w:t xml:space="preserve">Batrancea, L., </w:t>
            </w:r>
            <w:proofErr w:type="spellStart"/>
            <w:r w:rsidRPr="00952807">
              <w:rPr>
                <w:sz w:val="22"/>
                <w:szCs w:val="20"/>
              </w:rPr>
              <w:t>Rathnaswamy</w:t>
            </w:r>
            <w:proofErr w:type="spellEnd"/>
            <w:r w:rsidRPr="00952807">
              <w:rPr>
                <w:sz w:val="22"/>
                <w:szCs w:val="20"/>
              </w:rPr>
              <w:t xml:space="preserve">, M.K. &amp; </w:t>
            </w:r>
            <w:proofErr w:type="spellStart"/>
            <w:r w:rsidRPr="00952807">
              <w:rPr>
                <w:sz w:val="22"/>
                <w:szCs w:val="20"/>
              </w:rPr>
              <w:t>Batrancea</w:t>
            </w:r>
            <w:proofErr w:type="spellEnd"/>
            <w:r w:rsidRPr="00952807">
              <w:rPr>
                <w:sz w:val="22"/>
                <w:szCs w:val="20"/>
              </w:rPr>
              <w:t xml:space="preserve">, I. A Panel Data Analysis on Determinants of Economic Growth in Seven Non-BCBS Countries. J </w:t>
            </w:r>
            <w:proofErr w:type="spellStart"/>
            <w:r w:rsidRPr="00952807">
              <w:rPr>
                <w:sz w:val="22"/>
                <w:szCs w:val="20"/>
              </w:rPr>
              <w:t>Knowl</w:t>
            </w:r>
            <w:proofErr w:type="spellEnd"/>
            <w:r w:rsidRPr="00952807">
              <w:rPr>
                <w:sz w:val="22"/>
                <w:szCs w:val="20"/>
              </w:rPr>
              <w:t xml:space="preserve"> Econ (2021). https://doi.org/10.1007/s13132-021-00785-y</w:t>
            </w:r>
          </w:p>
          <w:p w14:paraId="5DBC9DD9" w14:textId="7ACD1E03" w:rsidR="002A28AE" w:rsidRPr="00952807" w:rsidRDefault="002A28AE" w:rsidP="00952807">
            <w:pPr>
              <w:pStyle w:val="NormalWeb"/>
              <w:shd w:val="clear" w:color="auto" w:fill="FFFFFF"/>
              <w:spacing w:before="0" w:beforeAutospacing="0" w:after="150" w:afterAutospacing="0" w:line="360" w:lineRule="auto"/>
              <w:jc w:val="both"/>
              <w:rPr>
                <w:sz w:val="22"/>
                <w:szCs w:val="20"/>
              </w:rPr>
            </w:pPr>
            <w:r w:rsidRPr="00952807">
              <w:rPr>
                <w:sz w:val="22"/>
                <w:szCs w:val="20"/>
              </w:rPr>
              <w:t>We also consider that an important cause that influences GDP is fiscal compliance and therefore even if this variable was not taken into account, the authors should refer to the works published on this topic, namely:</w:t>
            </w:r>
          </w:p>
          <w:p w14:paraId="280085A5" w14:textId="77777777" w:rsidR="002A28AE" w:rsidRPr="00952807" w:rsidRDefault="002A28AE" w:rsidP="002A28AE">
            <w:pPr>
              <w:pStyle w:val="NormalWeb"/>
              <w:numPr>
                <w:ilvl w:val="0"/>
                <w:numId w:val="12"/>
              </w:numPr>
              <w:shd w:val="clear" w:color="auto" w:fill="FFFFFF"/>
              <w:spacing w:before="0" w:beforeAutospacing="0" w:after="0" w:afterAutospacing="0" w:line="360" w:lineRule="auto"/>
              <w:jc w:val="both"/>
              <w:rPr>
                <w:rFonts w:ascii="Times New Roman" w:hAnsi="Times New Roman" w:cs="Times New Roman"/>
                <w:bCs/>
                <w:sz w:val="22"/>
                <w:szCs w:val="20"/>
              </w:rPr>
            </w:pPr>
            <w:proofErr w:type="spellStart"/>
            <w:r w:rsidRPr="00952807">
              <w:rPr>
                <w:rFonts w:ascii="Times New Roman" w:hAnsi="Times New Roman" w:cs="Times New Roman"/>
                <w:bCs/>
                <w:color w:val="000000"/>
                <w:sz w:val="22"/>
                <w:szCs w:val="20"/>
              </w:rPr>
              <w:t>Batrancea</w:t>
            </w:r>
            <w:proofErr w:type="spellEnd"/>
            <w:r w:rsidRPr="00952807">
              <w:rPr>
                <w:rFonts w:ascii="Times New Roman" w:hAnsi="Times New Roman" w:cs="Times New Roman"/>
                <w:bCs/>
                <w:color w:val="000000"/>
                <w:sz w:val="22"/>
                <w:szCs w:val="20"/>
              </w:rPr>
              <w:t xml:space="preserve"> L.M., </w:t>
            </w:r>
            <w:proofErr w:type="spellStart"/>
            <w:r w:rsidRPr="00952807">
              <w:rPr>
                <w:rFonts w:ascii="Times New Roman" w:hAnsi="Times New Roman" w:cs="Times New Roman"/>
                <w:bCs/>
                <w:color w:val="000000"/>
                <w:sz w:val="22"/>
                <w:szCs w:val="20"/>
              </w:rPr>
              <w:t>Nichita</w:t>
            </w:r>
            <w:proofErr w:type="spellEnd"/>
            <w:r w:rsidRPr="00952807">
              <w:rPr>
                <w:rFonts w:ascii="Times New Roman" w:hAnsi="Times New Roman" w:cs="Times New Roman"/>
                <w:bCs/>
                <w:color w:val="000000"/>
                <w:sz w:val="22"/>
                <w:szCs w:val="20"/>
              </w:rPr>
              <w:t xml:space="preserve"> R.A., Ba</w:t>
            </w:r>
            <w:r w:rsidRPr="00952807">
              <w:rPr>
                <w:rFonts w:ascii="Times New Roman" w:hAnsi="Times New Roman" w:cs="Times New Roman"/>
                <w:bCs/>
                <w:color w:val="000000"/>
                <w:sz w:val="22"/>
                <w:szCs w:val="20"/>
                <w:lang w:eastAsia="zh-CN"/>
              </w:rPr>
              <w:t xml:space="preserve">trancea I. </w:t>
            </w:r>
            <w:r w:rsidRPr="00952807">
              <w:rPr>
                <w:rFonts w:ascii="Times New Roman" w:hAnsi="Times New Roman" w:cs="Times New Roman"/>
                <w:bCs/>
                <w:color w:val="000000"/>
                <w:sz w:val="22"/>
                <w:szCs w:val="20"/>
              </w:rPr>
              <w:t xml:space="preserve">(2012), Tax Non-Compliance Behavior in the Light of Tax Law Complexity and the Relationship between Authorities and Taxpayers, </w:t>
            </w:r>
            <w:r w:rsidRPr="00952807">
              <w:rPr>
                <w:rFonts w:ascii="Times New Roman" w:hAnsi="Times New Roman" w:cs="Times New Roman"/>
                <w:i/>
                <w:iCs/>
                <w:color w:val="222222"/>
                <w:sz w:val="22"/>
                <w:szCs w:val="20"/>
              </w:rPr>
              <w:t xml:space="preserve">Annals of the Alexandru Ioan Cuza University-Economics, </w:t>
            </w:r>
            <w:r w:rsidRPr="00952807">
              <w:rPr>
                <w:rFonts w:ascii="Times New Roman" w:hAnsi="Times New Roman" w:cs="Times New Roman"/>
                <w:bCs/>
                <w:color w:val="000000"/>
                <w:sz w:val="22"/>
                <w:szCs w:val="20"/>
              </w:rPr>
              <w:t>59(1), pp.97–106.</w:t>
            </w:r>
          </w:p>
          <w:p w14:paraId="3713CF6D" w14:textId="77777777" w:rsidR="002A28AE" w:rsidRPr="00952807" w:rsidRDefault="002A28AE" w:rsidP="002A28AE">
            <w:pPr>
              <w:numPr>
                <w:ilvl w:val="0"/>
                <w:numId w:val="12"/>
              </w:numPr>
              <w:shd w:val="clear" w:color="auto" w:fill="FFFFFF"/>
              <w:spacing w:after="200" w:line="276" w:lineRule="auto"/>
              <w:rPr>
                <w:sz w:val="22"/>
                <w:szCs w:val="20"/>
              </w:rPr>
            </w:pPr>
            <w:r w:rsidRPr="00952807">
              <w:rPr>
                <w:bCs/>
                <w:sz w:val="22"/>
                <w:szCs w:val="20"/>
              </w:rPr>
              <w:t xml:space="preserve">Nichita R.A., Batrancea L.M., (2012), The Implications of Tax Morale on Tax Compliance Behavior, </w:t>
            </w:r>
            <w:r w:rsidRPr="00952807">
              <w:rPr>
                <w:i/>
                <w:sz w:val="22"/>
                <w:szCs w:val="20"/>
              </w:rPr>
              <w:t>Annals of University of</w:t>
            </w:r>
            <w:r w:rsidRPr="00952807">
              <w:rPr>
                <w:i/>
                <w:sz w:val="22"/>
                <w:szCs w:val="20"/>
                <w:lang w:eastAsia="zh-CN"/>
              </w:rPr>
              <w:t xml:space="preserve"> Oradea: Economic Science</w:t>
            </w:r>
            <w:r w:rsidRPr="00952807">
              <w:rPr>
                <w:sz w:val="22"/>
                <w:szCs w:val="20"/>
                <w:lang w:eastAsia="zh-CN"/>
              </w:rPr>
              <w:t>, 21(1)1, 739–744.</w:t>
            </w:r>
          </w:p>
          <w:p w14:paraId="0E096330" w14:textId="77777777" w:rsidR="002A28AE" w:rsidRPr="00952807" w:rsidRDefault="002A28AE" w:rsidP="002A28AE">
            <w:pPr>
              <w:ind w:firstLine="360"/>
              <w:rPr>
                <w:sz w:val="22"/>
                <w:szCs w:val="20"/>
              </w:rPr>
            </w:pPr>
          </w:p>
          <w:p w14:paraId="192EF312" w14:textId="34614199" w:rsidR="002A28AE" w:rsidRPr="00952807" w:rsidRDefault="002A28AE" w:rsidP="00952807">
            <w:pPr>
              <w:rPr>
                <w:sz w:val="22"/>
                <w:szCs w:val="20"/>
              </w:rPr>
            </w:pPr>
            <w:r w:rsidRPr="00952807">
              <w:rPr>
                <w:sz w:val="22"/>
                <w:szCs w:val="20"/>
              </w:rPr>
              <w:t xml:space="preserve">Another important cause that must be mentioned in the paper is the link between GDP, fiscal compliance and shadow economy, as the independent variables fiscal compliance and shadow economy strongly influence GDP. In this sense, I recommend the authors to quote the paper: </w:t>
            </w:r>
          </w:p>
          <w:p w14:paraId="6D532B8F" w14:textId="682AD8FB" w:rsidR="002A28AE" w:rsidRPr="00952807" w:rsidRDefault="002A28AE" w:rsidP="00952807">
            <w:pPr>
              <w:pStyle w:val="ListParagraph"/>
              <w:widowControl w:val="0"/>
              <w:numPr>
                <w:ilvl w:val="0"/>
                <w:numId w:val="12"/>
              </w:numPr>
              <w:autoSpaceDE w:val="0"/>
              <w:autoSpaceDN w:val="0"/>
              <w:spacing w:line="270" w:lineRule="exact"/>
              <w:contextualSpacing w:val="0"/>
              <w:rPr>
                <w:bCs/>
                <w:sz w:val="22"/>
                <w:szCs w:val="20"/>
              </w:rPr>
            </w:pPr>
            <w:r w:rsidRPr="00952807">
              <w:rPr>
                <w:bCs/>
                <w:sz w:val="22"/>
                <w:szCs w:val="20"/>
              </w:rPr>
              <w:t xml:space="preserve">Batrancea L., Nichita A., Batrancea I., Gaban L. (2018). „The </w:t>
            </w:r>
            <w:proofErr w:type="spellStart"/>
            <w:r w:rsidRPr="00952807">
              <w:rPr>
                <w:bCs/>
                <w:sz w:val="22"/>
                <w:szCs w:val="20"/>
              </w:rPr>
              <w:t>Strenght</w:t>
            </w:r>
            <w:proofErr w:type="spellEnd"/>
            <w:r w:rsidRPr="00952807">
              <w:rPr>
                <w:bCs/>
                <w:sz w:val="22"/>
                <w:szCs w:val="20"/>
              </w:rPr>
              <w:t xml:space="preserve"> of the Relationship Between Shadow Economy and Corruption: Evidence from a Worldwide Country-Sample”. Social Indicators Research 138(3), 1119-1143; DOI: 10.1007/s11205-017-1696-z</w:t>
            </w:r>
          </w:p>
        </w:tc>
        <w:tc>
          <w:tcPr>
            <w:tcW w:w="1671" w:type="pct"/>
            <w:gridSpan w:val="2"/>
          </w:tcPr>
          <w:p w14:paraId="2ABAF18B" w14:textId="77777777" w:rsidR="002A28AE" w:rsidRPr="00DE7D30" w:rsidRDefault="002A28AE" w:rsidP="002A28AE">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p w14:paraId="746FBA23"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CD3D7A" w:rsidRPr="00340561" w14:paraId="3416BCDF" w14:textId="77777777" w:rsidTr="00F3066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7ECFD13" w14:textId="77777777" w:rsidR="00CD3D7A" w:rsidRPr="00340561" w:rsidRDefault="00CD3D7A" w:rsidP="00F3066B">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29B5875D" w14:textId="77777777" w:rsidR="00CD3D7A" w:rsidRPr="00340561" w:rsidRDefault="00CD3D7A" w:rsidP="00F3066B">
            <w:pPr>
              <w:rPr>
                <w:rFonts w:ascii="Arial" w:eastAsia="Arial Unicode MS" w:hAnsi="Arial" w:cs="Arial"/>
                <w:b/>
                <w:sz w:val="20"/>
                <w:szCs w:val="20"/>
                <w:u w:val="single"/>
                <w:lang w:val="en-GB"/>
              </w:rPr>
            </w:pPr>
          </w:p>
        </w:tc>
      </w:tr>
      <w:tr w:rsidR="00CD3D7A" w:rsidRPr="00340561" w14:paraId="0559955B" w14:textId="77777777" w:rsidTr="00F3066B">
        <w:tc>
          <w:tcPr>
            <w:tcW w:w="1629" w:type="pct"/>
            <w:shd w:val="clear" w:color="auto" w:fill="auto"/>
            <w:noWrap/>
            <w:tcMar>
              <w:top w:w="0" w:type="dxa"/>
              <w:left w:w="108" w:type="dxa"/>
              <w:bottom w:w="0" w:type="dxa"/>
              <w:right w:w="108" w:type="dxa"/>
            </w:tcMar>
            <w:vAlign w:val="center"/>
          </w:tcPr>
          <w:p w14:paraId="675898CB" w14:textId="77777777" w:rsidR="00CD3D7A" w:rsidRPr="00340561" w:rsidRDefault="00CD3D7A" w:rsidP="00F3066B">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4CEA7F28" w14:textId="77777777" w:rsidR="00CD3D7A" w:rsidRPr="00340561" w:rsidRDefault="00CD3D7A" w:rsidP="00F3066B">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5B1D1272" w14:textId="77777777" w:rsidR="00CD3D7A" w:rsidRPr="00340561" w:rsidRDefault="00CD3D7A" w:rsidP="00F3066B">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 xml:space="preserve">(if agreed with reviewer, correct the manuscript and highlight </w:t>
            </w:r>
            <w:r w:rsidRPr="00340561">
              <w:rPr>
                <w:rFonts w:ascii="Arial" w:eastAsia="MS Mincho" w:hAnsi="Arial" w:cs="Arial"/>
                <w:bCs/>
                <w:i/>
                <w:sz w:val="20"/>
                <w:szCs w:val="20"/>
                <w:lang w:val="en-GB"/>
              </w:rPr>
              <w:lastRenderedPageBreak/>
              <w:t>that part in the manuscript. It is mandatory that authors should write his/her feedback here)</w:t>
            </w:r>
          </w:p>
        </w:tc>
      </w:tr>
      <w:tr w:rsidR="00CD3D7A" w:rsidRPr="00340561" w14:paraId="11538791" w14:textId="77777777" w:rsidTr="00F3066B">
        <w:trPr>
          <w:trHeight w:val="890"/>
        </w:trPr>
        <w:tc>
          <w:tcPr>
            <w:tcW w:w="1629" w:type="pct"/>
            <w:shd w:val="clear" w:color="auto" w:fill="auto"/>
            <w:noWrap/>
            <w:tcMar>
              <w:top w:w="0" w:type="dxa"/>
              <w:left w:w="108" w:type="dxa"/>
              <w:bottom w:w="0" w:type="dxa"/>
              <w:right w:w="108" w:type="dxa"/>
            </w:tcMar>
            <w:vAlign w:val="center"/>
          </w:tcPr>
          <w:p w14:paraId="58C373C9" w14:textId="77777777" w:rsidR="00CD3D7A" w:rsidRPr="00340561" w:rsidRDefault="00CD3D7A" w:rsidP="00F3066B">
            <w:pPr>
              <w:rPr>
                <w:rFonts w:ascii="Arial" w:eastAsia="Arial Unicode MS" w:hAnsi="Arial" w:cs="Arial"/>
                <w:b/>
                <w:sz w:val="20"/>
                <w:szCs w:val="20"/>
                <w:lang w:val="en-GB"/>
              </w:rPr>
            </w:pPr>
            <w:r w:rsidRPr="00340561">
              <w:rPr>
                <w:rFonts w:ascii="Arial" w:eastAsia="Arial Unicode MS" w:hAnsi="Arial" w:cs="Arial"/>
                <w:b/>
                <w:sz w:val="20"/>
                <w:szCs w:val="20"/>
                <w:lang w:val="en-GB"/>
              </w:rPr>
              <w:lastRenderedPageBreak/>
              <w:t xml:space="preserve">Are there ethical issues in this manuscript? </w:t>
            </w:r>
          </w:p>
          <w:p w14:paraId="5D3DDAE8" w14:textId="77777777" w:rsidR="00CD3D7A" w:rsidRPr="00340561" w:rsidRDefault="00CD3D7A" w:rsidP="00F3066B">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2903DDE9" w14:textId="77777777" w:rsidR="00CD3D7A" w:rsidRPr="00340561" w:rsidRDefault="00CD3D7A" w:rsidP="00F3066B">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1464EF24" w14:textId="77777777" w:rsidR="00CD3D7A" w:rsidRPr="00340561" w:rsidRDefault="00CD3D7A" w:rsidP="00F3066B">
            <w:pPr>
              <w:rPr>
                <w:rFonts w:ascii="Arial" w:eastAsia="Arial Unicode MS" w:hAnsi="Arial" w:cs="Arial"/>
                <w:sz w:val="20"/>
                <w:szCs w:val="20"/>
                <w:lang w:val="en-GB"/>
              </w:rPr>
            </w:pPr>
          </w:p>
          <w:p w14:paraId="7F36F418" w14:textId="77777777" w:rsidR="00CD3D7A" w:rsidRPr="00340561" w:rsidRDefault="00CD3D7A" w:rsidP="00F3066B">
            <w:pPr>
              <w:rPr>
                <w:rFonts w:ascii="Arial" w:eastAsia="Arial Unicode MS" w:hAnsi="Arial" w:cs="Arial"/>
                <w:sz w:val="20"/>
                <w:szCs w:val="20"/>
                <w:lang w:val="en-GB"/>
              </w:rPr>
            </w:pPr>
          </w:p>
        </w:tc>
        <w:tc>
          <w:tcPr>
            <w:tcW w:w="1684" w:type="pct"/>
            <w:shd w:val="clear" w:color="auto" w:fill="auto"/>
            <w:vAlign w:val="center"/>
          </w:tcPr>
          <w:p w14:paraId="7A3F2983" w14:textId="77777777" w:rsidR="00CD3D7A" w:rsidRPr="00340561" w:rsidRDefault="00CD3D7A" w:rsidP="00F3066B">
            <w:pPr>
              <w:rPr>
                <w:rFonts w:ascii="Arial" w:eastAsia="Arial Unicode MS" w:hAnsi="Arial" w:cs="Arial"/>
                <w:sz w:val="20"/>
                <w:szCs w:val="20"/>
                <w:lang w:val="en-GB"/>
              </w:rPr>
            </w:pPr>
          </w:p>
          <w:p w14:paraId="64287CE6" w14:textId="77777777" w:rsidR="00CD3D7A" w:rsidRPr="00340561" w:rsidRDefault="00CD3D7A" w:rsidP="00F3066B">
            <w:pPr>
              <w:rPr>
                <w:rFonts w:ascii="Arial" w:eastAsia="Arial Unicode MS" w:hAnsi="Arial" w:cs="Arial"/>
                <w:sz w:val="20"/>
                <w:szCs w:val="20"/>
                <w:lang w:val="en-GB"/>
              </w:rPr>
            </w:pPr>
          </w:p>
          <w:p w14:paraId="004C7C91" w14:textId="77777777" w:rsidR="00CD3D7A" w:rsidRPr="00340561" w:rsidRDefault="00CD3D7A" w:rsidP="00F3066B">
            <w:pPr>
              <w:rPr>
                <w:rFonts w:ascii="Arial" w:eastAsia="Arial Unicode MS" w:hAnsi="Arial" w:cs="Arial"/>
                <w:sz w:val="20"/>
                <w:szCs w:val="20"/>
                <w:lang w:val="en-GB"/>
              </w:rPr>
            </w:pPr>
          </w:p>
        </w:tc>
      </w:tr>
    </w:tbl>
    <w:p w14:paraId="4C8484B1" w14:textId="77777777" w:rsidR="00CD3D7A" w:rsidRDefault="00CD3D7A" w:rsidP="00CD3D7A"/>
    <w:p w14:paraId="24FBDBDA" w14:textId="77777777" w:rsidR="00CD3D7A" w:rsidRDefault="00CD3D7A" w:rsidP="00CD3D7A"/>
    <w:p w14:paraId="6D2E1289" w14:textId="77777777" w:rsidR="00CD3D7A" w:rsidRPr="00401400" w:rsidRDefault="00CD3D7A" w:rsidP="00CD3D7A"/>
    <w:p w14:paraId="7D16AF8B" w14:textId="77777777" w:rsidR="00140BE9" w:rsidRPr="00375011" w:rsidRDefault="00140BE9" w:rsidP="00140BE9">
      <w:pPr>
        <w:rPr>
          <w:bCs/>
          <w:u w:val="single"/>
          <w:lang w:val="en-GB"/>
        </w:rPr>
      </w:pPr>
      <w:r w:rsidRPr="00375011">
        <w:rPr>
          <w:bCs/>
          <w:u w:val="single"/>
          <w:lang w:val="en-GB"/>
        </w:rPr>
        <w:t>Reviewer Details:</w:t>
      </w:r>
    </w:p>
    <w:p w14:paraId="7D44CC7E" w14:textId="003FEE8F" w:rsidR="00D9392F" w:rsidRDefault="00D9392F" w:rsidP="0000007A">
      <w:pPr>
        <w:pStyle w:val="BodyText"/>
        <w:rPr>
          <w:rFonts w:ascii="Arial" w:hAnsi="Arial" w:cs="Arial"/>
          <w:b/>
          <w:bCs/>
          <w:sz w:val="20"/>
          <w:szCs w:val="20"/>
          <w:u w:val="single"/>
          <w:lang w:val="en-GB"/>
        </w:rPr>
      </w:pPr>
    </w:p>
    <w:p w14:paraId="2FAF8D50" w14:textId="4AD0A9E8" w:rsidR="00140BE9" w:rsidRPr="00140BE9" w:rsidRDefault="00140BE9" w:rsidP="0000007A">
      <w:pPr>
        <w:pStyle w:val="BodyText"/>
        <w:rPr>
          <w:rFonts w:ascii="Arial" w:hAnsi="Arial" w:cs="Arial"/>
          <w:bCs/>
          <w:sz w:val="20"/>
          <w:szCs w:val="20"/>
          <w:lang w:val="en-GB"/>
        </w:rPr>
      </w:pPr>
      <w:bookmarkStart w:id="1" w:name="_GoBack"/>
      <w:r w:rsidRPr="00140BE9">
        <w:rPr>
          <w:rFonts w:ascii="Arial" w:hAnsi="Arial" w:cs="Arial"/>
          <w:bCs/>
          <w:sz w:val="20"/>
          <w:szCs w:val="20"/>
          <w:lang w:val="en-US"/>
        </w:rPr>
        <w:t>BATRANCEA LARISSA MARGARETA, BABES-BOLYAI UNIVERSITY, ROMANIA</w:t>
      </w:r>
      <w:bookmarkEnd w:id="1"/>
    </w:p>
    <w:sectPr w:rsidR="00140BE9" w:rsidRPr="00140BE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A18C6" w14:textId="77777777" w:rsidR="00C8404A" w:rsidRPr="0000007A" w:rsidRDefault="00C8404A" w:rsidP="0099583E">
      <w:r>
        <w:separator/>
      </w:r>
    </w:p>
  </w:endnote>
  <w:endnote w:type="continuationSeparator" w:id="0">
    <w:p w14:paraId="05B4F35E" w14:textId="77777777" w:rsidR="00C8404A" w:rsidRPr="0000007A" w:rsidRDefault="00C8404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22300" w14:textId="77777777" w:rsidR="00C8404A" w:rsidRPr="0000007A" w:rsidRDefault="00C8404A" w:rsidP="0099583E">
      <w:r>
        <w:separator/>
      </w:r>
    </w:p>
  </w:footnote>
  <w:footnote w:type="continuationSeparator" w:id="0">
    <w:p w14:paraId="2EAA8D91" w14:textId="77777777" w:rsidR="00C8404A" w:rsidRPr="0000007A" w:rsidRDefault="00C8404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4817B1C"/>
    <w:multiLevelType w:val="hybridMultilevel"/>
    <w:tmpl w:val="7E22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8C30C0"/>
    <w:multiLevelType w:val="hybridMultilevel"/>
    <w:tmpl w:val="07F8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46411"/>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0DDD"/>
    <w:rsid w:val="00136984"/>
    <w:rsid w:val="00140BE9"/>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28AE"/>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B4937"/>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449E9"/>
    <w:rsid w:val="00751520"/>
    <w:rsid w:val="00766889"/>
    <w:rsid w:val="00766A0D"/>
    <w:rsid w:val="00767F8C"/>
    <w:rsid w:val="00780B67"/>
    <w:rsid w:val="00781D07"/>
    <w:rsid w:val="007A62F8"/>
    <w:rsid w:val="007B1099"/>
    <w:rsid w:val="007B3896"/>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2807"/>
    <w:rsid w:val="009553EC"/>
    <w:rsid w:val="00962B70"/>
    <w:rsid w:val="00962F49"/>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012"/>
    <w:rsid w:val="00A36C95"/>
    <w:rsid w:val="00A37DE3"/>
    <w:rsid w:val="00A40B00"/>
    <w:rsid w:val="00A4787C"/>
    <w:rsid w:val="00A51369"/>
    <w:rsid w:val="00A519D1"/>
    <w:rsid w:val="00A5303B"/>
    <w:rsid w:val="00A65C50"/>
    <w:rsid w:val="00A8290F"/>
    <w:rsid w:val="00AA41B3"/>
    <w:rsid w:val="00AA49A2"/>
    <w:rsid w:val="00AA5338"/>
    <w:rsid w:val="00AB1ED6"/>
    <w:rsid w:val="00AB29F0"/>
    <w:rsid w:val="00AB397D"/>
    <w:rsid w:val="00AB638A"/>
    <w:rsid w:val="00AB65BF"/>
    <w:rsid w:val="00AB6E43"/>
    <w:rsid w:val="00AC1349"/>
    <w:rsid w:val="00AD6C51"/>
    <w:rsid w:val="00AD7225"/>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0D22"/>
    <w:rsid w:val="00C435C6"/>
    <w:rsid w:val="00C635B6"/>
    <w:rsid w:val="00C70DFC"/>
    <w:rsid w:val="00C82466"/>
    <w:rsid w:val="00C8404A"/>
    <w:rsid w:val="00C84097"/>
    <w:rsid w:val="00CA4B20"/>
    <w:rsid w:val="00CA7853"/>
    <w:rsid w:val="00CB429B"/>
    <w:rsid w:val="00CC2753"/>
    <w:rsid w:val="00CD093E"/>
    <w:rsid w:val="00CD1556"/>
    <w:rsid w:val="00CD1FD7"/>
    <w:rsid w:val="00CD3D7A"/>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418A"/>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01B"/>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BE9"/>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1"/>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Emphasis">
    <w:name w:val="Emphasis"/>
    <w:uiPriority w:val="20"/>
    <w:qFormat/>
    <w:rsid w:val="002A28AE"/>
    <w:rPr>
      <w:i/>
      <w:iCs/>
    </w:rPr>
  </w:style>
  <w:style w:type="paragraph" w:styleId="z-TopofForm">
    <w:name w:val="HTML Top of Form"/>
    <w:basedOn w:val="Normal"/>
    <w:next w:val="Normal"/>
    <w:link w:val="z-TopofFormChar"/>
    <w:hidden/>
    <w:uiPriority w:val="99"/>
    <w:semiHidden/>
    <w:unhideWhenUsed/>
    <w:rsid w:val="002A28A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A28AE"/>
    <w:rPr>
      <w:rFonts w:ascii="Arial" w:eastAsia="Times New Roman"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lar.google.com/scholar?cluster=5196843374428255032&amp;hl=en&amp;oi=schol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48</cp:revision>
  <dcterms:created xsi:type="dcterms:W3CDTF">2023-08-30T09:21:00Z</dcterms:created>
  <dcterms:modified xsi:type="dcterms:W3CDTF">2026-02-18T05:50:00Z</dcterms:modified>
</cp:coreProperties>
</file>