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85B1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85B1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85B1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85B1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85B1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12846E9" w:rsidR="0000007A" w:rsidRPr="00685B1D" w:rsidRDefault="00E23A1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8" w:history="1">
              <w:r w:rsidRPr="00685B1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685B1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85B1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D64CC78" w:rsidR="0000007A" w:rsidRPr="00685B1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685B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85B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685B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A10F8" w:rsidRPr="00685B1D">
              <w:rPr>
                <w:rFonts w:ascii="Arial" w:hAnsi="Arial" w:cs="Arial"/>
                <w:b/>
                <w:bCs/>
                <w:sz w:val="20"/>
                <w:szCs w:val="20"/>
              </w:rPr>
              <w:t>6759</w:t>
            </w:r>
          </w:p>
        </w:tc>
      </w:tr>
      <w:tr w:rsidR="0000007A" w:rsidRPr="00685B1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85B1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A182AE" w:rsidR="0000007A" w:rsidRPr="00685B1D" w:rsidRDefault="000B7AD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85B1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Substituted Arylidene </w:t>
            </w:r>
            <w:proofErr w:type="spellStart"/>
            <w:r w:rsidRPr="00685B1D">
              <w:rPr>
                <w:rFonts w:ascii="Arial" w:hAnsi="Arial" w:cs="Arial"/>
                <w:b/>
                <w:sz w:val="20"/>
                <w:szCs w:val="20"/>
                <w:lang w:val="en-GB"/>
              </w:rPr>
              <w:t>Imidazolones</w:t>
            </w:r>
            <w:proofErr w:type="spellEnd"/>
            <w:r w:rsidRPr="00685B1D">
              <w:rPr>
                <w:rFonts w:ascii="Arial" w:hAnsi="Arial" w:cs="Arial"/>
                <w:b/>
                <w:sz w:val="20"/>
                <w:szCs w:val="20"/>
                <w:lang w:val="en-GB"/>
              </w:rPr>
              <w:t>: Synthesis, Spectral Characterization and Molecular Docking Studies</w:t>
            </w:r>
          </w:p>
        </w:tc>
      </w:tr>
      <w:tr w:rsidR="00CF0BBB" w:rsidRPr="00685B1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85B1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B7AA78B" w:rsidR="00CF0BBB" w:rsidRPr="00685B1D" w:rsidRDefault="00AA10F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85B1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685B1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85B1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85B1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85B1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85B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85B1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85B1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85B1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5B1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85B1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85B1D">
              <w:rPr>
                <w:rFonts w:ascii="Arial" w:hAnsi="Arial" w:cs="Arial"/>
                <w:lang w:val="en-GB"/>
              </w:rPr>
              <w:t>Author’s Feedback</w:t>
            </w:r>
            <w:r w:rsidRPr="00685B1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85B1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85B1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85B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85B1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3F06EB1" w14:textId="77777777" w:rsidR="00F1171E" w:rsidRPr="00685B1D" w:rsidRDefault="00A51E8E" w:rsidP="00D74E1D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85B1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This book chapter is important because it </w:t>
            </w:r>
            <w:r w:rsidRPr="00685B1D">
              <w:rPr>
                <w:rStyle w:val="Strong"/>
                <w:rFonts w:ascii="Arial" w:eastAsia="Arial Unicode MS" w:hAnsi="Arial" w:cs="Arial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combines synthetic chemistry, antibacterial evaluation, and computational drug-design approaches</w:t>
            </w:r>
            <w:r w:rsidRPr="00685B1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 to explore a new class of molecules, </w:t>
            </w:r>
            <w:r w:rsidRPr="00685B1D">
              <w:rPr>
                <w:rStyle w:val="Strong"/>
                <w:rFonts w:ascii="Arial" w:eastAsia="Arial Unicode MS" w:hAnsi="Arial" w:cs="Arial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arylidene </w:t>
            </w:r>
            <w:proofErr w:type="spellStart"/>
            <w:r w:rsidRPr="00685B1D">
              <w:rPr>
                <w:rStyle w:val="Strong"/>
                <w:rFonts w:ascii="Arial" w:eastAsia="Arial Unicode MS" w:hAnsi="Arial" w:cs="Arial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imidazolones</w:t>
            </w:r>
            <w:proofErr w:type="spellEnd"/>
            <w:r w:rsidRPr="00685B1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as potential antibacterial agents. With the rapid rise of antibiotic resistance, new molecular scaffolds targeting essential bacterial enzymes such as </w:t>
            </w:r>
            <w:proofErr w:type="spellStart"/>
            <w:r w:rsidRPr="00685B1D">
              <w:rPr>
                <w:rStyle w:val="Strong"/>
                <w:rFonts w:ascii="Arial" w:eastAsia="Arial Unicode MS" w:hAnsi="Arial" w:cs="Arial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FabI</w:t>
            </w:r>
            <w:proofErr w:type="spellEnd"/>
            <w:r w:rsidRPr="00685B1D">
              <w:rPr>
                <w:rStyle w:val="Strong"/>
                <w:rFonts w:ascii="Arial" w:eastAsia="Arial Unicode MS" w:hAnsi="Arial" w:cs="Arial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(enoyl-acyl carrier protein reductase)</w:t>
            </w:r>
            <w:r w:rsidRPr="00685B1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 are of great importance. </w:t>
            </w:r>
          </w:p>
          <w:p w14:paraId="7DBC9196" w14:textId="4DE3B701" w:rsidR="00D74E1D" w:rsidRPr="00685B1D" w:rsidRDefault="00D74E1D" w:rsidP="00D74E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85B1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85B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85B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E3DE330" w:rsidR="00F1171E" w:rsidRPr="00685B1D" w:rsidRDefault="003C78C4" w:rsidP="00D74E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sz w:val="20"/>
                <w:szCs w:val="20"/>
                <w:lang w:val="en-GB"/>
              </w:rPr>
              <w:t xml:space="preserve">It’s suitable. </w:t>
            </w:r>
          </w:p>
        </w:tc>
        <w:tc>
          <w:tcPr>
            <w:tcW w:w="1523" w:type="pct"/>
          </w:tcPr>
          <w:p w14:paraId="405B6701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85B1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85B1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85B1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5F63102" w:rsidR="00F1171E" w:rsidRPr="00685B1D" w:rsidRDefault="00D74E1D" w:rsidP="00D74E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sz w:val="20"/>
                <w:szCs w:val="20"/>
                <w:lang w:val="en-GB"/>
              </w:rPr>
              <w:t xml:space="preserve">No, </w:t>
            </w:r>
            <w:proofErr w:type="spellStart"/>
            <w:r w:rsidRPr="00685B1D">
              <w:rPr>
                <w:rFonts w:ascii="Arial" w:hAnsi="Arial" w:cs="Arial"/>
                <w:sz w:val="20"/>
                <w:szCs w:val="20"/>
                <w:lang w:val="en-GB"/>
              </w:rPr>
              <w:t>its</w:t>
            </w:r>
            <w:proofErr w:type="spellEnd"/>
            <w:r w:rsidRPr="00685B1D">
              <w:rPr>
                <w:rFonts w:ascii="Arial" w:hAnsi="Arial" w:cs="Arial"/>
                <w:sz w:val="20"/>
                <w:szCs w:val="20"/>
                <w:lang w:val="en-GB"/>
              </w:rPr>
              <w:t xml:space="preserve"> concise and informative. </w:t>
            </w:r>
          </w:p>
        </w:tc>
        <w:tc>
          <w:tcPr>
            <w:tcW w:w="1523" w:type="pct"/>
          </w:tcPr>
          <w:p w14:paraId="1D54B730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85B1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85B1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85B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9867B59" w:rsidR="00F1171E" w:rsidRPr="00685B1D" w:rsidRDefault="003C78C4" w:rsidP="00D74E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sz w:val="20"/>
                <w:szCs w:val="20"/>
                <w:lang w:val="en-GB"/>
              </w:rPr>
              <w:t xml:space="preserve">Yes. Correct. </w:t>
            </w:r>
          </w:p>
        </w:tc>
        <w:tc>
          <w:tcPr>
            <w:tcW w:w="1523" w:type="pct"/>
          </w:tcPr>
          <w:p w14:paraId="4898F764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85B1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85B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85B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85B1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E194159" w:rsidR="00F1171E" w:rsidRPr="00685B1D" w:rsidRDefault="00A51E8E" w:rsidP="00D74E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sz w:val="20"/>
                <w:szCs w:val="20"/>
                <w:lang w:val="en-GB"/>
              </w:rPr>
              <w:t xml:space="preserve">Wherever </w:t>
            </w:r>
            <w:proofErr w:type="spellStart"/>
            <w:r w:rsidRPr="00685B1D">
              <w:rPr>
                <w:rFonts w:ascii="Arial" w:hAnsi="Arial" w:cs="Arial"/>
                <w:sz w:val="20"/>
                <w:szCs w:val="20"/>
                <w:lang w:val="en-GB"/>
              </w:rPr>
              <w:t>relavant</w:t>
            </w:r>
            <w:proofErr w:type="spellEnd"/>
            <w:r w:rsidRPr="00685B1D">
              <w:rPr>
                <w:rFonts w:ascii="Arial" w:hAnsi="Arial" w:cs="Arial"/>
                <w:sz w:val="20"/>
                <w:szCs w:val="20"/>
                <w:lang w:val="en-GB"/>
              </w:rPr>
              <w:t xml:space="preserve"> add few recent references. </w:t>
            </w:r>
          </w:p>
        </w:tc>
        <w:tc>
          <w:tcPr>
            <w:tcW w:w="1523" w:type="pct"/>
          </w:tcPr>
          <w:p w14:paraId="40220055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85B1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85B1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85B1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85B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85B1D" w:rsidRDefault="00F1171E" w:rsidP="00D74E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85B1D" w:rsidRDefault="00F1171E" w:rsidP="00D74E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25CF215" w:rsidR="00F1171E" w:rsidRPr="00685B1D" w:rsidRDefault="00A51E8E" w:rsidP="00D74E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sz w:val="20"/>
                <w:szCs w:val="20"/>
                <w:lang w:val="en-GB"/>
              </w:rPr>
              <w:t xml:space="preserve">Yes, suitable </w:t>
            </w:r>
          </w:p>
          <w:p w14:paraId="297F52DB" w14:textId="77777777" w:rsidR="00F1171E" w:rsidRPr="00685B1D" w:rsidRDefault="00F1171E" w:rsidP="00D74E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85B1D" w:rsidRDefault="00F1171E" w:rsidP="00D74E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85B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85B1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85B1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85B1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85B1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A0BD848" w14:textId="36CFE542" w:rsidR="00A51E8E" w:rsidRPr="00685B1D" w:rsidRDefault="00A51E8E" w:rsidP="00D74E1D">
            <w:pPr>
              <w:rPr>
                <w:rFonts w:ascii="Arial" w:hAnsi="Arial" w:cs="Arial"/>
                <w:sz w:val="20"/>
                <w:szCs w:val="20"/>
              </w:rPr>
            </w:pPr>
            <w:r w:rsidRPr="00685B1D">
              <w:rPr>
                <w:rFonts w:ascii="Arial" w:hAnsi="Arial" w:cs="Arial"/>
                <w:sz w:val="20"/>
                <w:szCs w:val="20"/>
              </w:rPr>
              <w:t>1. A bit of structural justification for compound design will add value to the context.</w:t>
            </w:r>
          </w:p>
          <w:p w14:paraId="23750C7D" w14:textId="77777777" w:rsidR="00A51E8E" w:rsidRPr="00685B1D" w:rsidRDefault="00A51E8E" w:rsidP="00D74E1D">
            <w:pPr>
              <w:rPr>
                <w:rFonts w:ascii="Arial" w:hAnsi="Arial" w:cs="Arial"/>
                <w:sz w:val="20"/>
                <w:szCs w:val="20"/>
              </w:rPr>
            </w:pPr>
            <w:r w:rsidRPr="00685B1D">
              <w:rPr>
                <w:rFonts w:ascii="Arial" w:hAnsi="Arial" w:cs="Arial"/>
                <w:sz w:val="20"/>
                <w:szCs w:val="20"/>
              </w:rPr>
              <w:t>2. If possible, add a better correlation between antibacterial activity and docking.</w:t>
            </w:r>
          </w:p>
          <w:p w14:paraId="55C42BB8" w14:textId="468D44B1" w:rsidR="00A51E8E" w:rsidRPr="00685B1D" w:rsidRDefault="00A51E8E" w:rsidP="00D74E1D">
            <w:pPr>
              <w:rPr>
                <w:rFonts w:ascii="Arial" w:hAnsi="Arial" w:cs="Arial"/>
                <w:sz w:val="20"/>
                <w:szCs w:val="20"/>
              </w:rPr>
            </w:pPr>
            <w:r w:rsidRPr="00685B1D">
              <w:rPr>
                <w:rFonts w:ascii="Arial" w:hAnsi="Arial" w:cs="Arial"/>
                <w:sz w:val="20"/>
                <w:szCs w:val="20"/>
              </w:rPr>
              <w:t>3. From the text “</w:t>
            </w:r>
            <w:r w:rsidRPr="00685B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The docking results are provided in table 4. Highest dock score of -10.318 kcal/mol and least dock score of -9.014 kcal/mol were obtained for Molecule </w:t>
            </w:r>
            <w:r w:rsidRPr="00685B1D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4.12a</w:t>
            </w:r>
            <w:r w:rsidRPr="00685B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and </w:t>
            </w:r>
            <w:r w:rsidRPr="00685B1D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4.2g</w:t>
            </w:r>
            <w:r w:rsidRPr="00685B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(it should be 4.12g according to the Table 4) respectively”</w:t>
            </w:r>
            <w:r w:rsidRPr="00685B1D">
              <w:rPr>
                <w:rFonts w:ascii="Arial" w:hAnsi="Arial" w:cs="Arial"/>
                <w:sz w:val="20"/>
                <w:szCs w:val="20"/>
              </w:rPr>
              <w:t xml:space="preserve">. And the numbers in Table 4 are reversed. Kindly cross-check it.  </w:t>
            </w:r>
            <w:r w:rsidRPr="00685B1D">
              <w:rPr>
                <w:rFonts w:ascii="Arial" w:hAnsi="Arial" w:cs="Arial"/>
                <w:sz w:val="20"/>
                <w:szCs w:val="20"/>
              </w:rPr>
              <w:br/>
              <w:t>4. Use correct units and formatting (</w:t>
            </w:r>
            <w:proofErr w:type="spellStart"/>
            <w:r w:rsidRPr="00685B1D">
              <w:rPr>
                <w:rFonts w:ascii="Arial" w:hAnsi="Arial" w:cs="Arial"/>
                <w:sz w:val="20"/>
                <w:szCs w:val="20"/>
              </w:rPr>
              <w:t>eg.</w:t>
            </w:r>
            <w:proofErr w:type="spellEnd"/>
            <w:r w:rsidRPr="00685B1D">
              <w:rPr>
                <w:rFonts w:ascii="Arial" w:hAnsi="Arial" w:cs="Arial"/>
                <w:sz w:val="20"/>
                <w:szCs w:val="20"/>
              </w:rPr>
              <w:t xml:space="preserve"> °C, mol).</w:t>
            </w:r>
            <w:r w:rsidRPr="00685B1D">
              <w:rPr>
                <w:rFonts w:ascii="Arial" w:hAnsi="Arial" w:cs="Arial"/>
                <w:sz w:val="20"/>
                <w:szCs w:val="20"/>
              </w:rPr>
              <w:br/>
              <w:t>5. Correct the spellings of technical terms (van der Waals).</w:t>
            </w:r>
            <w:r w:rsidRPr="00685B1D">
              <w:rPr>
                <w:rFonts w:ascii="Arial" w:hAnsi="Arial" w:cs="Arial"/>
                <w:sz w:val="20"/>
                <w:szCs w:val="20"/>
              </w:rPr>
              <w:br/>
              <w:t>6. Ensure consistent formatting in tables and text throughout the whole chapter.</w:t>
            </w:r>
          </w:p>
          <w:p w14:paraId="15DFD0E8" w14:textId="0A81C4FA" w:rsidR="00F1171E" w:rsidRPr="00685B1D" w:rsidRDefault="00A51E8E" w:rsidP="00D74E1D">
            <w:pPr>
              <w:rPr>
                <w:rFonts w:ascii="Arial" w:hAnsi="Arial" w:cs="Arial"/>
                <w:sz w:val="20"/>
                <w:szCs w:val="20"/>
              </w:rPr>
            </w:pPr>
            <w:r w:rsidRPr="00685B1D">
              <w:rPr>
                <w:rFonts w:ascii="Arial" w:hAnsi="Arial" w:cs="Arial"/>
                <w:sz w:val="20"/>
                <w:szCs w:val="20"/>
              </w:rPr>
              <w:t xml:space="preserve">7. None of the figures are cited in the text. Make sure all the figures provided must be cited in the related text. </w:t>
            </w:r>
          </w:p>
        </w:tc>
        <w:tc>
          <w:tcPr>
            <w:tcW w:w="1523" w:type="pct"/>
          </w:tcPr>
          <w:p w14:paraId="465E098E" w14:textId="77777777" w:rsidR="00F1171E" w:rsidRPr="00685B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685B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85B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85B1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85B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85B1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85B1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85B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85B1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85B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85B1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85B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85B1D">
              <w:rPr>
                <w:rFonts w:ascii="Arial" w:hAnsi="Arial" w:cs="Arial"/>
                <w:lang w:val="en-GB"/>
              </w:rPr>
              <w:t>Author’s comment</w:t>
            </w:r>
            <w:r w:rsidRPr="00685B1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85B1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85B1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85B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85B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5BA43055" w:rsidR="00F1171E" w:rsidRPr="00685B1D" w:rsidRDefault="00D74E1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B1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No, as a reviewer I didn’t find any ethical issue. </w:t>
            </w:r>
          </w:p>
          <w:p w14:paraId="7B654B67" w14:textId="77777777" w:rsidR="00F1171E" w:rsidRPr="00685B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685B1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85B1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85B1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85B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C563474" w14:textId="77777777" w:rsidR="00685B1D" w:rsidRPr="001D352A" w:rsidRDefault="00685B1D" w:rsidP="00685B1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D352A">
        <w:rPr>
          <w:rFonts w:ascii="Arial" w:hAnsi="Arial" w:cs="Arial"/>
          <w:b/>
          <w:u w:val="single"/>
        </w:rPr>
        <w:t>Reviewer details:</w:t>
      </w:r>
    </w:p>
    <w:p w14:paraId="322713C4" w14:textId="77777777" w:rsidR="00685B1D" w:rsidRDefault="00685B1D" w:rsidP="00685B1D">
      <w:proofErr w:type="spellStart"/>
      <w:r w:rsidRPr="001D352A">
        <w:rPr>
          <w:rFonts w:ascii="Arial" w:hAnsi="Arial" w:cs="Arial"/>
          <w:b/>
          <w:color w:val="000000"/>
          <w:sz w:val="20"/>
          <w:szCs w:val="20"/>
        </w:rPr>
        <w:t>Chainee</w:t>
      </w:r>
      <w:proofErr w:type="spellEnd"/>
      <w:r w:rsidRPr="001D352A">
        <w:rPr>
          <w:rFonts w:ascii="Arial" w:hAnsi="Arial" w:cs="Arial"/>
          <w:b/>
          <w:color w:val="000000"/>
          <w:sz w:val="20"/>
          <w:szCs w:val="20"/>
        </w:rPr>
        <w:t xml:space="preserve"> Das</w:t>
      </w:r>
      <w:proofErr w:type="gramStart"/>
      <w:r w:rsidRPr="001D352A">
        <w:rPr>
          <w:rFonts w:ascii="Arial" w:hAnsi="Arial" w:cs="Arial"/>
          <w:b/>
          <w:color w:val="000000"/>
          <w:sz w:val="20"/>
          <w:szCs w:val="20"/>
        </w:rPr>
        <w:t>. ,</w:t>
      </w:r>
      <w:proofErr w:type="gramEnd"/>
      <w:r w:rsidRPr="001D352A">
        <w:rPr>
          <w:rFonts w:ascii="Arial" w:hAnsi="Arial" w:cs="Arial"/>
          <w:b/>
          <w:color w:val="000000"/>
          <w:sz w:val="20"/>
          <w:szCs w:val="20"/>
        </w:rPr>
        <w:t xml:space="preserve"> Tezpur University, India </w:t>
      </w:r>
      <w:r w:rsidRPr="001D352A">
        <w:rPr>
          <w:rFonts w:ascii="Arial" w:hAnsi="Arial" w:cs="Arial"/>
          <w:b/>
          <w:color w:val="000000"/>
          <w:sz w:val="20"/>
          <w:szCs w:val="20"/>
        </w:rPr>
        <w:br/>
      </w:r>
    </w:p>
    <w:p w14:paraId="78333E7E" w14:textId="77777777" w:rsidR="00685B1D" w:rsidRPr="00685B1D" w:rsidRDefault="00685B1D">
      <w:pPr>
        <w:rPr>
          <w:rFonts w:ascii="Arial" w:hAnsi="Arial" w:cs="Arial"/>
          <w:b/>
          <w:sz w:val="20"/>
          <w:szCs w:val="20"/>
        </w:rPr>
      </w:pPr>
    </w:p>
    <w:sectPr w:rsidR="00685B1D" w:rsidRPr="00685B1D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8D504" w14:textId="77777777" w:rsidR="0047577F" w:rsidRPr="0000007A" w:rsidRDefault="0047577F" w:rsidP="0099583E">
      <w:r>
        <w:separator/>
      </w:r>
    </w:p>
  </w:endnote>
  <w:endnote w:type="continuationSeparator" w:id="0">
    <w:p w14:paraId="130FCD6F" w14:textId="77777777" w:rsidR="0047577F" w:rsidRPr="0000007A" w:rsidRDefault="0047577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C4465" w14:textId="77777777" w:rsidR="0047577F" w:rsidRPr="0000007A" w:rsidRDefault="0047577F" w:rsidP="0099583E">
      <w:r>
        <w:separator/>
      </w:r>
    </w:p>
  </w:footnote>
  <w:footnote w:type="continuationSeparator" w:id="0">
    <w:p w14:paraId="078DA7ED" w14:textId="77777777" w:rsidR="0047577F" w:rsidRPr="0000007A" w:rsidRDefault="0047577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4732807">
    <w:abstractNumId w:val="3"/>
  </w:num>
  <w:num w:numId="2" w16cid:durableId="299774589">
    <w:abstractNumId w:val="6"/>
  </w:num>
  <w:num w:numId="3" w16cid:durableId="1293681167">
    <w:abstractNumId w:val="5"/>
  </w:num>
  <w:num w:numId="4" w16cid:durableId="2093089405">
    <w:abstractNumId w:val="7"/>
  </w:num>
  <w:num w:numId="5" w16cid:durableId="351734169">
    <w:abstractNumId w:val="4"/>
  </w:num>
  <w:num w:numId="6" w16cid:durableId="947548179">
    <w:abstractNumId w:val="0"/>
  </w:num>
  <w:num w:numId="7" w16cid:durableId="1659839545">
    <w:abstractNumId w:val="1"/>
  </w:num>
  <w:num w:numId="8" w16cid:durableId="1361777308">
    <w:abstractNumId w:val="9"/>
  </w:num>
  <w:num w:numId="9" w16cid:durableId="154107456">
    <w:abstractNumId w:val="8"/>
  </w:num>
  <w:num w:numId="10" w16cid:durableId="636685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A9B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B7ADC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7324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56EB"/>
    <w:rsid w:val="00374F93"/>
    <w:rsid w:val="00377F1D"/>
    <w:rsid w:val="00390388"/>
    <w:rsid w:val="00394901"/>
    <w:rsid w:val="003A04E7"/>
    <w:rsid w:val="003A1C45"/>
    <w:rsid w:val="003A4991"/>
    <w:rsid w:val="003A6E1A"/>
    <w:rsid w:val="003B1D0B"/>
    <w:rsid w:val="003B2172"/>
    <w:rsid w:val="003B447F"/>
    <w:rsid w:val="003C78C4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651E"/>
    <w:rsid w:val="00474129"/>
    <w:rsid w:val="0047577F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0F72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B1D"/>
    <w:rsid w:val="00686DCE"/>
    <w:rsid w:val="00690EDE"/>
    <w:rsid w:val="006936D1"/>
    <w:rsid w:val="00696CAD"/>
    <w:rsid w:val="00697E30"/>
    <w:rsid w:val="006A5E0B"/>
    <w:rsid w:val="006A7405"/>
    <w:rsid w:val="006B26D6"/>
    <w:rsid w:val="006B79DA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7249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6A19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4EA9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1E8E"/>
    <w:rsid w:val="00A5303B"/>
    <w:rsid w:val="00A65C50"/>
    <w:rsid w:val="00A8290F"/>
    <w:rsid w:val="00AA10F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4374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C98"/>
    <w:rsid w:val="00D709EB"/>
    <w:rsid w:val="00D74E1D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3A16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6D8D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51E8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E437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85B1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pi.org/bookstore/product/chemistry-and-biochemistry-research-progress-vol-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C51FB-3E47-46EE-809E-1963E17A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2025-11-27T11:31:00Z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