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671D9" w14:paraId="0C62842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4FBD68C" w14:textId="77777777" w:rsidR="00602F7D" w:rsidRPr="00F671D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671D9" w14:paraId="646A29C2" w14:textId="77777777" w:rsidTr="00F33C84">
        <w:trPr>
          <w:trHeight w:val="413"/>
        </w:trPr>
        <w:tc>
          <w:tcPr>
            <w:tcW w:w="1234" w:type="pct"/>
          </w:tcPr>
          <w:p w14:paraId="3A7507CA" w14:textId="77777777" w:rsidR="0000007A" w:rsidRPr="00F671D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671D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671D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A3A1" w14:textId="77777777" w:rsidR="0000007A" w:rsidRPr="00F671D9" w:rsidRDefault="00E852A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671D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F671D9" w14:paraId="0DEA2DC4" w14:textId="77777777" w:rsidTr="002E7787">
        <w:trPr>
          <w:trHeight w:val="290"/>
        </w:trPr>
        <w:tc>
          <w:tcPr>
            <w:tcW w:w="1234" w:type="pct"/>
          </w:tcPr>
          <w:p w14:paraId="57D0E240" w14:textId="77777777" w:rsidR="0000007A" w:rsidRPr="00F671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671D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84E0" w14:textId="77777777" w:rsidR="0000007A" w:rsidRPr="00F671D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671D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671D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671D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246B8" w:rsidRPr="00F671D9">
              <w:rPr>
                <w:rFonts w:ascii="Arial" w:hAnsi="Arial" w:cs="Arial"/>
                <w:b/>
                <w:bCs/>
                <w:szCs w:val="28"/>
                <w:lang w:val="en-GB"/>
              </w:rPr>
              <w:t>6969</w:t>
            </w:r>
          </w:p>
        </w:tc>
      </w:tr>
      <w:tr w:rsidR="0000007A" w:rsidRPr="00F671D9" w14:paraId="43BA49EC" w14:textId="77777777" w:rsidTr="002109D6">
        <w:trPr>
          <w:trHeight w:val="331"/>
        </w:trPr>
        <w:tc>
          <w:tcPr>
            <w:tcW w:w="1234" w:type="pct"/>
          </w:tcPr>
          <w:p w14:paraId="6BEA6801" w14:textId="77777777" w:rsidR="0000007A" w:rsidRPr="00F671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671D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4EA39" w14:textId="77777777" w:rsidR="0000007A" w:rsidRPr="00F671D9" w:rsidRDefault="00F56E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671D9">
              <w:rPr>
                <w:rFonts w:ascii="Arial" w:hAnsi="Arial" w:cs="Arial"/>
                <w:b/>
                <w:szCs w:val="28"/>
                <w:lang w:val="en-GB"/>
              </w:rPr>
              <w:t>Asymptotic and Bootstrap Implementation of the D'Agostino-</w:t>
            </w:r>
            <w:proofErr w:type="spellStart"/>
            <w:r w:rsidRPr="00F671D9">
              <w:rPr>
                <w:rFonts w:ascii="Arial" w:hAnsi="Arial" w:cs="Arial"/>
                <w:b/>
                <w:szCs w:val="28"/>
                <w:lang w:val="en-GB"/>
              </w:rPr>
              <w:t>Berlanger</w:t>
            </w:r>
            <w:proofErr w:type="spellEnd"/>
            <w:r w:rsidRPr="00F671D9">
              <w:rPr>
                <w:rFonts w:ascii="Arial" w:hAnsi="Arial" w:cs="Arial"/>
                <w:b/>
                <w:szCs w:val="28"/>
                <w:lang w:val="en-GB"/>
              </w:rPr>
              <w:t>-D'Agostino K2 Normality Test in R</w:t>
            </w:r>
          </w:p>
        </w:tc>
      </w:tr>
      <w:tr w:rsidR="00CF0BBB" w:rsidRPr="00F671D9" w14:paraId="7272EEE0" w14:textId="77777777" w:rsidTr="002E7787">
        <w:trPr>
          <w:trHeight w:val="332"/>
        </w:trPr>
        <w:tc>
          <w:tcPr>
            <w:tcW w:w="1234" w:type="pct"/>
          </w:tcPr>
          <w:p w14:paraId="5CB2CBEF" w14:textId="77777777" w:rsidR="00CF0BBB" w:rsidRPr="00F671D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671D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66A90" w14:textId="77777777" w:rsidR="00CF0BBB" w:rsidRPr="00F671D9" w:rsidRDefault="00F246B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671D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3E42FC0A" w14:textId="77777777" w:rsidR="00037D52" w:rsidRPr="00F671D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2ACBDE6E" w14:textId="77777777" w:rsidR="00605952" w:rsidRPr="00F671D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A20F0C9" w14:textId="77777777" w:rsidR="00D27A79" w:rsidRPr="00F671D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671D9" w14:paraId="6EAF40C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CC22C29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71D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671D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024CBE8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71D9" w14:paraId="2BA069AC" w14:textId="77777777" w:rsidTr="007222C8">
        <w:tc>
          <w:tcPr>
            <w:tcW w:w="1265" w:type="pct"/>
            <w:noWrap/>
          </w:tcPr>
          <w:p w14:paraId="5455B0D1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66D328A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71D9">
              <w:rPr>
                <w:rFonts w:ascii="Arial" w:hAnsi="Arial" w:cs="Arial"/>
                <w:lang w:val="en-GB"/>
              </w:rPr>
              <w:t>Reviewer’s comment</w:t>
            </w:r>
          </w:p>
          <w:p w14:paraId="5638D88F" w14:textId="77777777" w:rsidR="00421DBF" w:rsidRPr="00F671D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1D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DD8CCAD" w14:textId="77777777" w:rsidR="00421DBF" w:rsidRPr="00F671D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6130E3CF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71D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F671D9">
              <w:rPr>
                <w:rFonts w:ascii="Arial" w:hAnsi="Arial" w:cs="Arial"/>
                <w:lang w:val="en-GB"/>
              </w:rPr>
              <w:t>Feedback</w:t>
            </w:r>
            <w:r w:rsidRPr="00F671D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F671D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F671D9" w14:paraId="56D237B0" w14:textId="77777777" w:rsidTr="007222C8">
        <w:trPr>
          <w:trHeight w:val="1264"/>
        </w:trPr>
        <w:tc>
          <w:tcPr>
            <w:tcW w:w="1265" w:type="pct"/>
            <w:noWrap/>
          </w:tcPr>
          <w:p w14:paraId="4402AD6C" w14:textId="77777777" w:rsidR="00F1171E" w:rsidRPr="00F671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F671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F671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5C3DC15" w14:textId="77777777" w:rsidR="00F1171E" w:rsidRPr="00F671D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5DECEEC" w14:textId="77777777" w:rsidR="00AD6E9F" w:rsidRPr="00F671D9" w:rsidRDefault="00AD6E9F" w:rsidP="00AD6E9F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F671D9">
              <w:rPr>
                <w:rFonts w:ascii="Arial" w:hAnsi="Arial" w:cs="Arial"/>
              </w:rPr>
              <w:t xml:space="preserve">The </w:t>
            </w:r>
            <w:proofErr w:type="gramStart"/>
            <w:r w:rsidRPr="00F671D9">
              <w:rPr>
                <w:rFonts w:ascii="Arial" w:hAnsi="Arial" w:cs="Arial"/>
              </w:rPr>
              <w:t>important  of</w:t>
            </w:r>
            <w:proofErr w:type="gramEnd"/>
            <w:r w:rsidRPr="00F671D9">
              <w:rPr>
                <w:rFonts w:ascii="Arial" w:hAnsi="Arial" w:cs="Arial"/>
              </w:rPr>
              <w:t xml:space="preserve"> manuscript is it provides the first fully documented bootstrap implementation of the D’Agostino–Belanger–D’Agostino K² normality test, addressing a clear methodological gap in applied statistics. </w:t>
            </w:r>
            <w:proofErr w:type="gramStart"/>
            <w:r w:rsidR="008A649F" w:rsidRPr="00F671D9">
              <w:rPr>
                <w:rFonts w:ascii="Arial" w:hAnsi="Arial" w:cs="Arial"/>
              </w:rPr>
              <w:t>The  graphical</w:t>
            </w:r>
            <w:proofErr w:type="gramEnd"/>
            <w:r w:rsidR="008A649F" w:rsidRPr="00F671D9">
              <w:rPr>
                <w:rFonts w:ascii="Arial" w:hAnsi="Arial" w:cs="Arial"/>
              </w:rPr>
              <w:t xml:space="preserve"> </w:t>
            </w:r>
            <w:proofErr w:type="spellStart"/>
            <w:r w:rsidR="008A649F" w:rsidRPr="00F671D9">
              <w:rPr>
                <w:rFonts w:ascii="Arial" w:hAnsi="Arial" w:cs="Arial"/>
              </w:rPr>
              <w:t>datas</w:t>
            </w:r>
            <w:proofErr w:type="spellEnd"/>
            <w:r w:rsidR="008A649F" w:rsidRPr="00F671D9">
              <w:rPr>
                <w:rFonts w:ascii="Arial" w:hAnsi="Arial" w:cs="Arial"/>
              </w:rPr>
              <w:t xml:space="preserve"> are exactly suitable. </w:t>
            </w:r>
          </w:p>
          <w:p w14:paraId="3FB4FD8A" w14:textId="77777777" w:rsidR="00F1171E" w:rsidRPr="00F671D9" w:rsidRDefault="00AD6E9F" w:rsidP="00AD6E9F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F671D9">
              <w:rPr>
                <w:rFonts w:ascii="Arial" w:hAnsi="Arial" w:cs="Arial"/>
              </w:rPr>
              <w:t>The availability of transparent, reproducible R scripts lowers the barrier for researchers to adopt a powerful yet underutilized normality test in empirical research. More broadly, the findings support better model checking practices across disciplines where assumptions of normality play a critical role in statistical inference.</w:t>
            </w:r>
          </w:p>
        </w:tc>
        <w:tc>
          <w:tcPr>
            <w:tcW w:w="1523" w:type="pct"/>
          </w:tcPr>
          <w:p w14:paraId="1D6F6DC1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71D9" w14:paraId="69CF3D23" w14:textId="77777777" w:rsidTr="007222C8">
        <w:trPr>
          <w:trHeight w:val="1262"/>
        </w:trPr>
        <w:tc>
          <w:tcPr>
            <w:tcW w:w="1265" w:type="pct"/>
            <w:noWrap/>
          </w:tcPr>
          <w:p w14:paraId="59AF4C14" w14:textId="77777777" w:rsidR="00F1171E" w:rsidRPr="00F671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067FBF" w14:textId="77777777" w:rsidR="00F1171E" w:rsidRPr="00F671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55F8C1D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D8F2A8C" w14:textId="77777777" w:rsidR="00F1171E" w:rsidRPr="00F671D9" w:rsidRDefault="00AD6E9F" w:rsidP="00AD6E9F">
            <w:pPr>
              <w:ind w:left="360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F671D9">
              <w:rPr>
                <w:rFonts w:ascii="Arial" w:hAnsi="Arial" w:cs="Arial"/>
              </w:rPr>
              <w:t xml:space="preserve">Yes, the title is </w:t>
            </w:r>
            <w:r w:rsidRPr="00F671D9">
              <w:rPr>
                <w:rStyle w:val="Strong"/>
                <w:rFonts w:ascii="Arial" w:eastAsia="MS Mincho" w:hAnsi="Arial" w:cs="Arial"/>
                <w:b w:val="0"/>
              </w:rPr>
              <w:t>generally suitable</w:t>
            </w:r>
            <w:r w:rsidRPr="00F671D9">
              <w:rPr>
                <w:rFonts w:ascii="Arial" w:hAnsi="Arial" w:cs="Arial"/>
              </w:rPr>
              <w:t>: it is clear, technically accurate, and correctly reflects the methodological and computational contributions of the manuscript</w:t>
            </w:r>
          </w:p>
        </w:tc>
        <w:tc>
          <w:tcPr>
            <w:tcW w:w="1523" w:type="pct"/>
          </w:tcPr>
          <w:p w14:paraId="086019ED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71D9" w14:paraId="2B21F65F" w14:textId="77777777" w:rsidTr="007222C8">
        <w:trPr>
          <w:trHeight w:val="1262"/>
        </w:trPr>
        <w:tc>
          <w:tcPr>
            <w:tcW w:w="1265" w:type="pct"/>
            <w:noWrap/>
          </w:tcPr>
          <w:p w14:paraId="4E694FB7" w14:textId="77777777" w:rsidR="00F1171E" w:rsidRPr="00F671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671D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923FDD1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CD08B4" w14:textId="77777777" w:rsidR="00F1171E" w:rsidRPr="00F671D9" w:rsidRDefault="00AD6E9F" w:rsidP="00AD6E9F">
            <w:pPr>
              <w:ind w:left="360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F671D9">
              <w:rPr>
                <w:rFonts w:ascii="Arial" w:hAnsi="Arial" w:cs="Arial"/>
              </w:rPr>
              <w:t xml:space="preserve">Yes, the abstract is </w:t>
            </w:r>
            <w:r w:rsidRPr="00F671D9">
              <w:rPr>
                <w:rStyle w:val="Strong"/>
                <w:rFonts w:ascii="Arial" w:eastAsia="MS Mincho" w:hAnsi="Arial" w:cs="Arial"/>
                <w:b w:val="0"/>
              </w:rPr>
              <w:t>comprehensive and well structured</w:t>
            </w:r>
            <w:r w:rsidRPr="00F671D9">
              <w:rPr>
                <w:rFonts w:ascii="Arial" w:hAnsi="Arial" w:cs="Arial"/>
              </w:rPr>
              <w:t xml:space="preserve">, and it clearly communicates the motivation, objectives, methodology, main results, and practical recommendations of the study. It already meets the expectations of most methodological and applied statistics journals. That said, a few </w:t>
            </w:r>
            <w:r w:rsidRPr="00F671D9">
              <w:rPr>
                <w:rStyle w:val="Strong"/>
                <w:rFonts w:ascii="Arial" w:eastAsia="MS Mincho" w:hAnsi="Arial" w:cs="Arial"/>
                <w:b w:val="0"/>
              </w:rPr>
              <w:t>minor refinements</w:t>
            </w:r>
            <w:r w:rsidRPr="00F671D9">
              <w:rPr>
                <w:rFonts w:ascii="Arial" w:hAnsi="Arial" w:cs="Arial"/>
              </w:rPr>
              <w:t xml:space="preserve"> could further strengthen it.</w:t>
            </w:r>
          </w:p>
        </w:tc>
        <w:tc>
          <w:tcPr>
            <w:tcW w:w="1523" w:type="pct"/>
          </w:tcPr>
          <w:p w14:paraId="38D3A9B2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71D9" w14:paraId="06807699" w14:textId="77777777" w:rsidTr="007222C8">
        <w:trPr>
          <w:trHeight w:val="859"/>
        </w:trPr>
        <w:tc>
          <w:tcPr>
            <w:tcW w:w="1265" w:type="pct"/>
            <w:noWrap/>
          </w:tcPr>
          <w:p w14:paraId="50F552C8" w14:textId="77777777" w:rsidR="00F1171E" w:rsidRPr="00F671D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71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E75AC4D" w14:textId="77777777" w:rsidR="00F1171E" w:rsidRPr="00F671D9" w:rsidRDefault="00AD6E9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F671D9">
              <w:rPr>
                <w:rFonts w:ascii="Arial" w:hAnsi="Arial" w:cs="Arial"/>
              </w:rPr>
              <w:t xml:space="preserve">the manuscript appears to be </w:t>
            </w:r>
            <w:r w:rsidRPr="00F671D9">
              <w:rPr>
                <w:rStyle w:val="Strong"/>
                <w:rFonts w:ascii="Arial" w:eastAsia="MS Mincho" w:hAnsi="Arial" w:cs="Arial"/>
                <w:b w:val="0"/>
              </w:rPr>
              <w:t>scientifically sound and methodologically correct</w:t>
            </w:r>
            <w:r w:rsidRPr="00F671D9">
              <w:rPr>
                <w:rFonts w:ascii="Arial" w:hAnsi="Arial" w:cs="Arial"/>
              </w:rPr>
              <w:t>. The theoretical foundations of the D’Agostino–Belanger–D’Agostino K² test are accurately described</w:t>
            </w:r>
          </w:p>
        </w:tc>
        <w:tc>
          <w:tcPr>
            <w:tcW w:w="1523" w:type="pct"/>
          </w:tcPr>
          <w:p w14:paraId="33600A86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71D9" w14:paraId="71B2FE81" w14:textId="77777777" w:rsidTr="007222C8">
        <w:trPr>
          <w:trHeight w:val="703"/>
        </w:trPr>
        <w:tc>
          <w:tcPr>
            <w:tcW w:w="1265" w:type="pct"/>
            <w:noWrap/>
          </w:tcPr>
          <w:p w14:paraId="09527CBD" w14:textId="77777777" w:rsidR="00F1171E" w:rsidRPr="00F671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C881821" w14:textId="77777777" w:rsidR="00F1171E" w:rsidRPr="00F671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71D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C12900A" w14:textId="77777777" w:rsidR="00F1171E" w:rsidRPr="00F671D9" w:rsidRDefault="00AD6E9F" w:rsidP="00AD6E9F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</w:rPr>
              <w:t xml:space="preserve">The reference list is </w:t>
            </w:r>
            <w:r w:rsidRPr="00F671D9">
              <w:rPr>
                <w:rStyle w:val="Strong"/>
                <w:rFonts w:ascii="Arial" w:eastAsia="MS Mincho" w:hAnsi="Arial" w:cs="Arial"/>
                <w:b w:val="0"/>
              </w:rPr>
              <w:t>substantial, appropriate, and well aligned</w:t>
            </w:r>
            <w:r w:rsidRPr="00F671D9">
              <w:rPr>
                <w:rFonts w:ascii="Arial" w:hAnsi="Arial" w:cs="Arial"/>
              </w:rPr>
              <w:t xml:space="preserve"> with the objectives of the manuscript. It includes the foundational theoretical works on skewness, kurtosis, and omnibus normality tests (e.g., Fisher, 1921, 1930; D’Agostino, Pearson, Anderson–Darling; Bowman &amp; Shenton), as well as classical and modern literature on goodness-of-fit testing, asymptotic theory,</w:t>
            </w:r>
          </w:p>
        </w:tc>
        <w:tc>
          <w:tcPr>
            <w:tcW w:w="1523" w:type="pct"/>
          </w:tcPr>
          <w:p w14:paraId="7F2CB89B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71D9" w14:paraId="0B95638B" w14:textId="77777777" w:rsidTr="007222C8">
        <w:trPr>
          <w:trHeight w:val="386"/>
        </w:trPr>
        <w:tc>
          <w:tcPr>
            <w:tcW w:w="1265" w:type="pct"/>
            <w:noWrap/>
          </w:tcPr>
          <w:p w14:paraId="7ADA7FCA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B655C00" w14:textId="77777777" w:rsidR="00F1171E" w:rsidRPr="00F671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671D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A8729F7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E61CAE3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B13E5B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B2055E" w14:textId="77777777" w:rsidR="00F1171E" w:rsidRPr="00F671D9" w:rsidRDefault="00AD6E9F" w:rsidP="00AD6E9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</w:rPr>
              <w:t xml:space="preserve">yes, the language and English quality of the article are </w:t>
            </w:r>
            <w:r w:rsidRPr="00F671D9">
              <w:rPr>
                <w:rStyle w:val="Strong"/>
                <w:rFonts w:ascii="Arial" w:eastAsia="MS Mincho" w:hAnsi="Arial" w:cs="Arial"/>
                <w:b w:val="0"/>
              </w:rPr>
              <w:t>generally suitable for scholarly communication</w:t>
            </w:r>
            <w:r w:rsidRPr="00F671D9">
              <w:rPr>
                <w:rFonts w:ascii="Arial" w:hAnsi="Arial" w:cs="Arial"/>
              </w:rPr>
              <w:t>. The manuscript uses appropriate technical terminology, maintains an academic tone, and clearly conveys complex statistical concepts. The structure and phrasing are consistent with expectations for a methodological research article in statistics.</w:t>
            </w:r>
          </w:p>
          <w:p w14:paraId="3284DEF6" w14:textId="77777777" w:rsidR="00F1171E" w:rsidRPr="00F671D9" w:rsidRDefault="00F1171E" w:rsidP="00AD6E9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6A47EE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E5630A8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71D9" w14:paraId="693CFA24" w14:textId="77777777" w:rsidTr="007222C8">
        <w:trPr>
          <w:trHeight w:val="1178"/>
        </w:trPr>
        <w:tc>
          <w:tcPr>
            <w:tcW w:w="1265" w:type="pct"/>
            <w:noWrap/>
          </w:tcPr>
          <w:p w14:paraId="7D187C0C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671D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F671D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F671D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F5BCD2D" w14:textId="77777777" w:rsidR="00F1171E" w:rsidRPr="00F671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FDAF1B7" w14:textId="77777777" w:rsidR="00F1171E" w:rsidRPr="00F671D9" w:rsidRDefault="00AD6E9F" w:rsidP="00AD6E9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</w:rPr>
              <w:t>This manuscript addresses an important and well-defined methodological gap in the literature on normality testing by providing a rigorous evaluation and practical implementation of both asymptotic and bootstrap versions of the D’Agostino–Belanger–D’Agostino K² test.</w:t>
            </w:r>
          </w:p>
          <w:p w14:paraId="3D77E66D" w14:textId="77777777" w:rsidR="00F1171E" w:rsidRPr="00F671D9" w:rsidRDefault="00F1171E" w:rsidP="00AD6E9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CFC1A2" w14:textId="77777777" w:rsidR="00F1171E" w:rsidRPr="00F671D9" w:rsidRDefault="00AD6E9F" w:rsidP="00AD6E9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1D9">
              <w:rPr>
                <w:rFonts w:ascii="Arial" w:hAnsi="Arial" w:cs="Arial"/>
              </w:rPr>
              <w:t>The results are clearly interpreted and lead to sensible, evidence-based recommendations regarding the choice between asymptotic and bootstrap approaches across different sample sizes and distributional shapes.</w:t>
            </w:r>
          </w:p>
          <w:p w14:paraId="2C443C1E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C323B0" w14:textId="77777777" w:rsidR="00F1171E" w:rsidRPr="00F671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35523CC" w14:textId="77777777" w:rsidR="00F1171E" w:rsidRPr="00F671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4B3874" w14:textId="77777777" w:rsidR="00F1171E" w:rsidRPr="00F671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C190D5" w14:textId="77777777" w:rsidR="00F1171E" w:rsidRPr="00F671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DE1B49" w14:textId="77777777" w:rsidR="00F1171E" w:rsidRPr="00F671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076EF" w:rsidRPr="00F671D9" w14:paraId="3367A5FD" w14:textId="77777777" w:rsidTr="00D076E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AC8B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671D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671D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AED0F10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076EF" w:rsidRPr="00F671D9" w14:paraId="248EE96D" w14:textId="77777777" w:rsidTr="00D076E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7B833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357A" w14:textId="77777777" w:rsidR="00D076EF" w:rsidRPr="00F671D9" w:rsidRDefault="00D076E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71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3E98" w14:textId="77777777" w:rsidR="00D076EF" w:rsidRPr="00F671D9" w:rsidRDefault="00D076E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671D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671D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1102CAE" w14:textId="77777777" w:rsidR="00D076EF" w:rsidRPr="00F671D9" w:rsidRDefault="00D076E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76EF" w:rsidRPr="00F671D9" w14:paraId="012A347C" w14:textId="77777777" w:rsidTr="00D076E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DC8C0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671D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52B3289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81DD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671D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671D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671D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A090227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9092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4B1B5D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658EF6" w14:textId="77777777" w:rsidR="00D076EF" w:rsidRPr="00F671D9" w:rsidRDefault="00D0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B2C269A" w14:textId="77777777" w:rsidR="00D076EF" w:rsidRPr="00F671D9" w:rsidRDefault="00D076EF" w:rsidP="00D076EF">
      <w:pPr>
        <w:rPr>
          <w:rFonts w:ascii="Arial" w:hAnsi="Arial" w:cs="Arial"/>
        </w:rPr>
      </w:pPr>
    </w:p>
    <w:p w14:paraId="77D1CC91" w14:textId="77777777" w:rsidR="00D076EF" w:rsidRPr="00F671D9" w:rsidRDefault="00D076EF" w:rsidP="00D076EF">
      <w:pPr>
        <w:rPr>
          <w:rFonts w:ascii="Arial" w:hAnsi="Arial" w:cs="Arial"/>
        </w:rPr>
      </w:pPr>
    </w:p>
    <w:p w14:paraId="5C65B2B4" w14:textId="77777777" w:rsidR="00F671D9" w:rsidRPr="00453910" w:rsidRDefault="00F671D9" w:rsidP="00F671D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53910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485991A" w14:textId="77777777" w:rsidR="00F671D9" w:rsidRPr="00453910" w:rsidRDefault="00F671D9" w:rsidP="00F671D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453910">
        <w:rPr>
          <w:rFonts w:ascii="Arial" w:hAnsi="Arial" w:cs="Arial"/>
          <w:b/>
          <w:color w:val="000000"/>
        </w:rPr>
        <w:t xml:space="preserve">Pranesh Kulkarni, T. John Institute of </w:t>
      </w:r>
      <w:proofErr w:type="gramStart"/>
      <w:r w:rsidRPr="00453910">
        <w:rPr>
          <w:rFonts w:ascii="Arial" w:hAnsi="Arial" w:cs="Arial"/>
          <w:b/>
          <w:color w:val="000000"/>
        </w:rPr>
        <w:t>Technology ,</w:t>
      </w:r>
      <w:proofErr w:type="gramEnd"/>
      <w:r w:rsidRPr="00453910">
        <w:rPr>
          <w:rFonts w:ascii="Arial" w:hAnsi="Arial" w:cs="Arial"/>
          <w:b/>
          <w:color w:val="000000"/>
        </w:rPr>
        <w:t xml:space="preserve"> India</w:t>
      </w:r>
    </w:p>
    <w:p w14:paraId="46A1CE30" w14:textId="77777777" w:rsidR="00D076EF" w:rsidRPr="00F671D9" w:rsidRDefault="00D076EF" w:rsidP="00D076EF">
      <w:pPr>
        <w:rPr>
          <w:rFonts w:ascii="Arial" w:hAnsi="Arial" w:cs="Arial"/>
          <w:bCs/>
          <w:u w:val="single"/>
        </w:rPr>
      </w:pPr>
    </w:p>
    <w:bookmarkEnd w:id="1"/>
    <w:p w14:paraId="486FD67D" w14:textId="77777777" w:rsidR="00D076EF" w:rsidRPr="00F671D9" w:rsidRDefault="00D076EF" w:rsidP="00D076EF">
      <w:pPr>
        <w:rPr>
          <w:rFonts w:ascii="Arial" w:hAnsi="Arial" w:cs="Arial"/>
        </w:rPr>
      </w:pPr>
    </w:p>
    <w:p w14:paraId="05844517" w14:textId="77777777" w:rsidR="004C3DF1" w:rsidRPr="00F671D9" w:rsidRDefault="004C3DF1" w:rsidP="00D076E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671D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C4F5" w14:textId="77777777" w:rsidR="00C3039B" w:rsidRPr="0000007A" w:rsidRDefault="00C3039B" w:rsidP="0099583E">
      <w:r>
        <w:separator/>
      </w:r>
    </w:p>
  </w:endnote>
  <w:endnote w:type="continuationSeparator" w:id="0">
    <w:p w14:paraId="373242DD" w14:textId="77777777" w:rsidR="00C3039B" w:rsidRPr="0000007A" w:rsidRDefault="00C303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E1A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9310" w14:textId="77777777" w:rsidR="00C3039B" w:rsidRPr="0000007A" w:rsidRDefault="00C3039B" w:rsidP="0099583E">
      <w:r>
        <w:separator/>
      </w:r>
    </w:p>
  </w:footnote>
  <w:footnote w:type="continuationSeparator" w:id="0">
    <w:p w14:paraId="1CAF8383" w14:textId="77777777" w:rsidR="00C3039B" w:rsidRPr="0000007A" w:rsidRDefault="00C303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2B9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259BB6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776BC4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6ADA"/>
    <w:multiLevelType w:val="hybridMultilevel"/>
    <w:tmpl w:val="5D981308"/>
    <w:lvl w:ilvl="0" w:tplc="A85EBF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9D4EDC"/>
    <w:multiLevelType w:val="hybridMultilevel"/>
    <w:tmpl w:val="0B200DBC"/>
    <w:lvl w:ilvl="0" w:tplc="6338DD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2240729">
    <w:abstractNumId w:val="4"/>
  </w:num>
  <w:num w:numId="2" w16cid:durableId="513233127">
    <w:abstractNumId w:val="8"/>
  </w:num>
  <w:num w:numId="3" w16cid:durableId="1956326849">
    <w:abstractNumId w:val="7"/>
  </w:num>
  <w:num w:numId="4" w16cid:durableId="1162895863">
    <w:abstractNumId w:val="9"/>
  </w:num>
  <w:num w:numId="5" w16cid:durableId="1177772876">
    <w:abstractNumId w:val="5"/>
  </w:num>
  <w:num w:numId="6" w16cid:durableId="1137068100">
    <w:abstractNumId w:val="0"/>
  </w:num>
  <w:num w:numId="7" w16cid:durableId="74211235">
    <w:abstractNumId w:val="2"/>
  </w:num>
  <w:num w:numId="8" w16cid:durableId="356007846">
    <w:abstractNumId w:val="11"/>
  </w:num>
  <w:num w:numId="9" w16cid:durableId="323049622">
    <w:abstractNumId w:val="10"/>
  </w:num>
  <w:num w:numId="10" w16cid:durableId="428353135">
    <w:abstractNumId w:val="3"/>
  </w:num>
  <w:num w:numId="11" w16cid:durableId="812915535">
    <w:abstractNumId w:val="6"/>
  </w:num>
  <w:num w:numId="12" w16cid:durableId="627200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0193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26ED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3F3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13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06CF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34B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49F"/>
    <w:rsid w:val="008B1B0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B1B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6E9F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39B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6EF"/>
    <w:rsid w:val="00D1283A"/>
    <w:rsid w:val="00D12970"/>
    <w:rsid w:val="00D13B18"/>
    <w:rsid w:val="00D17979"/>
    <w:rsid w:val="00D2075F"/>
    <w:rsid w:val="00D24CBE"/>
    <w:rsid w:val="00D251EB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22ED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2A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6B8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6E41"/>
    <w:rsid w:val="00F573EA"/>
    <w:rsid w:val="00F57E9D"/>
    <w:rsid w:val="00F671D9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50E711"/>
  <w15:docId w15:val="{619198DE-83CF-42D1-9FBC-EC8DCEE3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D6E9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13B1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671D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2026-01-08T12:31:00Z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