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C447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C447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C447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C447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C447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C447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56976FD" w:rsidR="0000007A" w:rsidRPr="004C4476" w:rsidRDefault="00470B4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C447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4C447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C447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C447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D0B7A9" w:rsidR="0000007A" w:rsidRPr="004C447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C447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C447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81909" w:rsidRPr="004C4476">
              <w:rPr>
                <w:rFonts w:ascii="Arial" w:hAnsi="Arial" w:cs="Arial"/>
                <w:b/>
                <w:bCs/>
                <w:szCs w:val="28"/>
                <w:lang w:val="en-GB"/>
              </w:rPr>
              <w:t>6980</w:t>
            </w:r>
          </w:p>
        </w:tc>
      </w:tr>
      <w:tr w:rsidR="0000007A" w:rsidRPr="004C447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C447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C447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2C9110C" w:rsidR="0000007A" w:rsidRPr="004C4476" w:rsidRDefault="00E727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C4476">
              <w:rPr>
                <w:rFonts w:ascii="Arial" w:hAnsi="Arial" w:cs="Arial"/>
                <w:b/>
                <w:szCs w:val="28"/>
                <w:lang w:val="en-GB"/>
              </w:rPr>
              <w:t>Retrospective Analysis of Demographic and Biochemical Determinants of Iron Disorders</w:t>
            </w:r>
          </w:p>
        </w:tc>
      </w:tr>
      <w:tr w:rsidR="00CF0BBB" w:rsidRPr="004C447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C447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C447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1548F3" w:rsidR="00CF0BBB" w:rsidRPr="004C4476" w:rsidRDefault="002A4F6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C447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C447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C447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4C447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4C447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4C447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C447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4C447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4C447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4C447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C4476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C447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CC34FB9" w:rsidR="00E03C32" w:rsidRDefault="005416F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416F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Biochemistry Research &amp; Review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F8670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D203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D203DB" w:rsidRPr="00D203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204-210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203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25D57F4" w:rsidR="00E03C32" w:rsidRPr="007B54A4" w:rsidRDefault="00333427" w:rsidP="0033342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3342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3342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ijbcrr</w:t>
                  </w:r>
                  <w:proofErr w:type="spellEnd"/>
                  <w:r w:rsidRPr="0033342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/2025/v34i61077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C447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4C447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4C447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C447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447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C447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C447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447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C447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C447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C4476">
              <w:rPr>
                <w:rFonts w:ascii="Arial" w:hAnsi="Arial" w:cs="Arial"/>
                <w:lang w:val="en-GB"/>
              </w:rPr>
              <w:t>Author’s Feedback</w:t>
            </w:r>
            <w:r w:rsidRPr="004C447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C447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C447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C44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C447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5C0C81A" w:rsidR="00F1171E" w:rsidRPr="004C4476" w:rsidRDefault="00FA7E9F" w:rsidP="007E666B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Iron is an essential micronutrient required for many important functions in the body</w:t>
            </w:r>
            <w:r w:rsidR="007E666B"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proofErr w:type="gramStart"/>
            <w:r w:rsidR="007E666B"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</w:t>
            </w:r>
            <w:proofErr w:type="gramEnd"/>
            <w:r w:rsidR="007E666B"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systemic balance is regulated through intestinal absorption, macrophage recycling and hepatic storage</w:t>
            </w: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primarily under the control of Hepcidin-Ferro Protin axis. Disruption of this </w:t>
            </w:r>
            <w:proofErr w:type="spellStart"/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homeo</w:t>
            </w:r>
            <w:proofErr w:type="spellEnd"/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stasis results in clinically important disorders at both ends of the spectrum viz. Iron deficiency and iron </w:t>
            </w:r>
            <w:proofErr w:type="spellStart"/>
            <w:proofErr w:type="gramStart"/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overload.Clinical</w:t>
            </w:r>
            <w:proofErr w:type="spellEnd"/>
            <w:proofErr w:type="gramEnd"/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assessment of iron status relies mainly on serum ferritin, serum iron, TIBC, and Transferrin </w:t>
            </w:r>
            <w:proofErr w:type="spellStart"/>
            <w:proofErr w:type="gramStart"/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saturation.Disorders</w:t>
            </w:r>
            <w:proofErr w:type="spellEnd"/>
            <w:proofErr w:type="gramEnd"/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iron homeostasis represent</w:t>
            </w:r>
            <w:r w:rsidR="007E666B"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clinically important and biologically interconnected conditions. This retrospective hospital based original study demonstrates clear demographic and biochemical stratification across iron sta</w:t>
            </w:r>
            <w:r w:rsidR="007E666B"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tus categories in a real world and may aid in improving diagnostic accuracy and timely clinical intervention in routine clinical practice.</w:t>
            </w:r>
          </w:p>
        </w:tc>
        <w:tc>
          <w:tcPr>
            <w:tcW w:w="1523" w:type="pct"/>
          </w:tcPr>
          <w:p w14:paraId="462A339C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447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C44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C44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C53D5A2" w:rsidR="00F1171E" w:rsidRPr="004C4476" w:rsidRDefault="00FA7E9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447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C447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C447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4B62528" w:rsidR="00F1171E" w:rsidRPr="004C4476" w:rsidRDefault="00FA7E9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447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C447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E5E6AF7" w:rsidR="00F1171E" w:rsidRPr="004C4476" w:rsidRDefault="00FA7E9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447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C44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C44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1C010B" w:rsidR="00F1171E" w:rsidRPr="004C4476" w:rsidRDefault="00FA7E9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C447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C447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C447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AEC2C84" w:rsidR="00F1171E" w:rsidRPr="004C4476" w:rsidRDefault="00FA7E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C447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C447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C447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C447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1005C28" w:rsidR="00F1171E" w:rsidRPr="004C4476" w:rsidRDefault="007E666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sz w:val="20"/>
                <w:szCs w:val="20"/>
                <w:lang w:val="en-GB"/>
              </w:rPr>
              <w:t xml:space="preserve">Author has elaboratively discussed the manuscript in all sections. </w:t>
            </w:r>
          </w:p>
          <w:p w14:paraId="7EB58C99" w14:textId="0B5BF698" w:rsidR="00F1171E" w:rsidRPr="004C4476" w:rsidRDefault="007E666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sz w:val="20"/>
                <w:szCs w:val="20"/>
                <w:lang w:val="en-GB"/>
              </w:rPr>
              <w:t>Good research article and prospective study can be conducted in a good number of sample size.</w:t>
            </w:r>
          </w:p>
          <w:p w14:paraId="15DFD0E8" w14:textId="6EA1D9C5" w:rsidR="00F1171E" w:rsidRPr="004C4476" w:rsidRDefault="007E666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sz w:val="20"/>
                <w:szCs w:val="20"/>
                <w:lang w:val="en-GB"/>
              </w:rPr>
              <w:t>Pie charts and Bar charts should have been used in the result section.</w:t>
            </w:r>
          </w:p>
        </w:tc>
        <w:tc>
          <w:tcPr>
            <w:tcW w:w="1523" w:type="pct"/>
          </w:tcPr>
          <w:p w14:paraId="465E098E" w14:textId="77777777" w:rsidR="00F1171E" w:rsidRPr="004C44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C44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C447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C447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C447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C447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C447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C447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C447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C447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C44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C4476">
              <w:rPr>
                <w:rFonts w:ascii="Arial" w:hAnsi="Arial" w:cs="Arial"/>
                <w:lang w:val="en-GB"/>
              </w:rPr>
              <w:t>Author’s comment</w:t>
            </w:r>
            <w:r w:rsidRPr="004C447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C447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C447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C447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C447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C447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C447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4C447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2BDD741" w:rsidR="00F1171E" w:rsidRPr="004C4476" w:rsidRDefault="00FA7E9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C4476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C447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C447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C447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C447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517E2FB" w14:textId="77777777" w:rsidR="004C4476" w:rsidRPr="00B52361" w:rsidRDefault="004C4476" w:rsidP="004C447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5236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06B7B71" w14:textId="77777777" w:rsidR="004C4476" w:rsidRDefault="004C4476" w:rsidP="004C4476">
      <w:r w:rsidRPr="00B52361">
        <w:rPr>
          <w:rFonts w:ascii="Arial" w:hAnsi="Arial" w:cs="Arial"/>
          <w:b/>
          <w:color w:val="000000"/>
        </w:rPr>
        <w:t>Mamatha B Patil, India</w:t>
      </w:r>
      <w:r w:rsidRPr="00B52361">
        <w:rPr>
          <w:rFonts w:ascii="Arial" w:hAnsi="Arial" w:cs="Arial"/>
          <w:b/>
          <w:color w:val="000000"/>
        </w:rPr>
        <w:br/>
      </w:r>
    </w:p>
    <w:p w14:paraId="187DFEF3" w14:textId="77777777" w:rsidR="004C4476" w:rsidRPr="004C4476" w:rsidRDefault="004C4476">
      <w:pPr>
        <w:rPr>
          <w:rFonts w:ascii="Arial" w:hAnsi="Arial" w:cs="Arial"/>
          <w:b/>
          <w:sz w:val="20"/>
          <w:szCs w:val="20"/>
        </w:rPr>
      </w:pPr>
    </w:p>
    <w:sectPr w:rsidR="004C4476" w:rsidRPr="004C447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6E8D8" w14:textId="77777777" w:rsidR="00EF0187" w:rsidRPr="0000007A" w:rsidRDefault="00EF0187" w:rsidP="0099583E">
      <w:r>
        <w:separator/>
      </w:r>
    </w:p>
  </w:endnote>
  <w:endnote w:type="continuationSeparator" w:id="0">
    <w:p w14:paraId="57071CFD" w14:textId="77777777" w:rsidR="00EF0187" w:rsidRPr="0000007A" w:rsidRDefault="00EF018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B89E" w14:textId="77777777" w:rsidR="00EF0187" w:rsidRPr="0000007A" w:rsidRDefault="00EF0187" w:rsidP="0099583E">
      <w:r>
        <w:separator/>
      </w:r>
    </w:p>
  </w:footnote>
  <w:footnote w:type="continuationSeparator" w:id="0">
    <w:p w14:paraId="6C0DF01E" w14:textId="77777777" w:rsidR="00EF0187" w:rsidRPr="0000007A" w:rsidRDefault="00EF018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468730">
    <w:abstractNumId w:val="3"/>
  </w:num>
  <w:num w:numId="2" w16cid:durableId="1680234668">
    <w:abstractNumId w:val="6"/>
  </w:num>
  <w:num w:numId="3" w16cid:durableId="1497919349">
    <w:abstractNumId w:val="5"/>
  </w:num>
  <w:num w:numId="4" w16cid:durableId="412896894">
    <w:abstractNumId w:val="7"/>
  </w:num>
  <w:num w:numId="5" w16cid:durableId="401830194">
    <w:abstractNumId w:val="4"/>
  </w:num>
  <w:num w:numId="6" w16cid:durableId="1465081148">
    <w:abstractNumId w:val="0"/>
  </w:num>
  <w:num w:numId="7" w16cid:durableId="651254802">
    <w:abstractNumId w:val="1"/>
  </w:num>
  <w:num w:numId="8" w16cid:durableId="875387911">
    <w:abstractNumId w:val="9"/>
  </w:num>
  <w:num w:numId="9" w16cid:durableId="972372814">
    <w:abstractNumId w:val="8"/>
  </w:num>
  <w:num w:numId="10" w16cid:durableId="242182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B6E"/>
    <w:rsid w:val="001F24FF"/>
    <w:rsid w:val="001F2913"/>
    <w:rsid w:val="001F707F"/>
    <w:rsid w:val="002011F3"/>
    <w:rsid w:val="00201B85"/>
    <w:rsid w:val="002027FF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F6A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427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B4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476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16F3"/>
    <w:rsid w:val="0054564B"/>
    <w:rsid w:val="00545A13"/>
    <w:rsid w:val="00546343"/>
    <w:rsid w:val="00546E3F"/>
    <w:rsid w:val="00555430"/>
    <w:rsid w:val="00557CD3"/>
    <w:rsid w:val="00560D3C"/>
    <w:rsid w:val="00563EE8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5832"/>
    <w:rsid w:val="006E6014"/>
    <w:rsid w:val="006E7D6E"/>
    <w:rsid w:val="006F151B"/>
    <w:rsid w:val="00700A1D"/>
    <w:rsid w:val="00700EF2"/>
    <w:rsid w:val="00701186"/>
    <w:rsid w:val="00707BE1"/>
    <w:rsid w:val="007211CC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666B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704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E23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3DB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FA2"/>
    <w:rsid w:val="00DE7D30"/>
    <w:rsid w:val="00DF04E3"/>
    <w:rsid w:val="00E03C32"/>
    <w:rsid w:val="00E10EAD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742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0187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909"/>
    <w:rsid w:val="00F86700"/>
    <w:rsid w:val="00F96F54"/>
    <w:rsid w:val="00F978B8"/>
    <w:rsid w:val="00FA6528"/>
    <w:rsid w:val="00FA7E9F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6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416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C447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