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A88BABD" w:rsidR="0000007A" w:rsidRPr="00DE7D30" w:rsidRDefault="00F410D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B5372">
                <w:rPr>
                  <w:rStyle w:val="Hyperlink"/>
                  <w:rFonts w:asciiTheme="majorHAnsi" w:hAnsiTheme="majorHAnsi" w:cs="Arial"/>
                  <w:b/>
                </w:rPr>
                <w:t>Mathematics and Computer Science: Research Updates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BC581C3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="00F410DF" w:rsidRPr="00F410DF">
              <w:rPr>
                <w:rFonts w:ascii="Arial" w:hAnsi="Arial" w:cs="Arial"/>
                <w:b/>
                <w:bCs/>
                <w:szCs w:val="28"/>
                <w:lang w:val="en-GB"/>
              </w:rPr>
              <w:t>_7102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D4F89F" w:rsidR="0000007A" w:rsidRPr="00F410DF" w:rsidRDefault="00F410DF" w:rsidP="00F410DF">
            <w:pPr>
              <w:ind w:left="1620" w:hanging="1620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The </w:t>
            </w:r>
            <w:r w:rsidRPr="004A2D14">
              <w:rPr>
                <w:rFonts w:asciiTheme="majorHAnsi" w:hAnsiTheme="majorHAnsi" w:cs="Arial"/>
                <w:b/>
              </w:rPr>
              <w:t>Uniformly Minimum Variance Unbiased Estimators Not Reach the Cram</w:t>
            </w:r>
            <w:r>
              <w:rPr>
                <w:rFonts w:asciiTheme="majorHAnsi" w:hAnsiTheme="majorHAnsi" w:cs="Arial"/>
                <w:b/>
              </w:rPr>
              <w:t>e</w:t>
            </w:r>
            <w:r w:rsidRPr="004A2D14">
              <w:rPr>
                <w:rFonts w:asciiTheme="majorHAnsi" w:hAnsiTheme="majorHAnsi" w:cs="Arial"/>
                <w:b/>
              </w:rPr>
              <w:t>r–Rao Lower Bound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47DE985" w:rsidR="00CF0BBB" w:rsidRPr="00DE7D30" w:rsidRDefault="00F410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DBF53FD" w:rsidR="00E03C32" w:rsidRDefault="006066D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066D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Statistical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6066D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1-18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6066D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A37B1F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066DE" w:rsidRPr="006066DE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hyperlink r:id="rId8" w:history="1">
                    <w:r w:rsidR="006066DE" w:rsidRPr="006066D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https://doi.org/10.3329/ijss.v24i20.78210</w:t>
                    </w:r>
                  </w:hyperlink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A77BFB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3752E31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The manuscript offers a thorough, well-organised analysis of uniformly minimum-variance unbiased</w:t>
            </w:r>
          </w:p>
          <w:p w14:paraId="0179F07C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estimators that do not reach the Cramer-Rao lower bound in finite samples. The presentation is</w:t>
            </w:r>
          </w:p>
          <w:p w14:paraId="3E0B80FD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mathematically rigorous and based on classical estimation theory, with proper use of Rao-Blackwell,</w:t>
            </w:r>
          </w:p>
          <w:p w14:paraId="5A604FBD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Lehmann-Scheffe, completeness, and sufficiency. A key strength of the paper is its clear educational</w:t>
            </w:r>
          </w:p>
          <w:p w14:paraId="3BDFE532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focus, with detailed derivations and extensive examples of standard distributions, making it especially</w:t>
            </w:r>
          </w:p>
          <w:p w14:paraId="17687959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useful for graduate-level teaching in statistical inference. The consistent finding that these UMVUEs are</w:t>
            </w:r>
          </w:p>
          <w:p w14:paraId="5E946A0E" w14:textId="19506883" w:rsidR="00F1171E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asymptotically efficient further links finite-sample behaviour to asymptotic theory.</w:t>
            </w:r>
          </w:p>
          <w:p w14:paraId="3CC6363E" w14:textId="7CA62BDA" w:rsid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However, I have certain questions to raise with this version of the manuscript</w:t>
            </w:r>
          </w:p>
          <w:p w14:paraId="0DED339F" w14:textId="77777777" w:rsidR="00A13B50" w:rsidRDefault="00A13B50" w:rsidP="00A13B50">
            <w:pPr>
              <w:rPr>
                <w:sz w:val="20"/>
                <w:szCs w:val="20"/>
                <w:lang w:val="en-GB"/>
              </w:rPr>
            </w:pPr>
          </w:p>
          <w:p w14:paraId="44EC4C17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1. Heavy and Repetitive Calculations: Several examples involve lengthy and repetitive algebraic</w:t>
            </w:r>
          </w:p>
          <w:p w14:paraId="382FE9FE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 xml:space="preserve">derivations that obscure the main conceptual </w:t>
            </w:r>
            <w:proofErr w:type="spellStart"/>
            <w:proofErr w:type="gramStart"/>
            <w:r w:rsidRPr="00A13B50">
              <w:rPr>
                <w:sz w:val="20"/>
                <w:szCs w:val="20"/>
                <w:lang w:val="en-GB"/>
              </w:rPr>
              <w:t>message.I</w:t>
            </w:r>
            <w:proofErr w:type="spellEnd"/>
            <w:proofErr w:type="gramEnd"/>
            <w:r w:rsidRPr="00A13B50">
              <w:rPr>
                <w:sz w:val="20"/>
                <w:szCs w:val="20"/>
                <w:lang w:val="en-GB"/>
              </w:rPr>
              <w:t xml:space="preserve"> would suggest moving detailed</w:t>
            </w:r>
          </w:p>
          <w:p w14:paraId="213094BC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variance calculations and routine algebra to an appendix, keeping only the key steps and</w:t>
            </w:r>
          </w:p>
          <w:p w14:paraId="5FC6B382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conclusions in the main text.</w:t>
            </w:r>
          </w:p>
          <w:p w14:paraId="64E15971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 xml:space="preserve">2. Lack of Clear Explanation for CRLB Failure: Although the paper clearly shows that the </w:t>
            </w:r>
            <w:proofErr w:type="spellStart"/>
            <w:r w:rsidRPr="00A13B50">
              <w:rPr>
                <w:sz w:val="20"/>
                <w:szCs w:val="20"/>
                <w:lang w:val="en-GB"/>
              </w:rPr>
              <w:t>CramerRao</w:t>
            </w:r>
            <w:proofErr w:type="spellEnd"/>
            <w:r w:rsidRPr="00A13B50">
              <w:rPr>
                <w:sz w:val="20"/>
                <w:szCs w:val="20"/>
                <w:lang w:val="en-GB"/>
              </w:rPr>
              <w:t xml:space="preserve"> Lower Bound is not achieved, it does not clearly explain why this happens. I would like to</w:t>
            </w:r>
          </w:p>
          <w:p w14:paraId="34312E60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see more intuitive or conceptual explanation, rather than only verification through calculations.</w:t>
            </w:r>
          </w:p>
          <w:p w14:paraId="62FDDDA9" w14:textId="5B20CEC0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3. Large parts of the paper read like detailed</w:t>
            </w:r>
            <w:r w:rsidR="00852875">
              <w:rPr>
                <w:sz w:val="20"/>
                <w:szCs w:val="20"/>
                <w:lang w:val="en-GB"/>
              </w:rPr>
              <w:t xml:space="preserve"> </w:t>
            </w:r>
            <w:r w:rsidRPr="00A13B50">
              <w:rPr>
                <w:sz w:val="20"/>
                <w:szCs w:val="20"/>
                <w:lang w:val="en-GB"/>
              </w:rPr>
              <w:t>lecture notes, especially the preliminary and methods sections. I suggest improving the balance</w:t>
            </w:r>
            <w:r w:rsidR="00852875">
              <w:rPr>
                <w:sz w:val="20"/>
                <w:szCs w:val="20"/>
                <w:lang w:val="en-GB"/>
              </w:rPr>
              <w:t xml:space="preserve"> </w:t>
            </w:r>
            <w:r w:rsidRPr="00A13B50">
              <w:rPr>
                <w:sz w:val="20"/>
                <w:szCs w:val="20"/>
                <w:lang w:val="en-GB"/>
              </w:rPr>
              <w:t>between pedagogical material and original research contribution.</w:t>
            </w:r>
          </w:p>
          <w:p w14:paraId="402D8705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4. Weak and Repetitive Conclusion: The conclusion mostly restates the results instead of</w:t>
            </w:r>
          </w:p>
          <w:p w14:paraId="2DA19080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synthesizing them. I recommend clearly summarizing the main insights from the examples and</w:t>
            </w:r>
          </w:p>
          <w:p w14:paraId="2A31557E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explaining what students or practitioners should learn from these counterexamples.</w:t>
            </w:r>
          </w:p>
          <w:p w14:paraId="41A99831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5. Limited Discussion of Related Literature: While the paper cites some classical references, it does</w:t>
            </w:r>
          </w:p>
          <w:p w14:paraId="22406C57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not engage deeply with related literature. A clearer comparison with existing work on efficiency,</w:t>
            </w:r>
          </w:p>
          <w:p w14:paraId="1C890599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admissibility, and limitations of the Cramer-Rao bound would help highlight what is new in this</w:t>
            </w:r>
          </w:p>
          <w:p w14:paraId="4FA876B4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paper.</w:t>
            </w:r>
          </w:p>
          <w:p w14:paraId="0CDEB31B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6. Restriction to Unbiased Estimation Only: The analysis is limited to unbiased estimators. I suggest</w:t>
            </w:r>
          </w:p>
          <w:p w14:paraId="5689D2DF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briefly discussing whether similar efficiency failures occur for other optimality criteria, such as</w:t>
            </w:r>
          </w:p>
          <w:p w14:paraId="31CB1B62" w14:textId="006B9A78" w:rsidR="00A13B50" w:rsidRPr="00900E9B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mean squared error or biased-but-consistent estimators, to broaden the scope of the work.</w:t>
            </w:r>
          </w:p>
          <w:p w14:paraId="7EB58C99" w14:textId="5FE2241D" w:rsidR="00F1171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C60FD9A" w14:textId="77777777" w:rsidR="00A13B50" w:rsidRPr="00A13B50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Final Remark: Overall, the manuscript is technically correct and teaching-oriented, and is especially</w:t>
            </w:r>
          </w:p>
          <w:p w14:paraId="01906613" w14:textId="1FEDD656" w:rsidR="00A13B50" w:rsidRPr="00900E9B" w:rsidRDefault="00A13B50" w:rsidP="00A13B50">
            <w:pPr>
              <w:rPr>
                <w:sz w:val="20"/>
                <w:szCs w:val="20"/>
                <w:lang w:val="en-GB"/>
              </w:rPr>
            </w:pPr>
            <w:r w:rsidRPr="00A13B50">
              <w:rPr>
                <w:sz w:val="20"/>
                <w:szCs w:val="20"/>
                <w:lang w:val="en-GB"/>
              </w:rPr>
              <w:t>valuable for graduate-level audiences. I suggest accepting this work with the comments made above.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0D110B" w:rsidRPr="00340561" w14:paraId="787E6DE1" w14:textId="77777777" w:rsidTr="006E161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ABCB6" w14:textId="77777777" w:rsidR="000D110B" w:rsidRPr="00340561" w:rsidRDefault="000D110B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C26685C" w14:textId="77777777" w:rsidR="000D110B" w:rsidRPr="00340561" w:rsidRDefault="000D110B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D110B" w:rsidRPr="00340561" w14:paraId="14FBEC0A" w14:textId="77777777" w:rsidTr="006E161C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A567D" w14:textId="77777777" w:rsidR="000D110B" w:rsidRPr="00340561" w:rsidRDefault="000D110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4B5BB" w14:textId="77777777" w:rsidR="000D110B" w:rsidRPr="00340561" w:rsidRDefault="000D110B" w:rsidP="006E1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41C82E0" w14:textId="77777777" w:rsidR="000D110B" w:rsidRPr="008608EB" w:rsidRDefault="000D110B" w:rsidP="006E161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608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608E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4D5B135" w14:textId="77777777" w:rsidR="000D110B" w:rsidRPr="00340561" w:rsidRDefault="000D110B" w:rsidP="006E16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D110B" w:rsidRPr="00340561" w14:paraId="27E25A66" w14:textId="77777777" w:rsidTr="006E161C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AEE70" w14:textId="77777777" w:rsidR="000D110B" w:rsidRPr="00340561" w:rsidRDefault="000D110B" w:rsidP="006E161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5B9F803" w14:textId="77777777" w:rsidR="000D110B" w:rsidRPr="00340561" w:rsidRDefault="000D110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3CD8" w14:textId="77777777" w:rsidR="000D110B" w:rsidRPr="00340561" w:rsidRDefault="000D110B" w:rsidP="006E161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566F552" w14:textId="77777777" w:rsidR="000D110B" w:rsidRPr="00340561" w:rsidRDefault="000D110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9DE363D" w14:textId="77777777" w:rsidR="000D110B" w:rsidRPr="00340561" w:rsidRDefault="000D110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D387C4" w14:textId="77777777" w:rsidR="000D110B" w:rsidRPr="00340561" w:rsidRDefault="000D110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A0C6097" w14:textId="77777777" w:rsidR="000D110B" w:rsidRPr="00340561" w:rsidRDefault="000D110B" w:rsidP="006E161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1B2B0DB" w14:textId="77777777" w:rsidR="000D110B" w:rsidRDefault="000D110B" w:rsidP="000D110B"/>
    <w:p w14:paraId="0481C3C3" w14:textId="77777777" w:rsidR="00A77BFB" w:rsidRDefault="00A77BFB" w:rsidP="00A77BF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6870F19" w14:textId="77777777" w:rsidR="00A77BFB" w:rsidRPr="005F4EDD" w:rsidRDefault="00A77BFB" w:rsidP="00A77BF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</w:p>
    <w:p w14:paraId="2F378512" w14:textId="29C2E815" w:rsidR="000D110B" w:rsidRPr="00A77BFB" w:rsidRDefault="00A77BFB" w:rsidP="000D110B">
      <w:pPr>
        <w:rPr>
          <w:b/>
          <w:bCs/>
        </w:rPr>
      </w:pPr>
      <w:proofErr w:type="spellStart"/>
      <w:r w:rsidRPr="00A77BFB">
        <w:rPr>
          <w:rFonts w:ascii="Calibri" w:hAnsi="Calibri" w:cs="Calibri"/>
          <w:b/>
          <w:bCs/>
          <w:color w:val="000000"/>
        </w:rPr>
        <w:t>Jonali</w:t>
      </w:r>
      <w:proofErr w:type="spellEnd"/>
      <w:r w:rsidRPr="00A77BFB">
        <w:rPr>
          <w:rFonts w:ascii="Calibri" w:hAnsi="Calibri" w:cs="Calibri"/>
          <w:b/>
          <w:bCs/>
          <w:color w:val="000000"/>
        </w:rPr>
        <w:t xml:space="preserve"> Gogoi</w:t>
      </w:r>
      <w:r w:rsidRPr="00A77BFB">
        <w:rPr>
          <w:rFonts w:ascii="Calibri" w:hAnsi="Calibri" w:cs="Calibri"/>
          <w:b/>
          <w:bCs/>
          <w:color w:val="000000"/>
        </w:rPr>
        <w:t xml:space="preserve">, </w:t>
      </w:r>
      <w:r w:rsidRPr="00A77BFB">
        <w:rPr>
          <w:rFonts w:ascii="Calibri" w:hAnsi="Calibri" w:cs="Calibri"/>
          <w:b/>
          <w:bCs/>
          <w:color w:val="000000"/>
        </w:rPr>
        <w:t>Assam University, India</w:t>
      </w:r>
      <w:r w:rsidRPr="00A77BFB">
        <w:rPr>
          <w:rFonts w:ascii="Calibri" w:hAnsi="Calibri" w:cs="Calibri"/>
          <w:b/>
          <w:bCs/>
          <w:color w:val="000000"/>
        </w:rPr>
        <w:br/>
      </w:r>
      <w:r w:rsidRPr="00A77BFB">
        <w:rPr>
          <w:rFonts w:ascii="Calibri" w:hAnsi="Calibri" w:cs="Calibri"/>
          <w:b/>
          <w:bCs/>
          <w:color w:val="000000"/>
        </w:rPr>
        <w:br/>
      </w:r>
      <w:r w:rsidRPr="00A77BFB">
        <w:rPr>
          <w:rFonts w:ascii="Calibri" w:hAnsi="Calibri" w:cs="Calibri"/>
          <w:b/>
          <w:bCs/>
          <w:color w:val="000000"/>
        </w:rPr>
        <w:br/>
      </w:r>
    </w:p>
    <w:p w14:paraId="7FF8D043" w14:textId="77777777" w:rsidR="000D110B" w:rsidRPr="00375011" w:rsidRDefault="000D110B" w:rsidP="000D110B">
      <w:pPr>
        <w:rPr>
          <w:bCs/>
          <w:u w:val="single"/>
          <w:lang w:val="en-GB"/>
        </w:rPr>
      </w:pPr>
    </w:p>
    <w:bookmarkEnd w:id="1"/>
    <w:p w14:paraId="075A9A8C" w14:textId="77777777" w:rsidR="000D110B" w:rsidRDefault="000D110B" w:rsidP="000D110B"/>
    <w:p w14:paraId="0ECA4E5E" w14:textId="77777777" w:rsidR="00F1171E" w:rsidRPr="000D110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US"/>
        </w:rPr>
      </w:pPr>
    </w:p>
    <w:sectPr w:rsidR="00F1171E" w:rsidRPr="000D110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81DE0" w14:textId="77777777" w:rsidR="00DA7581" w:rsidRPr="0000007A" w:rsidRDefault="00DA7581" w:rsidP="0099583E">
      <w:r>
        <w:separator/>
      </w:r>
    </w:p>
  </w:endnote>
  <w:endnote w:type="continuationSeparator" w:id="0">
    <w:p w14:paraId="04857789" w14:textId="77777777" w:rsidR="00DA7581" w:rsidRPr="0000007A" w:rsidRDefault="00DA758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64AC5" w14:textId="77777777" w:rsidR="00DA7581" w:rsidRPr="0000007A" w:rsidRDefault="00DA7581" w:rsidP="0099583E">
      <w:r>
        <w:separator/>
      </w:r>
    </w:p>
  </w:footnote>
  <w:footnote w:type="continuationSeparator" w:id="0">
    <w:p w14:paraId="39E79BBC" w14:textId="77777777" w:rsidR="00DA7581" w:rsidRPr="0000007A" w:rsidRDefault="00DA758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6643023">
    <w:abstractNumId w:val="3"/>
  </w:num>
  <w:num w:numId="2" w16cid:durableId="443578238">
    <w:abstractNumId w:val="6"/>
  </w:num>
  <w:num w:numId="3" w16cid:durableId="1315990619">
    <w:abstractNumId w:val="5"/>
  </w:num>
  <w:num w:numId="4" w16cid:durableId="474957841">
    <w:abstractNumId w:val="7"/>
  </w:num>
  <w:num w:numId="5" w16cid:durableId="1759786899">
    <w:abstractNumId w:val="4"/>
  </w:num>
  <w:num w:numId="6" w16cid:durableId="774130818">
    <w:abstractNumId w:val="0"/>
  </w:num>
  <w:num w:numId="7" w16cid:durableId="224537619">
    <w:abstractNumId w:val="1"/>
  </w:num>
  <w:num w:numId="8" w16cid:durableId="967324716">
    <w:abstractNumId w:val="9"/>
  </w:num>
  <w:num w:numId="9" w16cid:durableId="225918091">
    <w:abstractNumId w:val="8"/>
  </w:num>
  <w:num w:numId="10" w16cid:durableId="2003921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10B"/>
    <w:rsid w:val="000D13B0"/>
    <w:rsid w:val="000D2ABA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317C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D4A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0C2A"/>
    <w:rsid w:val="00421DBF"/>
    <w:rsid w:val="0042465A"/>
    <w:rsid w:val="00435B36"/>
    <w:rsid w:val="00442B24"/>
    <w:rsid w:val="004430CD"/>
    <w:rsid w:val="0044519B"/>
    <w:rsid w:val="00452C41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7436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6DE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4B8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2875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6C8C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3B50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7BFB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6E00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581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10DF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77BF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ijss.v24i20.782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2026-02-14T12:18:00Z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