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105D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105D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105D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105D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105D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08685D" w:rsidR="0000007A" w:rsidRPr="002105D1" w:rsidRDefault="000B253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105D1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2105D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105D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2B21E7D" w:rsidR="0000007A" w:rsidRPr="002105D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105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B2539" w:rsidRPr="002105D1">
              <w:rPr>
                <w:rFonts w:ascii="Arial" w:hAnsi="Arial" w:cs="Arial"/>
                <w:b/>
                <w:sz w:val="20"/>
                <w:szCs w:val="20"/>
              </w:rPr>
              <w:t>7144</w:t>
            </w:r>
          </w:p>
        </w:tc>
      </w:tr>
      <w:tr w:rsidR="0000007A" w:rsidRPr="002105D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105D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A377234" w:rsidR="0000007A" w:rsidRPr="002105D1" w:rsidRDefault="000B25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105D1">
              <w:rPr>
                <w:rFonts w:ascii="Arial" w:hAnsi="Arial" w:cs="Arial"/>
                <w:b/>
                <w:sz w:val="20"/>
                <w:szCs w:val="20"/>
              </w:rPr>
              <w:t>A Rare Presentation of Bone-Within-Bone Phenomenon: Case Report</w:t>
            </w:r>
          </w:p>
        </w:tc>
      </w:tr>
      <w:tr w:rsidR="00CF0BBB" w:rsidRPr="002105D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105D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757741" w:rsidR="00CF0BBB" w:rsidRPr="002105D1" w:rsidRDefault="000B25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Book chapter</w:t>
            </w:r>
          </w:p>
        </w:tc>
      </w:tr>
    </w:tbl>
    <w:p w14:paraId="45F5983C" w14:textId="77777777" w:rsidR="00037D52" w:rsidRPr="002105D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105D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105D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105D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105D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105D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105D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105D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105D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42944B1D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508C906" w:rsidR="00E03C32" w:rsidRDefault="009234B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234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Pediatric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9234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234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760F55B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234BE" w:rsidRPr="009234BE">
                    <w:t xml:space="preserve"> </w:t>
                  </w:r>
                  <w:hyperlink r:id="rId8" w:history="1">
                    <w:r w:rsidR="009234BE" w:rsidRPr="0084009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https://doi.org/10.9734/ajpr/2026/v16i1505</w:t>
                    </w:r>
                  </w:hyperlink>
                  <w:r w:rsidR="009234B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105D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105D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105D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105D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05D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105D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105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05D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05D1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2105D1" w:rsidRDefault="00421DBF" w:rsidP="00A064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105D1">
              <w:rPr>
                <w:rFonts w:ascii="Arial" w:hAnsi="Arial" w:cs="Arial"/>
                <w:lang w:val="en-GB"/>
              </w:rPr>
              <w:t>Author’s Feedback</w:t>
            </w:r>
            <w:r w:rsidRPr="002105D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105D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105D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105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105D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F15D61D" w14:textId="77777777" w:rsidR="00B24612" w:rsidRPr="002105D1" w:rsidRDefault="00B24612" w:rsidP="00B24612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This manuscript presents a clinically significant and unfortunate case of suspected infantile malignant osteopetrosis with an aggressive course and possible association with </w:t>
            </w: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hematological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malignancy. The topic is relevant, particularly for </w:t>
            </w: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pediatricians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, radiologists, </w:t>
            </w: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hematologists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, and clinicians practicing in resource-limited settings where advanced genetic diagnostics may not be readily available. The detailed clinical description, radiological findings, and discussion on diagnostic challenges contribute to the educational value of the chapter.</w:t>
            </w:r>
          </w:p>
          <w:p w14:paraId="53C3D134" w14:textId="758FE44D" w:rsidR="00B24612" w:rsidRPr="002105D1" w:rsidRDefault="00B24612" w:rsidP="00B24612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The manuscript is important for the scientific community because it </w:t>
            </w:r>
            <w:proofErr w:type="gram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highlights:-</w:t>
            </w:r>
            <w:proofErr w:type="gramEnd"/>
          </w:p>
          <w:p w14:paraId="1A3D9A59" w14:textId="77777777" w:rsidR="00B24612" w:rsidRPr="002105D1" w:rsidRDefault="00B24612" w:rsidP="00B2461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importance of early radiological suspicion in rare metabolic bone disorders.</w:t>
            </w:r>
          </w:p>
          <w:p w14:paraId="485715BC" w14:textId="77777777" w:rsidR="00B24612" w:rsidRPr="002105D1" w:rsidRDefault="00B24612" w:rsidP="00B2461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The clinical overlap between osteopetrosis and </w:t>
            </w: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hematological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malignancies.</w:t>
            </w:r>
          </w:p>
          <w:p w14:paraId="4FE99920" w14:textId="77777777" w:rsidR="00B24612" w:rsidRPr="002105D1" w:rsidRDefault="00B24612" w:rsidP="00B2461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practical challenges faced in low-resource settings, including limited access to genetic testing and advanced imaging.</w:t>
            </w:r>
          </w:p>
          <w:p w14:paraId="4FA43392" w14:textId="77777777" w:rsidR="00B24612" w:rsidRPr="002105D1" w:rsidRDefault="00B24612" w:rsidP="00B2461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The need for genetic </w:t>
            </w: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counseling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and antenatal diagnosis in families with recurrent unexplained child deaths.</w:t>
            </w:r>
          </w:p>
          <w:p w14:paraId="7DBC9196" w14:textId="77777777" w:rsidR="00F1171E" w:rsidRPr="002105D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05D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105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105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FF30C22" w14:textId="68122615" w:rsidR="00B24612" w:rsidRPr="002105D1" w:rsidRDefault="00B24612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current title is appropriate; however, it may be strengthened for clarity and specificity.</w:t>
            </w:r>
          </w:p>
          <w:p w14:paraId="4A4C35C5" w14:textId="77777777" w:rsidR="00B24612" w:rsidRPr="002105D1" w:rsidRDefault="00B24612" w:rsidP="00B246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65DF7AFB" w14:textId="77777777" w:rsidR="00B24612" w:rsidRPr="002105D1" w:rsidRDefault="00B24612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Suggested alternative title:</w:t>
            </w:r>
          </w:p>
          <w:p w14:paraId="3A255C21" w14:textId="68B79517" w:rsidR="00B24612" w:rsidRPr="002105D1" w:rsidRDefault="00B24612" w:rsidP="00B246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br/>
              <w:t xml:space="preserve">“Infantile Malignant Osteopetrosis Presenting with Bone-Within-Bone Appearance and Suspected </w:t>
            </w: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Hematological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Malignancy: A Case Report”</w:t>
            </w:r>
          </w:p>
          <w:p w14:paraId="7AC94F03" w14:textId="77777777" w:rsidR="00B24612" w:rsidRPr="002105D1" w:rsidRDefault="00B24612" w:rsidP="00B246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464C276B" w14:textId="77777777" w:rsidR="00B24612" w:rsidRPr="002105D1" w:rsidRDefault="00B24612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This makes the clinical focus clearer and increases indexing value.</w:t>
            </w:r>
          </w:p>
          <w:p w14:paraId="794AA9A7" w14:textId="77777777" w:rsidR="00F1171E" w:rsidRPr="002105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05D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105D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105D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21D360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abstract covers the essential elements (background, case presentation, discussion, conclusion). However, the following improvements are suggested:</w:t>
            </w:r>
          </w:p>
          <w:p w14:paraId="0A967121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2BB6D2EF" w14:textId="77777777" w:rsidR="00AB2E95" w:rsidRPr="002105D1" w:rsidRDefault="00AB2E95" w:rsidP="00AB2E95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Clarify whether lymphoma was confirmed or remained a suspicion.</w:t>
            </w:r>
          </w:p>
          <w:p w14:paraId="1FC6D220" w14:textId="77777777" w:rsidR="00AB2E95" w:rsidRPr="002105D1" w:rsidRDefault="00AB2E95" w:rsidP="00AB2E95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Remove redundancy in phrasing.</w:t>
            </w:r>
          </w:p>
          <w:p w14:paraId="2977CB0D" w14:textId="77777777" w:rsidR="00AB2E95" w:rsidRPr="002105D1" w:rsidRDefault="00AB2E95" w:rsidP="00AB2E95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Briefly mention radiological and </w:t>
            </w: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hematological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findings more specifically.</w:t>
            </w:r>
          </w:p>
          <w:p w14:paraId="73B578C0" w14:textId="77777777" w:rsidR="00AB2E95" w:rsidRPr="002105D1" w:rsidRDefault="00AB2E95" w:rsidP="00AB2E95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Avoid definitive statements such as “HSCT is still under research” — HSCT is an established therapy in selected forms of osteopetrosis; the limitation lies in mutation type and availability.</w:t>
            </w:r>
          </w:p>
          <w:p w14:paraId="40B683B6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13E66573" w14:textId="487EBA1B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 slightly more structured abstract (Background, Case, Conclusion) with clearer outcome reporting would improve readability.</w:t>
            </w:r>
          </w:p>
          <w:p w14:paraId="0FB7E83A" w14:textId="77777777" w:rsidR="00F1171E" w:rsidRPr="002105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05D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105D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D488415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Overall, the manuscript is scientifically sound in its description of osteopetrosis pathophysiology and clinical presentation. However, some corrections are necessary:</w:t>
            </w:r>
          </w:p>
          <w:p w14:paraId="12B53657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51FFF7D0" w14:textId="77777777" w:rsidR="00AB2E95" w:rsidRPr="002105D1" w:rsidRDefault="00AB2E95" w:rsidP="00AB2E9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Osteopetrosis inheritance patterns should be described more clearly (autosomal dominant benign vs autosomal recessive malignant forms).</w:t>
            </w:r>
          </w:p>
          <w:p w14:paraId="63D2CCC3" w14:textId="77777777" w:rsidR="00AB2E95" w:rsidRPr="002105D1" w:rsidRDefault="00AB2E95" w:rsidP="00AB2E9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statement that “definitive treatment is not found yet” should be revised — HSCT is considered curative in selected autosomal recessive forms with intrinsic osteoclast defects.</w:t>
            </w:r>
          </w:p>
          <w:p w14:paraId="29064BC1" w14:textId="77777777" w:rsidR="00AB2E95" w:rsidRPr="002105D1" w:rsidRDefault="00AB2E95" w:rsidP="00AB2E9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claim regarding HSCT ineffectiveness in TNFSF11, CLCN7, and OSTM1 mutations should be verified carefully, as treatment response depends on mutation subtype and functional defect.</w:t>
            </w:r>
          </w:p>
          <w:p w14:paraId="7194E8B4" w14:textId="77777777" w:rsidR="00AB2E95" w:rsidRPr="002105D1" w:rsidRDefault="00AB2E95" w:rsidP="00AB2E9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suggestion of lymphoma association remains speculative, as bone marrow and biopsy confirmation were not performed.</w:t>
            </w:r>
          </w:p>
          <w:p w14:paraId="5D9AD0B0" w14:textId="77777777" w:rsidR="00AB2E95" w:rsidRPr="002105D1" w:rsidRDefault="00AB2E95" w:rsidP="00AB2E95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78B02711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manuscript would benefit from cautious language when discussing suspected lymphoma.</w:t>
            </w:r>
          </w:p>
          <w:p w14:paraId="18D7A3C0" w14:textId="77777777" w:rsidR="00AB2E95" w:rsidRPr="002105D1" w:rsidRDefault="00000000" w:rsidP="00AB2E95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IN"/>
              </w:rPr>
              <w:pict w14:anchorId="5B697897">
                <v:rect id="_x0000_i1025" alt="" style="width:451.3pt;height:.05pt;mso-width-percent:0;mso-height-percent:0;mso-width-percent:0;mso-height-percent:0" o:hralign="center" o:hrstd="t" o:hr="t" fillcolor="#a0a0a0" stroked="f"/>
              </w:pict>
            </w:r>
          </w:p>
          <w:p w14:paraId="2B5A7721" w14:textId="77777777" w:rsidR="00F1171E" w:rsidRPr="002105D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05D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105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105D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DA9529C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references are generally adequate and include recent literature (2023–2025). However:</w:t>
            </w:r>
          </w:p>
          <w:p w14:paraId="3DFFF8FA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017DA5F9" w14:textId="0CC2632A" w:rsidR="00AB2E95" w:rsidRPr="002105D1" w:rsidRDefault="00AB2E95" w:rsidP="00AB2E9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Consider adding a recent comprehensive review or guideline on management outcomes after </w:t>
            </w:r>
            <w:r w:rsidR="00A856F3"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HSCT </w:t>
            </w: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in infantile osteopetrosis.</w:t>
            </w:r>
          </w:p>
          <w:p w14:paraId="4C54F1A3" w14:textId="77777777" w:rsidR="00AB2E95" w:rsidRPr="002105D1" w:rsidRDefault="00AB2E95" w:rsidP="00AB2E9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 recent review on radiologic differentials of “bone-within-bone” appearance would strengthen the academic depth.</w:t>
            </w:r>
          </w:p>
          <w:p w14:paraId="76A7F64B" w14:textId="77777777" w:rsidR="00AB2E95" w:rsidRPr="002105D1" w:rsidRDefault="00AB2E95" w:rsidP="00AB2E95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71C6CC2F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Overall, references are appropriate but may be slightly refined for balance between case reports and consensus guidelines.</w:t>
            </w:r>
          </w:p>
          <w:p w14:paraId="24FE0567" w14:textId="77777777" w:rsidR="00F1171E" w:rsidRPr="002105D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05D1" w14:paraId="73CC4A50" w14:textId="77777777" w:rsidTr="00A856F3">
        <w:trPr>
          <w:trHeight w:val="3609"/>
        </w:trPr>
        <w:tc>
          <w:tcPr>
            <w:tcW w:w="1265" w:type="pct"/>
            <w:noWrap/>
          </w:tcPr>
          <w:p w14:paraId="029CE8D0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105D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105D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105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5C77674" w14:textId="79D19864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manuscript requires moderate language editing. Issues include:</w:t>
            </w:r>
          </w:p>
          <w:p w14:paraId="5483BC04" w14:textId="77777777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5017E60E" w14:textId="5E9859D8" w:rsidR="00AB2E95" w:rsidRPr="002105D1" w:rsidRDefault="00AB2E95" w:rsidP="00AB2E95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Repetition of phrases like “bone within bone appearance”.</w:t>
            </w:r>
          </w:p>
          <w:p w14:paraId="3FE17D7B" w14:textId="77777777" w:rsidR="00AB2E95" w:rsidRPr="002105D1" w:rsidRDefault="00AB2E95" w:rsidP="00AB2E95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Minor grammatical inconsistencies.</w:t>
            </w:r>
          </w:p>
          <w:p w14:paraId="48979BB8" w14:textId="77777777" w:rsidR="00AB2E95" w:rsidRPr="002105D1" w:rsidRDefault="00AB2E95" w:rsidP="00AB2E95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Typographical errors (spacing, punctuation, incomplete sentences).</w:t>
            </w:r>
          </w:p>
          <w:p w14:paraId="7B3DB8FB" w14:textId="77777777" w:rsidR="00AB2E95" w:rsidRPr="002105D1" w:rsidRDefault="00AB2E95" w:rsidP="00AB2E95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Some awkward sentence constructions.</w:t>
            </w:r>
          </w:p>
          <w:p w14:paraId="5AD1F736" w14:textId="77777777" w:rsidR="00AB2E95" w:rsidRPr="002105D1" w:rsidRDefault="00AB2E95" w:rsidP="00AB2E95">
            <w:pPr>
              <w:ind w:left="72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297F52DB" w14:textId="49695C0A" w:rsidR="00F1171E" w:rsidRPr="002105D1" w:rsidRDefault="00AB2E95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Professional language editing is recommended before publication.</w:t>
            </w:r>
          </w:p>
          <w:p w14:paraId="149A6CEF" w14:textId="77777777" w:rsidR="00F1171E" w:rsidRPr="002105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105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05D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105D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105D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105D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8842D25" w14:textId="298AE72D" w:rsidR="00AB2E95" w:rsidRPr="002105D1" w:rsidRDefault="00AB2E95" w:rsidP="00AB2E95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51C49645" w14:textId="0D875723" w:rsidR="00AB2E95" w:rsidRPr="002105D1" w:rsidRDefault="00AB2E95" w:rsidP="00A856F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Radiological images should have clearer </w:t>
            </w: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labeling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and standardized captions.</w:t>
            </w:r>
          </w:p>
          <w:p w14:paraId="7DC5A6E2" w14:textId="14F847BB" w:rsidR="00AB2E95" w:rsidRPr="002105D1" w:rsidRDefault="00AB2E95" w:rsidP="00A856F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Differential diagnoses (e.g., heavy metal poisoning, metabolic disorders, treated </w:t>
            </w:r>
            <w:proofErr w:type="spellStart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leukemia</w:t>
            </w:r>
            <w:proofErr w:type="spellEnd"/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) should be briefly mentioned.</w:t>
            </w:r>
          </w:p>
          <w:p w14:paraId="22A039CB" w14:textId="4D1E005F" w:rsidR="00AB2E95" w:rsidRPr="002105D1" w:rsidRDefault="00AB2E95" w:rsidP="00A856F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discussion on the suspected lymphoma should clearly state it remained unconfirmed.</w:t>
            </w:r>
          </w:p>
          <w:p w14:paraId="77D5E6CD" w14:textId="37DB4D62" w:rsidR="00AB2E95" w:rsidRPr="002105D1" w:rsidRDefault="00AB2E95" w:rsidP="00A856F3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 brief table summarizing classical features of infantile malignant osteopetrosis would enhance clarity.</w:t>
            </w:r>
          </w:p>
          <w:p w14:paraId="15DFD0E8" w14:textId="77777777" w:rsidR="00F1171E" w:rsidRPr="002105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105D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2105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105D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105D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105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105D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105D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105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105D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105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05D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105D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105D1">
              <w:rPr>
                <w:rFonts w:ascii="Arial" w:hAnsi="Arial" w:cs="Arial"/>
                <w:lang w:val="en-GB"/>
              </w:rPr>
              <w:t>Author’s comment</w:t>
            </w:r>
            <w:r w:rsidRPr="002105D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105D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105D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105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105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105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105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105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105D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5625B9B4" w:rsidR="00F1171E" w:rsidRPr="002105D1" w:rsidRDefault="00BA0DA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05D1">
              <w:rPr>
                <w:rFonts w:ascii="Arial" w:hAnsi="Arial" w:cs="Arial"/>
                <w:b/>
                <w:bCs/>
                <w:sz w:val="20"/>
                <w:szCs w:val="20"/>
              </w:rPr>
              <w:t>Ethical approval and informed parental consent for publication of clinical details and images must be explicitly stated. If consent was obtained, this should be clearly mentioned in a dedicated “Ethics Statement” section.</w:t>
            </w:r>
          </w:p>
          <w:p w14:paraId="7B654B67" w14:textId="77777777" w:rsidR="00F1171E" w:rsidRPr="002105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105D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105D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105D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105D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105D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041D1A9" w14:textId="77777777" w:rsidR="002105D1" w:rsidRPr="002105D1" w:rsidRDefault="002105D1">
      <w:pPr>
        <w:rPr>
          <w:rFonts w:ascii="Arial" w:hAnsi="Arial" w:cs="Arial"/>
          <w:b/>
          <w:sz w:val="20"/>
          <w:szCs w:val="20"/>
          <w:lang w:val="en-GB"/>
        </w:rPr>
      </w:pPr>
    </w:p>
    <w:p w14:paraId="3181A217" w14:textId="77777777" w:rsidR="002105D1" w:rsidRPr="002105D1" w:rsidRDefault="002105D1" w:rsidP="002105D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105D1">
        <w:rPr>
          <w:rFonts w:ascii="Arial" w:hAnsi="Arial" w:cs="Arial"/>
          <w:b/>
          <w:u w:val="single"/>
        </w:rPr>
        <w:t>Reviewer details:</w:t>
      </w:r>
    </w:p>
    <w:p w14:paraId="1B5A4727" w14:textId="77777777" w:rsidR="002105D1" w:rsidRPr="002105D1" w:rsidRDefault="002105D1" w:rsidP="002105D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58BD6908" w14:textId="4488B142" w:rsidR="002105D1" w:rsidRPr="002105D1" w:rsidRDefault="002105D1">
      <w:pPr>
        <w:rPr>
          <w:rFonts w:ascii="Arial" w:hAnsi="Arial" w:cs="Arial"/>
          <w:b/>
          <w:bCs/>
          <w:sz w:val="20"/>
          <w:szCs w:val="20"/>
        </w:rPr>
      </w:pPr>
      <w:r w:rsidRPr="002105D1">
        <w:rPr>
          <w:rFonts w:ascii="Arial" w:hAnsi="Arial" w:cs="Arial"/>
          <w:b/>
          <w:bCs/>
          <w:color w:val="000000"/>
          <w:sz w:val="20"/>
          <w:szCs w:val="20"/>
        </w:rPr>
        <w:t>Ajay Kumar</w:t>
      </w:r>
      <w:r w:rsidRPr="002105D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105D1">
        <w:rPr>
          <w:rFonts w:ascii="Arial" w:hAnsi="Arial" w:cs="Arial"/>
          <w:b/>
          <w:bCs/>
          <w:color w:val="000000"/>
          <w:sz w:val="20"/>
          <w:szCs w:val="20"/>
        </w:rPr>
        <w:t>Rajiv Gandhi University of Health Sciences</w:t>
      </w:r>
      <w:r w:rsidRPr="002105D1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105D1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2105D1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2105D1" w:rsidRPr="002105D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A4DD" w14:textId="77777777" w:rsidR="00ED59D5" w:rsidRPr="0000007A" w:rsidRDefault="00ED59D5" w:rsidP="0099583E">
      <w:r>
        <w:separator/>
      </w:r>
    </w:p>
  </w:endnote>
  <w:endnote w:type="continuationSeparator" w:id="0">
    <w:p w14:paraId="00830C62" w14:textId="77777777" w:rsidR="00ED59D5" w:rsidRPr="0000007A" w:rsidRDefault="00ED59D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64ADB" w14:textId="77777777" w:rsidR="00ED59D5" w:rsidRPr="0000007A" w:rsidRDefault="00ED59D5" w:rsidP="0099583E">
      <w:r>
        <w:separator/>
      </w:r>
    </w:p>
  </w:footnote>
  <w:footnote w:type="continuationSeparator" w:id="0">
    <w:p w14:paraId="7FA102CC" w14:textId="77777777" w:rsidR="00ED59D5" w:rsidRPr="0000007A" w:rsidRDefault="00ED59D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B40F5"/>
    <w:multiLevelType w:val="multilevel"/>
    <w:tmpl w:val="944E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45BCE"/>
    <w:multiLevelType w:val="multilevel"/>
    <w:tmpl w:val="7E12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6487F"/>
    <w:multiLevelType w:val="hybridMultilevel"/>
    <w:tmpl w:val="ECDA047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A5D4A6F"/>
    <w:multiLevelType w:val="multilevel"/>
    <w:tmpl w:val="788A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213E1"/>
    <w:multiLevelType w:val="multilevel"/>
    <w:tmpl w:val="B3E2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31585D"/>
    <w:multiLevelType w:val="multilevel"/>
    <w:tmpl w:val="530E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0157324">
    <w:abstractNumId w:val="5"/>
  </w:num>
  <w:num w:numId="2" w16cid:durableId="1688946955">
    <w:abstractNumId w:val="9"/>
  </w:num>
  <w:num w:numId="3" w16cid:durableId="690184601">
    <w:abstractNumId w:val="8"/>
  </w:num>
  <w:num w:numId="4" w16cid:durableId="433866003">
    <w:abstractNumId w:val="11"/>
  </w:num>
  <w:num w:numId="5" w16cid:durableId="653069319">
    <w:abstractNumId w:val="7"/>
  </w:num>
  <w:num w:numId="6" w16cid:durableId="333345045">
    <w:abstractNumId w:val="0"/>
  </w:num>
  <w:num w:numId="7" w16cid:durableId="1917394571">
    <w:abstractNumId w:val="3"/>
  </w:num>
  <w:num w:numId="8" w16cid:durableId="1637905172">
    <w:abstractNumId w:val="14"/>
  </w:num>
  <w:num w:numId="9" w16cid:durableId="442268608">
    <w:abstractNumId w:val="13"/>
  </w:num>
  <w:num w:numId="10" w16cid:durableId="244652661">
    <w:abstractNumId w:val="4"/>
  </w:num>
  <w:num w:numId="11" w16cid:durableId="2039812708">
    <w:abstractNumId w:val="2"/>
  </w:num>
  <w:num w:numId="12" w16cid:durableId="337584337">
    <w:abstractNumId w:val="1"/>
  </w:num>
  <w:num w:numId="13" w16cid:durableId="1385182670">
    <w:abstractNumId w:val="15"/>
  </w:num>
  <w:num w:numId="14" w16cid:durableId="440026642">
    <w:abstractNumId w:val="10"/>
  </w:num>
  <w:num w:numId="15" w16cid:durableId="926041156">
    <w:abstractNumId w:val="12"/>
  </w:num>
  <w:num w:numId="16" w16cid:durableId="468792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3A9C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2E0B"/>
    <w:rsid w:val="000A6F41"/>
    <w:rsid w:val="000B2539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E03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05CC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D1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E1F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022C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4A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6617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D57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919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79F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470ED"/>
    <w:rsid w:val="0085546D"/>
    <w:rsid w:val="0086369B"/>
    <w:rsid w:val="00867E37"/>
    <w:rsid w:val="0087201B"/>
    <w:rsid w:val="00877F10"/>
    <w:rsid w:val="00882091"/>
    <w:rsid w:val="00892DDA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34BE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43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56F3"/>
    <w:rsid w:val="00AA098C"/>
    <w:rsid w:val="00AA41B3"/>
    <w:rsid w:val="00AA49A2"/>
    <w:rsid w:val="00AA5338"/>
    <w:rsid w:val="00AB1ED6"/>
    <w:rsid w:val="00AB2E95"/>
    <w:rsid w:val="00AB397D"/>
    <w:rsid w:val="00AB638A"/>
    <w:rsid w:val="00AB65BF"/>
    <w:rsid w:val="00AB6E43"/>
    <w:rsid w:val="00AC1349"/>
    <w:rsid w:val="00AC2ED2"/>
    <w:rsid w:val="00AD6C51"/>
    <w:rsid w:val="00AE0E9B"/>
    <w:rsid w:val="00AE54CD"/>
    <w:rsid w:val="00AF3016"/>
    <w:rsid w:val="00B03A45"/>
    <w:rsid w:val="00B2236C"/>
    <w:rsid w:val="00B22FE6"/>
    <w:rsid w:val="00B24612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DA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B13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9D5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105D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ajpr/2026/v16i15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2026-02-16T12:52:00Z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