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A19D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A19D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A19D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A19D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9D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A19D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708685D" w:rsidR="0000007A" w:rsidRPr="003A19DF" w:rsidRDefault="000B253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A19DF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3A19D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A19D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9D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2B21E7D" w:rsidR="0000007A" w:rsidRPr="003A19D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3A19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A19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3A19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B2539" w:rsidRPr="003A19DF">
              <w:rPr>
                <w:rFonts w:ascii="Arial" w:hAnsi="Arial" w:cs="Arial"/>
                <w:b/>
                <w:sz w:val="20"/>
                <w:szCs w:val="20"/>
              </w:rPr>
              <w:t>7144</w:t>
            </w:r>
          </w:p>
        </w:tc>
      </w:tr>
      <w:tr w:rsidR="0000007A" w:rsidRPr="003A19D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A19D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9D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A377234" w:rsidR="0000007A" w:rsidRPr="003A19DF" w:rsidRDefault="000B253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A19DF">
              <w:rPr>
                <w:rFonts w:ascii="Arial" w:hAnsi="Arial" w:cs="Arial"/>
                <w:b/>
                <w:sz w:val="20"/>
                <w:szCs w:val="20"/>
              </w:rPr>
              <w:t>A Rare Presentation of Bone-Within-Bone Phenomenon: Case Report</w:t>
            </w:r>
          </w:p>
        </w:tc>
      </w:tr>
      <w:tr w:rsidR="00CF0BBB" w:rsidRPr="003A19D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A19D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9D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7757741" w:rsidR="00CF0BBB" w:rsidRPr="003A19DF" w:rsidRDefault="000B253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9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Book chapter</w:t>
            </w:r>
          </w:p>
        </w:tc>
      </w:tr>
    </w:tbl>
    <w:p w14:paraId="45F5983C" w14:textId="77777777" w:rsidR="00037D52" w:rsidRPr="003A19D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3A19D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A19D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A19D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A19D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A19D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A19D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A19D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508C906" w:rsidR="00E03C32" w:rsidRDefault="009234B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234B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Pediatric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9234B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9234B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760F55B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9234BE" w:rsidRPr="009234BE">
                    <w:t xml:space="preserve"> </w:t>
                  </w:r>
                  <w:hyperlink r:id="rId8" w:history="1">
                    <w:r w:rsidR="009234BE" w:rsidRPr="0084009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https://doi.org/10.9734/ajpr/2026/v16i1505</w:t>
                    </w:r>
                  </w:hyperlink>
                  <w:r w:rsidR="009234B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3A19D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A19D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A19D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A19D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A19D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19D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A19D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A19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A19D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A19D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A19D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19DF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3A19DF" w:rsidRDefault="00421DBF" w:rsidP="007C64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A19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A19DF">
              <w:rPr>
                <w:rFonts w:ascii="Arial" w:hAnsi="Arial" w:cs="Arial"/>
                <w:lang w:val="en-GB"/>
              </w:rPr>
              <w:t>Author’s Feedback</w:t>
            </w:r>
            <w:r w:rsidRPr="003A19D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A19D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A19D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A19D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9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A19D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8E7C119" w14:textId="77777777" w:rsidR="00B935DD" w:rsidRPr="003A19DF" w:rsidRDefault="0057172E" w:rsidP="00B935DD">
            <w:pPr>
              <w:pStyle w:val="ListParagraph"/>
              <w:numPr>
                <w:ilvl w:val="0"/>
                <w:numId w:val="15"/>
              </w:numPr>
              <w:tabs>
                <w:tab w:val="left" w:pos="933"/>
              </w:tabs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This manuscript highlights a rare and fatal pediatric disorder that is frequently underdiagnosed due to its nonspecific clinical presentation.</w:t>
            </w:r>
          </w:p>
          <w:p w14:paraId="2222E50A" w14:textId="77777777" w:rsidR="00B935DD" w:rsidRPr="003A19DF" w:rsidRDefault="0057172E" w:rsidP="00B935DD">
            <w:pPr>
              <w:pStyle w:val="ListParagraph"/>
              <w:numPr>
                <w:ilvl w:val="0"/>
                <w:numId w:val="15"/>
              </w:numPr>
              <w:tabs>
                <w:tab w:val="left" w:pos="933"/>
              </w:tabs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By emphasizing the pathognomonic “bone-within-bone” radiological sign, it reinforces the importance of basic imaging in raising early diagnostic suspicion, particularly in resource-limited settings.</w:t>
            </w:r>
          </w:p>
          <w:p w14:paraId="08FC6B34" w14:textId="77777777" w:rsidR="00B935DD" w:rsidRPr="003A19DF" w:rsidRDefault="0057172E" w:rsidP="00B935DD">
            <w:pPr>
              <w:pStyle w:val="ListParagraph"/>
              <w:numPr>
                <w:ilvl w:val="0"/>
                <w:numId w:val="15"/>
              </w:numPr>
              <w:tabs>
                <w:tab w:val="left" w:pos="933"/>
              </w:tabs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The case also illustrates the severe hematological and infectious consequences of marrow failure, underscoring the need for early referral and genetic evaluation.</w:t>
            </w:r>
          </w:p>
          <w:p w14:paraId="7DBC9196" w14:textId="7A898691" w:rsidR="0057172E" w:rsidRPr="003A19DF" w:rsidRDefault="0057172E" w:rsidP="00B935DD">
            <w:pPr>
              <w:pStyle w:val="ListParagraph"/>
              <w:numPr>
                <w:ilvl w:val="0"/>
                <w:numId w:val="15"/>
              </w:numPr>
              <w:tabs>
                <w:tab w:val="left" w:pos="933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Overall, the report contributes to improved clinical awareness and timely recognition of malignant infantile osteopetrosis.</w:t>
            </w:r>
          </w:p>
        </w:tc>
        <w:tc>
          <w:tcPr>
            <w:tcW w:w="1523" w:type="pct"/>
          </w:tcPr>
          <w:p w14:paraId="462A339C" w14:textId="77777777" w:rsidR="00F1171E" w:rsidRPr="003A19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19D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A19D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9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A19D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9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A19D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BCC0649" w14:textId="77777777" w:rsidR="00B935DD" w:rsidRPr="003A19DF" w:rsidRDefault="0057172E" w:rsidP="0057172E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3A19DF">
              <w:rPr>
                <w:rFonts w:ascii="Arial" w:hAnsi="Arial" w:cs="Arial"/>
                <w:sz w:val="20"/>
                <w:szCs w:val="20"/>
                <w:lang w:val="en-IN"/>
              </w:rPr>
              <w:t>The title is generally suitable and reflects the rarity and key radiological feature of the case.</w:t>
            </w:r>
          </w:p>
          <w:p w14:paraId="68D4F03D" w14:textId="1655FCB2" w:rsidR="0057172E" w:rsidRPr="003A19DF" w:rsidRDefault="0057172E" w:rsidP="0057172E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3A19DF">
              <w:rPr>
                <w:rFonts w:ascii="Arial" w:hAnsi="Arial" w:cs="Arial"/>
                <w:sz w:val="20"/>
                <w:szCs w:val="20"/>
                <w:lang w:val="en-IN"/>
              </w:rPr>
              <w:t>However, it can be strengthened by explicitly mentioning the underlying diagnosis to improve clarity and scientific precision.</w:t>
            </w:r>
          </w:p>
          <w:p w14:paraId="4C113737" w14:textId="77777777" w:rsidR="0057172E" w:rsidRPr="003A19DF" w:rsidRDefault="0057172E" w:rsidP="0057172E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3A19DF">
              <w:rPr>
                <w:rFonts w:ascii="Arial" w:hAnsi="Arial" w:cs="Arial"/>
                <w:sz w:val="20"/>
                <w:szCs w:val="20"/>
                <w:lang w:val="en-IN"/>
              </w:rPr>
              <w:t>Suggested alternative titles:</w:t>
            </w:r>
          </w:p>
          <w:p w14:paraId="4B8017C4" w14:textId="77777777" w:rsidR="0057172E" w:rsidRPr="003A19DF" w:rsidRDefault="0057172E" w:rsidP="0057172E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3A19DF">
              <w:rPr>
                <w:rFonts w:ascii="Arial" w:hAnsi="Arial" w:cs="Arial"/>
                <w:i/>
                <w:iCs/>
                <w:sz w:val="20"/>
                <w:szCs w:val="20"/>
                <w:lang w:val="en-IN"/>
              </w:rPr>
              <w:t>Malignant Infantile Osteopetrosis Presenting with a Bone-Within-Bone Phenomenon: A Case Report</w:t>
            </w:r>
          </w:p>
          <w:p w14:paraId="794AA9A7" w14:textId="67EE6E4F" w:rsidR="00F1171E" w:rsidRPr="003A19DF" w:rsidRDefault="0057172E" w:rsidP="0057172E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3A19DF">
              <w:rPr>
                <w:rFonts w:ascii="Arial" w:hAnsi="Arial" w:cs="Arial"/>
                <w:i/>
                <w:iCs/>
                <w:sz w:val="20"/>
                <w:szCs w:val="20"/>
                <w:lang w:val="en-IN"/>
              </w:rPr>
              <w:t xml:space="preserve">Bone-Within-Bone Appearance in Malignant Infantile Osteopetrosis: A Rare </w:t>
            </w:r>
            <w:proofErr w:type="spellStart"/>
            <w:r w:rsidRPr="003A19DF">
              <w:rPr>
                <w:rFonts w:ascii="Arial" w:hAnsi="Arial" w:cs="Arial"/>
                <w:i/>
                <w:iCs/>
                <w:sz w:val="20"/>
                <w:szCs w:val="20"/>
                <w:lang w:val="en-IN"/>
              </w:rPr>
              <w:t>Pediatric</w:t>
            </w:r>
            <w:proofErr w:type="spellEnd"/>
            <w:r w:rsidRPr="003A19DF">
              <w:rPr>
                <w:rFonts w:ascii="Arial" w:hAnsi="Arial" w:cs="Arial"/>
                <w:i/>
                <w:iCs/>
                <w:sz w:val="20"/>
                <w:szCs w:val="20"/>
                <w:lang w:val="en-IN"/>
              </w:rPr>
              <w:t xml:space="preserve"> Case</w:t>
            </w:r>
          </w:p>
        </w:tc>
        <w:tc>
          <w:tcPr>
            <w:tcW w:w="1523" w:type="pct"/>
          </w:tcPr>
          <w:p w14:paraId="405B6701" w14:textId="77777777" w:rsidR="00F1171E" w:rsidRPr="003A19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19D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A19D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A19D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A19D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25D2EF0" w14:textId="77777777" w:rsidR="00B935DD" w:rsidRPr="003A19DF" w:rsidRDefault="0057172E" w:rsidP="0057172E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3A19DF">
              <w:rPr>
                <w:rFonts w:ascii="Arial" w:hAnsi="Arial" w:cs="Arial"/>
                <w:sz w:val="20"/>
                <w:szCs w:val="20"/>
                <w:lang w:val="en-IN"/>
              </w:rPr>
              <w:t>The abstract is largely comprehensive and appropriately summarizes the background, clinical presentation, imaging findings, and outcome.</w:t>
            </w:r>
          </w:p>
          <w:p w14:paraId="0105F383" w14:textId="4F21E50E" w:rsidR="0057172E" w:rsidRPr="003A19DF" w:rsidRDefault="0057172E" w:rsidP="0057172E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3A19DF">
              <w:rPr>
                <w:rFonts w:ascii="Arial" w:hAnsi="Arial" w:cs="Arial"/>
                <w:sz w:val="20"/>
                <w:szCs w:val="20"/>
                <w:lang w:val="en-IN"/>
              </w:rPr>
              <w:t>However, it would benefit from minor refinement.</w:t>
            </w:r>
          </w:p>
          <w:p w14:paraId="5C5BA235" w14:textId="77777777" w:rsidR="0057172E" w:rsidRPr="003A19DF" w:rsidRDefault="0057172E" w:rsidP="0057172E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3A19DF">
              <w:rPr>
                <w:rFonts w:ascii="Arial" w:hAnsi="Arial" w:cs="Arial"/>
                <w:sz w:val="20"/>
                <w:szCs w:val="20"/>
                <w:lang w:val="en-IN"/>
              </w:rPr>
              <w:t>Suggestions:</w:t>
            </w:r>
          </w:p>
          <w:p w14:paraId="426ABF3F" w14:textId="77777777" w:rsidR="0057172E" w:rsidRPr="003A19DF" w:rsidRDefault="0057172E" w:rsidP="0057172E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3A19DF">
              <w:rPr>
                <w:rFonts w:ascii="Arial" w:hAnsi="Arial" w:cs="Arial"/>
                <w:sz w:val="20"/>
                <w:szCs w:val="20"/>
                <w:lang w:val="en-IN"/>
              </w:rPr>
              <w:t>Condense excessive clinical details to improve readability and flow.</w:t>
            </w:r>
          </w:p>
          <w:p w14:paraId="143799B9" w14:textId="77777777" w:rsidR="0057172E" w:rsidRPr="003A19DF" w:rsidRDefault="0057172E" w:rsidP="0057172E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3A19DF">
              <w:rPr>
                <w:rFonts w:ascii="Arial" w:hAnsi="Arial" w:cs="Arial"/>
                <w:sz w:val="20"/>
                <w:szCs w:val="20"/>
                <w:lang w:val="en-IN"/>
              </w:rPr>
              <w:t>Highlight the radiological finding as the central diagnostic clue more clearly.</w:t>
            </w:r>
          </w:p>
          <w:p w14:paraId="34110CC6" w14:textId="77777777" w:rsidR="0057172E" w:rsidRPr="003A19DF" w:rsidRDefault="0057172E" w:rsidP="0057172E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3A19DF">
              <w:rPr>
                <w:rFonts w:ascii="Arial" w:hAnsi="Arial" w:cs="Arial"/>
                <w:sz w:val="20"/>
                <w:szCs w:val="20"/>
                <w:lang w:val="en-IN"/>
              </w:rPr>
              <w:t xml:space="preserve">Clearly state that the association with </w:t>
            </w:r>
            <w:proofErr w:type="spellStart"/>
            <w:r w:rsidRPr="003A19DF">
              <w:rPr>
                <w:rFonts w:ascii="Arial" w:hAnsi="Arial" w:cs="Arial"/>
                <w:sz w:val="20"/>
                <w:szCs w:val="20"/>
                <w:lang w:val="en-IN"/>
              </w:rPr>
              <w:t>hematological</w:t>
            </w:r>
            <w:proofErr w:type="spellEnd"/>
            <w:r w:rsidRPr="003A19DF">
              <w:rPr>
                <w:rFonts w:ascii="Arial" w:hAnsi="Arial" w:cs="Arial"/>
                <w:sz w:val="20"/>
                <w:szCs w:val="20"/>
                <w:lang w:val="en-IN"/>
              </w:rPr>
              <w:t xml:space="preserve"> malignancy is suspected and not confirmed.</w:t>
            </w:r>
          </w:p>
          <w:p w14:paraId="0FB7E83A" w14:textId="624DD2D4" w:rsidR="00F1171E" w:rsidRPr="003A19DF" w:rsidRDefault="0057172E" w:rsidP="0057172E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3A19DF">
              <w:rPr>
                <w:rFonts w:ascii="Arial" w:hAnsi="Arial" w:cs="Arial"/>
                <w:sz w:val="20"/>
                <w:szCs w:val="20"/>
                <w:lang w:val="en-IN"/>
              </w:rPr>
              <w:t>Add a brief concluding line emphasizing early diagnosis and genetic counseling.</w:t>
            </w:r>
          </w:p>
        </w:tc>
        <w:tc>
          <w:tcPr>
            <w:tcW w:w="1523" w:type="pct"/>
          </w:tcPr>
          <w:p w14:paraId="1D54B730" w14:textId="77777777" w:rsidR="00F1171E" w:rsidRPr="003A19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19D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A19D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A19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339250A" w14:textId="77777777" w:rsidR="00B935DD" w:rsidRPr="003A19DF" w:rsidRDefault="0057172E" w:rsidP="00B935D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The manuscript is scientifically sound and consistent with current knowledge regarding the pathophysiology, clinical course, and prognosis of malignant infantile osteopetrosis.</w:t>
            </w:r>
          </w:p>
          <w:p w14:paraId="27277119" w14:textId="77777777" w:rsidR="00B935DD" w:rsidRPr="003A19DF" w:rsidRDefault="0057172E" w:rsidP="00B935D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The clinical reasoning is appropriate, and conclusions are generally supported by the presented findings.</w:t>
            </w:r>
          </w:p>
          <w:p w14:paraId="2B5A7721" w14:textId="7EC6AEA8" w:rsidR="00F1171E" w:rsidRPr="003A19DF" w:rsidRDefault="0057172E" w:rsidP="00B935D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However, statements regarding lymphoma association should remain speculative, as confirmatory diagnostic procedures could not be performed.</w:t>
            </w:r>
          </w:p>
        </w:tc>
        <w:tc>
          <w:tcPr>
            <w:tcW w:w="1523" w:type="pct"/>
          </w:tcPr>
          <w:p w14:paraId="4898F764" w14:textId="77777777" w:rsidR="00F1171E" w:rsidRPr="003A19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19D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A19D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9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A19D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A19D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037AB05" w14:textId="77777777" w:rsidR="00B935DD" w:rsidRPr="003A19DF" w:rsidRDefault="0057172E" w:rsidP="00B935D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The references are appropriate, relevant, and largely recent, with inclusion of consensus guidelines and contemporary reviews.</w:t>
            </w:r>
          </w:p>
          <w:p w14:paraId="00C0CC1D" w14:textId="77777777" w:rsidR="00B935DD" w:rsidRPr="003A19DF" w:rsidRDefault="0057172E" w:rsidP="00B935D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They adequately support the discussion and conclusions.</w:t>
            </w:r>
          </w:p>
          <w:p w14:paraId="24FE0567" w14:textId="7F63333F" w:rsidR="00F1171E" w:rsidRPr="003A19DF" w:rsidRDefault="0057172E" w:rsidP="00B935D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No mandatory additional references are required, though minor streamlining to avoid conceptual repetition could be considered.</w:t>
            </w:r>
          </w:p>
        </w:tc>
        <w:tc>
          <w:tcPr>
            <w:tcW w:w="1523" w:type="pct"/>
          </w:tcPr>
          <w:p w14:paraId="40220055" w14:textId="77777777" w:rsidR="00F1171E" w:rsidRPr="003A19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19D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A19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A19D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A19D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A19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70E1EBA" w14:textId="77777777" w:rsidR="00B935DD" w:rsidRPr="003A19DF" w:rsidRDefault="0057172E" w:rsidP="00B935D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The language and English quality require improvement.</w:t>
            </w:r>
          </w:p>
          <w:p w14:paraId="43C5DF5E" w14:textId="77777777" w:rsidR="00B935DD" w:rsidRPr="003A19DF" w:rsidRDefault="0057172E" w:rsidP="00B935D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The manuscript contains grammatical errors, spacing issues, and occasional repetition that may affect clarity.</w:t>
            </w:r>
          </w:p>
          <w:p w14:paraId="149A6CEF" w14:textId="2D9EE50D" w:rsidR="00F1171E" w:rsidRPr="003A19DF" w:rsidRDefault="0057172E" w:rsidP="00B935D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Professional language editing is recommended to ensure suitability for scholarly communication.</w:t>
            </w:r>
          </w:p>
        </w:tc>
        <w:tc>
          <w:tcPr>
            <w:tcW w:w="1523" w:type="pct"/>
          </w:tcPr>
          <w:p w14:paraId="0351CA58" w14:textId="77777777" w:rsidR="00F1171E" w:rsidRPr="003A19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A19D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A19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A19D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A19D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A19D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A19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23519CA" w14:textId="77777777" w:rsidR="00B935DD" w:rsidRPr="003A19DF" w:rsidRDefault="0057172E" w:rsidP="00B935D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This is a clinically relevant and educational case report that addresses a rare but fatal pediatric condition with characteristic radiological findings.</w:t>
            </w:r>
          </w:p>
          <w:p w14:paraId="4E81923D" w14:textId="77777777" w:rsidR="00B935DD" w:rsidRPr="003A19DF" w:rsidRDefault="0057172E" w:rsidP="00B935D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The manuscript would benefit from improved language clarity, better structural organization of the case presentation, and cautious interpretation of speculative associations.</w:t>
            </w:r>
          </w:p>
          <w:p w14:paraId="6BA145C9" w14:textId="77777777" w:rsidR="00B935DD" w:rsidRPr="003A19DF" w:rsidRDefault="0057172E" w:rsidP="00B935D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Strengthening the radiological description and clearly distinguishing confirmed findings from suspected diagnoses will enhance scientific rigor.</w:t>
            </w:r>
          </w:p>
          <w:p w14:paraId="5BF6B6AF" w14:textId="77777777" w:rsidR="00F1171E" w:rsidRPr="003A19DF" w:rsidRDefault="0057172E" w:rsidP="00B935D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With these revisions, the manuscript has the potential to make a meaningful contribution to the literature.</w:t>
            </w:r>
          </w:p>
          <w:p w14:paraId="3A4C3E00" w14:textId="77777777" w:rsidR="00FB0FD8" w:rsidRPr="003A19DF" w:rsidRDefault="00FB0FD8" w:rsidP="00FB0F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E41EF1" w14:textId="77777777" w:rsidR="00FB0FD8" w:rsidRPr="003A19DF" w:rsidRDefault="00FB0FD8" w:rsidP="00FB0F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9A3170" w14:textId="440648FB" w:rsidR="00FB0FD8" w:rsidRPr="003A19DF" w:rsidRDefault="00FB0FD8" w:rsidP="00FB0FD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9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(Major Revision)</w:t>
            </w:r>
          </w:p>
          <w:p w14:paraId="5E677E36" w14:textId="77777777" w:rsidR="00FB0FD8" w:rsidRPr="003A19DF" w:rsidRDefault="00FB0FD8" w:rsidP="00FB0FD8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The manuscript presents a clinically important and rare case with appropriate scientific background and relevant imaging findings.</w:t>
            </w:r>
          </w:p>
          <w:p w14:paraId="4361C65E" w14:textId="402A913C" w:rsidR="00FB0FD8" w:rsidRPr="003A19DF" w:rsidRDefault="00FB0FD8" w:rsidP="00FB0FD8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However, significant improvements are required in language quality, structural organization, and cautious interpretation of unconfirmed associations, particularly regarding hematological malignancy.</w:t>
            </w:r>
          </w:p>
          <w:p w14:paraId="15DFD0E8" w14:textId="1903DB71" w:rsidR="00FB0FD8" w:rsidRPr="003A19DF" w:rsidRDefault="00FB0FD8" w:rsidP="00FB0FD8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With focused revision and language editing, the manuscript has good potential for publication.</w:t>
            </w:r>
          </w:p>
        </w:tc>
        <w:tc>
          <w:tcPr>
            <w:tcW w:w="1523" w:type="pct"/>
          </w:tcPr>
          <w:p w14:paraId="465E098E" w14:textId="77777777" w:rsidR="00F1171E" w:rsidRPr="003A19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A19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A19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A19D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A19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A19D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A19D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A19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A19D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A19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A19D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19D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A19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A19DF">
              <w:rPr>
                <w:rFonts w:ascii="Arial" w:hAnsi="Arial" w:cs="Arial"/>
                <w:lang w:val="en-GB"/>
              </w:rPr>
              <w:t>Author’s comment</w:t>
            </w:r>
            <w:r w:rsidRPr="003A19D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A19D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A19D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A19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19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A19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4B212" w14:textId="77777777" w:rsidR="00B935DD" w:rsidRPr="003A19DF" w:rsidRDefault="0057172E" w:rsidP="00B935DD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No major ethical concerns are evident in this manuscript.</w:t>
            </w:r>
          </w:p>
          <w:p w14:paraId="67168657" w14:textId="77777777" w:rsidR="00B935DD" w:rsidRPr="003A19DF" w:rsidRDefault="0057172E" w:rsidP="00B935DD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The case report appears to maintain patient confidentiality, with no identifiable personal information disclosed.</w:t>
            </w:r>
          </w:p>
          <w:p w14:paraId="6F2357E6" w14:textId="77777777" w:rsidR="00B935DD" w:rsidRPr="003A19DF" w:rsidRDefault="0057172E" w:rsidP="00B935DD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The clinical details and images are presented for academic purposes only.</w:t>
            </w:r>
          </w:p>
          <w:p w14:paraId="7B654B67" w14:textId="58026681" w:rsidR="00F1171E" w:rsidRPr="003A19DF" w:rsidRDefault="0057172E" w:rsidP="00B935DD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A19DF">
              <w:rPr>
                <w:rFonts w:ascii="Arial" w:hAnsi="Arial" w:cs="Arial"/>
                <w:sz w:val="20"/>
                <w:szCs w:val="20"/>
              </w:rPr>
              <w:t>However, it would be appropriate for the authors to explicitly mention that informed consent was obtained from the parents or legal guardians, or to state approval/exemption from an institutional ethics committee, as per journal policy.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3A19D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A19D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A19D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A19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3A19DF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55D7825" w14:textId="77777777" w:rsidR="003A19DF" w:rsidRPr="003A19DF" w:rsidRDefault="003A19DF" w:rsidP="003A19D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6DD6E42D" w14:textId="77777777" w:rsidR="003A19DF" w:rsidRPr="003A19DF" w:rsidRDefault="003A19DF" w:rsidP="003A19D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A19DF">
        <w:rPr>
          <w:rFonts w:ascii="Arial" w:hAnsi="Arial" w:cs="Arial"/>
          <w:b/>
          <w:u w:val="single"/>
        </w:rPr>
        <w:t>Reviewer details:</w:t>
      </w:r>
    </w:p>
    <w:p w14:paraId="395823AD" w14:textId="77777777" w:rsidR="003A19DF" w:rsidRPr="003A19DF" w:rsidRDefault="003A19DF">
      <w:pPr>
        <w:rPr>
          <w:rFonts w:ascii="Arial" w:hAnsi="Arial" w:cs="Arial"/>
          <w:b/>
          <w:sz w:val="20"/>
          <w:szCs w:val="20"/>
          <w:lang w:val="en-GB"/>
        </w:rPr>
      </w:pPr>
    </w:p>
    <w:p w14:paraId="238C41B6" w14:textId="7FC64D1D" w:rsidR="003A19DF" w:rsidRPr="003A19DF" w:rsidRDefault="003A19DF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3A19DF">
        <w:rPr>
          <w:rFonts w:ascii="Arial" w:hAnsi="Arial" w:cs="Arial"/>
          <w:b/>
          <w:bCs/>
          <w:color w:val="000000"/>
          <w:sz w:val="20"/>
          <w:szCs w:val="20"/>
        </w:rPr>
        <w:t>Ankit Kumar</w:t>
      </w:r>
      <w:r w:rsidRPr="003A19DF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3A19DF">
        <w:rPr>
          <w:rFonts w:ascii="Arial" w:hAnsi="Arial" w:cs="Arial"/>
          <w:b/>
          <w:bCs/>
          <w:color w:val="000000"/>
          <w:sz w:val="20"/>
          <w:szCs w:val="20"/>
        </w:rPr>
        <w:t>National College of Ayurveda &amp; Hospital</w:t>
      </w:r>
      <w:r w:rsidRPr="003A19DF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3A19DF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sectPr w:rsidR="003A19DF" w:rsidRPr="003A19DF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4EEB6" w14:textId="77777777" w:rsidR="0060619E" w:rsidRPr="0000007A" w:rsidRDefault="0060619E" w:rsidP="0099583E">
      <w:r>
        <w:separator/>
      </w:r>
    </w:p>
  </w:endnote>
  <w:endnote w:type="continuationSeparator" w:id="0">
    <w:p w14:paraId="23A101E8" w14:textId="77777777" w:rsidR="0060619E" w:rsidRPr="0000007A" w:rsidRDefault="0060619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5FB46" w14:textId="77777777" w:rsidR="0060619E" w:rsidRPr="0000007A" w:rsidRDefault="0060619E" w:rsidP="0099583E">
      <w:r>
        <w:separator/>
      </w:r>
    </w:p>
  </w:footnote>
  <w:footnote w:type="continuationSeparator" w:id="0">
    <w:p w14:paraId="7487381A" w14:textId="77777777" w:rsidR="0060619E" w:rsidRPr="0000007A" w:rsidRDefault="0060619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7704B"/>
    <w:multiLevelType w:val="hybridMultilevel"/>
    <w:tmpl w:val="9A9CEF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12A26"/>
    <w:multiLevelType w:val="multilevel"/>
    <w:tmpl w:val="4E7A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42905"/>
    <w:multiLevelType w:val="multilevel"/>
    <w:tmpl w:val="9ECE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8C0CDE"/>
    <w:multiLevelType w:val="hybridMultilevel"/>
    <w:tmpl w:val="B2A87D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D2DF4"/>
    <w:multiLevelType w:val="hybridMultilevel"/>
    <w:tmpl w:val="5B88D2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13629"/>
    <w:multiLevelType w:val="multilevel"/>
    <w:tmpl w:val="E5F4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C173C6"/>
    <w:multiLevelType w:val="multilevel"/>
    <w:tmpl w:val="A354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37295E"/>
    <w:multiLevelType w:val="hybridMultilevel"/>
    <w:tmpl w:val="49B880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37C9514D"/>
    <w:multiLevelType w:val="hybridMultilevel"/>
    <w:tmpl w:val="9C8041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D3493"/>
    <w:multiLevelType w:val="hybridMultilevel"/>
    <w:tmpl w:val="3910A9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0351B"/>
    <w:multiLevelType w:val="hybridMultilevel"/>
    <w:tmpl w:val="3692D9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5675E"/>
    <w:multiLevelType w:val="hybridMultilevel"/>
    <w:tmpl w:val="AF4C641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30612D"/>
    <w:multiLevelType w:val="hybridMultilevel"/>
    <w:tmpl w:val="49B880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F01DCC"/>
    <w:multiLevelType w:val="hybridMultilevel"/>
    <w:tmpl w:val="A02AED5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0592658">
    <w:abstractNumId w:val="7"/>
  </w:num>
  <w:num w:numId="2" w16cid:durableId="519204644">
    <w:abstractNumId w:val="14"/>
  </w:num>
  <w:num w:numId="3" w16cid:durableId="875199621">
    <w:abstractNumId w:val="13"/>
  </w:num>
  <w:num w:numId="4" w16cid:durableId="469370381">
    <w:abstractNumId w:val="16"/>
  </w:num>
  <w:num w:numId="5" w16cid:durableId="1491673297">
    <w:abstractNumId w:val="11"/>
  </w:num>
  <w:num w:numId="6" w16cid:durableId="135223738">
    <w:abstractNumId w:val="0"/>
  </w:num>
  <w:num w:numId="7" w16cid:durableId="1640257146">
    <w:abstractNumId w:val="5"/>
  </w:num>
  <w:num w:numId="8" w16cid:durableId="1099763873">
    <w:abstractNumId w:val="22"/>
  </w:num>
  <w:num w:numId="9" w16cid:durableId="1595360844">
    <w:abstractNumId w:val="21"/>
  </w:num>
  <w:num w:numId="10" w16cid:durableId="66458728">
    <w:abstractNumId w:val="6"/>
  </w:num>
  <w:num w:numId="11" w16cid:durableId="572159320">
    <w:abstractNumId w:val="10"/>
  </w:num>
  <w:num w:numId="12" w16cid:durableId="1100955581">
    <w:abstractNumId w:val="3"/>
  </w:num>
  <w:num w:numId="13" w16cid:durableId="1639190702">
    <w:abstractNumId w:val="9"/>
  </w:num>
  <w:num w:numId="14" w16cid:durableId="1740253693">
    <w:abstractNumId w:val="2"/>
  </w:num>
  <w:num w:numId="15" w16cid:durableId="719211479">
    <w:abstractNumId w:val="23"/>
  </w:num>
  <w:num w:numId="16" w16cid:durableId="2036035046">
    <w:abstractNumId w:val="19"/>
  </w:num>
  <w:num w:numId="17" w16cid:durableId="302588280">
    <w:abstractNumId w:val="20"/>
  </w:num>
  <w:num w:numId="18" w16cid:durableId="1656370341">
    <w:abstractNumId w:val="12"/>
  </w:num>
  <w:num w:numId="19" w16cid:durableId="634875009">
    <w:abstractNumId w:val="8"/>
  </w:num>
  <w:num w:numId="20" w16cid:durableId="1430271776">
    <w:abstractNumId w:val="4"/>
  </w:num>
  <w:num w:numId="21" w16cid:durableId="518665566">
    <w:abstractNumId w:val="17"/>
  </w:num>
  <w:num w:numId="22" w16cid:durableId="1034118432">
    <w:abstractNumId w:val="15"/>
  </w:num>
  <w:num w:numId="23" w16cid:durableId="740563592">
    <w:abstractNumId w:val="1"/>
  </w:num>
  <w:num w:numId="24" w16cid:durableId="5298795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2539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05CC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060B"/>
    <w:rsid w:val="003A19DF"/>
    <w:rsid w:val="003A1C45"/>
    <w:rsid w:val="003A4991"/>
    <w:rsid w:val="003A6E1A"/>
    <w:rsid w:val="003B1D0B"/>
    <w:rsid w:val="003B2172"/>
    <w:rsid w:val="003D1BDE"/>
    <w:rsid w:val="003E746A"/>
    <w:rsid w:val="003F5783"/>
    <w:rsid w:val="00401C12"/>
    <w:rsid w:val="00415F8D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2B04"/>
    <w:rsid w:val="00533FC1"/>
    <w:rsid w:val="005354AB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172E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19E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4499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479F"/>
    <w:rsid w:val="00766889"/>
    <w:rsid w:val="00766A0D"/>
    <w:rsid w:val="00767F8C"/>
    <w:rsid w:val="00780B67"/>
    <w:rsid w:val="00781D07"/>
    <w:rsid w:val="007A62F8"/>
    <w:rsid w:val="007B1099"/>
    <w:rsid w:val="007B54A4"/>
    <w:rsid w:val="007C6450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34BE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25EF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47AE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35DD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745B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DF6"/>
    <w:rsid w:val="00F57E9D"/>
    <w:rsid w:val="00F73CF2"/>
    <w:rsid w:val="00F80C14"/>
    <w:rsid w:val="00F96F54"/>
    <w:rsid w:val="00F978B8"/>
    <w:rsid w:val="00FA6528"/>
    <w:rsid w:val="00FB0D50"/>
    <w:rsid w:val="00FB0FD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7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72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3A19D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ajpr/2026/v16i15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2026-02-16T12:52:00Z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