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B0D99" w14:paraId="065F476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2A74719" w14:textId="77777777" w:rsidR="00602F7D" w:rsidRPr="004B0D9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B0D99" w14:paraId="7F0B31F4" w14:textId="77777777" w:rsidTr="00F33C84">
        <w:trPr>
          <w:trHeight w:val="413"/>
        </w:trPr>
        <w:tc>
          <w:tcPr>
            <w:tcW w:w="1234" w:type="pct"/>
          </w:tcPr>
          <w:p w14:paraId="1041F7AF" w14:textId="77777777" w:rsidR="0000007A" w:rsidRPr="004B0D9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A4D4" w14:textId="77777777" w:rsidR="0000007A" w:rsidRPr="004B0D99" w:rsidRDefault="000F1B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B0D9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4B0D99" w14:paraId="18134F43" w14:textId="77777777" w:rsidTr="002E7787">
        <w:trPr>
          <w:trHeight w:val="290"/>
        </w:trPr>
        <w:tc>
          <w:tcPr>
            <w:tcW w:w="1234" w:type="pct"/>
          </w:tcPr>
          <w:p w14:paraId="6B884EC8" w14:textId="77777777" w:rsidR="0000007A" w:rsidRPr="004B0D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33348" w14:textId="77777777" w:rsidR="0000007A" w:rsidRPr="004B0D9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8469E"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7216</w:t>
            </w:r>
          </w:p>
        </w:tc>
      </w:tr>
      <w:tr w:rsidR="0000007A" w:rsidRPr="004B0D99" w14:paraId="6898ECB8" w14:textId="77777777" w:rsidTr="002109D6">
        <w:trPr>
          <w:trHeight w:val="331"/>
        </w:trPr>
        <w:tc>
          <w:tcPr>
            <w:tcW w:w="1234" w:type="pct"/>
          </w:tcPr>
          <w:p w14:paraId="37D48BB7" w14:textId="77777777" w:rsidR="0000007A" w:rsidRPr="004B0D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C52B" w14:textId="77777777" w:rsidR="0000007A" w:rsidRPr="004B0D99" w:rsidRDefault="00F0669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B0D99">
              <w:rPr>
                <w:rFonts w:ascii="Arial" w:hAnsi="Arial" w:cs="Arial"/>
                <w:b/>
                <w:sz w:val="20"/>
                <w:szCs w:val="20"/>
                <w:lang w:val="en-GB"/>
              </w:rPr>
              <w:t>An Integrative Review of Vulvar and Perineal Dermatoses by Life Stage</w:t>
            </w:r>
          </w:p>
        </w:tc>
      </w:tr>
      <w:tr w:rsidR="00CF0BBB" w:rsidRPr="004B0D99" w14:paraId="5657B5E7" w14:textId="77777777" w:rsidTr="002E7787">
        <w:trPr>
          <w:trHeight w:val="332"/>
        </w:trPr>
        <w:tc>
          <w:tcPr>
            <w:tcW w:w="1234" w:type="pct"/>
          </w:tcPr>
          <w:p w14:paraId="4DBE307A" w14:textId="77777777" w:rsidR="00CF0BBB" w:rsidRPr="004B0D9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85CD" w14:textId="77777777" w:rsidR="00CF0BBB" w:rsidRPr="004B0D99" w:rsidRDefault="00C435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DEA541A" w14:textId="77777777" w:rsidR="00037D52" w:rsidRPr="004B0D9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A96CF2" w14:textId="77777777" w:rsidR="00605952" w:rsidRPr="004B0D9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C5515C" w14:textId="77777777" w:rsidR="00D9392F" w:rsidRPr="004B0D99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BCF2145" w14:textId="77777777" w:rsidR="00626025" w:rsidRPr="004B0D9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43C2ECE" w14:textId="77777777" w:rsidR="0086369B" w:rsidRPr="004B0D9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3DC6D68" w14:textId="77777777" w:rsidR="00626025" w:rsidRPr="004B0D9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B0D9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A5DD6B8" w14:textId="77777777" w:rsidR="007B54A4" w:rsidRPr="004B0D9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D032391" w14:textId="77777777" w:rsidR="007B54A4" w:rsidRPr="004B0D9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B0D9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C783988" w14:textId="77777777" w:rsidR="00640538" w:rsidRPr="004B0D9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B0D9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E7E8285">
          <v:rect id="_x0000_s2050" style="position:absolute;left:0;text-align:left;margin-left:-9.6pt;margin-top:14.25pt;width:1071.35pt;height:124.75pt;z-index:251658240">
            <v:textbox>
              <w:txbxContent>
                <w:p w14:paraId="3E5D696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0A24BF9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D494CF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01ACB2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EF0FAE0" w14:textId="77777777" w:rsidR="00E03C32" w:rsidRDefault="005917D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17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Advanced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865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8865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886541" w:rsidRPr="008865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196-215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04A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DD53D70" w14:textId="77777777" w:rsidR="00E03C32" w:rsidRPr="007B54A4" w:rsidRDefault="0006591A" w:rsidP="0006591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659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659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ajarr</w:t>
                  </w:r>
                  <w:proofErr w:type="spellEnd"/>
                  <w:r w:rsidRPr="000659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/2026/v20i21287</w:t>
                  </w:r>
                </w:p>
              </w:txbxContent>
            </v:textbox>
          </v:rect>
        </w:pict>
      </w:r>
    </w:p>
    <w:p w14:paraId="6B43F7A9" w14:textId="77777777" w:rsidR="00D9392F" w:rsidRPr="004B0D9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B0D9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98105C2" w14:textId="77777777" w:rsidR="00D27A79" w:rsidRPr="004B0D9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B0D99" w14:paraId="164E7E8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C6A497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0D9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B0D9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0A508C7" w14:textId="77777777" w:rsidR="00F1171E" w:rsidRPr="004B0D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0D99" w14:paraId="16F4CB6E" w14:textId="77777777" w:rsidTr="007222C8">
        <w:tc>
          <w:tcPr>
            <w:tcW w:w="1265" w:type="pct"/>
            <w:noWrap/>
          </w:tcPr>
          <w:p w14:paraId="5C59D345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D0AD50E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0D99">
              <w:rPr>
                <w:rFonts w:ascii="Arial" w:hAnsi="Arial" w:cs="Arial"/>
                <w:lang w:val="en-GB"/>
              </w:rPr>
              <w:t>Reviewer’s comment</w:t>
            </w:r>
          </w:p>
          <w:p w14:paraId="239C75DF" w14:textId="77777777" w:rsidR="00421DBF" w:rsidRPr="004B0D99" w:rsidRDefault="00421DBF" w:rsidP="002A4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462A22F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B0D9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4B0D99">
              <w:rPr>
                <w:rFonts w:ascii="Arial" w:hAnsi="Arial" w:cs="Arial"/>
                <w:lang w:val="en-GB"/>
              </w:rPr>
              <w:t>Feedback</w:t>
            </w:r>
            <w:r w:rsidRPr="004B0D9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4B0D9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4B0D99" w14:paraId="41E910F5" w14:textId="77777777" w:rsidTr="007222C8">
        <w:trPr>
          <w:trHeight w:val="1264"/>
        </w:trPr>
        <w:tc>
          <w:tcPr>
            <w:tcW w:w="1265" w:type="pct"/>
            <w:noWrap/>
          </w:tcPr>
          <w:p w14:paraId="482CF315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F764856" w14:textId="77777777" w:rsidR="00F1171E" w:rsidRPr="004B0D9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C21808" w14:textId="77777777" w:rsidR="00F1171E" w:rsidRPr="004B0D99" w:rsidRDefault="00981018" w:rsidP="009810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This manuscript provides a comprehensive life-course framework for understanding vulvar and perineal dermatoses, a group of conditions that remain under-recognized and frequently misdiagnosed despite their significant impact on quality of life. By integrating anatomy, hormonal transitions, exposure ecology, inflammatory pathways, and neoplastic risk, the review offers a structured diagnostic and management approach that can reduce delayed diagnosis and inappropriate empiric treatment. The synthesis of evidence linking chronic inflammatory dermatoses—particularly lichen </w:t>
            </w:r>
            <w:proofErr w:type="spellStart"/>
            <w:r w:rsidRPr="004B0D99">
              <w:rPr>
                <w:rFonts w:ascii="Arial" w:hAnsi="Arial" w:cs="Arial"/>
                <w:sz w:val="20"/>
                <w:szCs w:val="20"/>
              </w:rPr>
              <w:t>sclerosus</w:t>
            </w:r>
            <w:proofErr w:type="spellEnd"/>
            <w:r w:rsidRPr="004B0D99">
              <w:rPr>
                <w:rFonts w:ascii="Arial" w:hAnsi="Arial" w:cs="Arial"/>
                <w:sz w:val="20"/>
                <w:szCs w:val="20"/>
              </w:rPr>
              <w:t>—to malignant transformation underscores the need for vigilant surveillance and long-term care models. Overall, this work bridges dermatology, gynecology, and primary care perspectives, providing clinically actionable insights that can improve patient outcomes and guide future research in vulvar medicine.</w:t>
            </w:r>
          </w:p>
        </w:tc>
        <w:tc>
          <w:tcPr>
            <w:tcW w:w="1523" w:type="pct"/>
          </w:tcPr>
          <w:p w14:paraId="6C20D06F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0D99" w14:paraId="4CDFA523" w14:textId="77777777" w:rsidTr="007222C8">
        <w:trPr>
          <w:trHeight w:val="1262"/>
        </w:trPr>
        <w:tc>
          <w:tcPr>
            <w:tcW w:w="1265" w:type="pct"/>
            <w:noWrap/>
          </w:tcPr>
          <w:p w14:paraId="253C70BB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BD74BA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133BF49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93E4ACE" w14:textId="77777777" w:rsidR="00F1171E" w:rsidRPr="004B0D99" w:rsidRDefault="009810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5C8A146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0D99" w14:paraId="6CA5DCFB" w14:textId="77777777" w:rsidTr="007222C8">
        <w:trPr>
          <w:trHeight w:val="1262"/>
        </w:trPr>
        <w:tc>
          <w:tcPr>
            <w:tcW w:w="1265" w:type="pct"/>
            <w:noWrap/>
          </w:tcPr>
          <w:p w14:paraId="3ACF1E16" w14:textId="77777777" w:rsidR="00F1171E" w:rsidRPr="004B0D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B0D9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6C1FAD3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AC03968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1.</w:t>
            </w:r>
            <w:r w:rsidR="002A468F" w:rsidRPr="004B0D99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r w:rsidRPr="004B0D99">
              <w:rPr>
                <w:rFonts w:ascii="Arial" w:hAnsi="Arial" w:cs="Arial"/>
                <w:bCs/>
                <w:sz w:val="20"/>
                <w:szCs w:val="20"/>
              </w:rPr>
              <w:t>nsider adding one brief sentence on methods</w:t>
            </w:r>
            <w:r w:rsidRPr="004B0D99">
              <w:rPr>
                <w:rFonts w:ascii="Arial" w:hAnsi="Arial" w:cs="Arial"/>
                <w:sz w:val="20"/>
                <w:szCs w:val="20"/>
              </w:rPr>
              <w:t xml:space="preserve"> (e.g. databases searched and time frame) to strengthen methodological transparency, especially if the journal prefers structured rigor.</w:t>
            </w:r>
          </w:p>
          <w:p w14:paraId="4B6732EE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2.</w:t>
            </w:r>
            <w:r w:rsidRPr="004B0D99">
              <w:rPr>
                <w:rFonts w:ascii="Arial" w:hAnsi="Arial" w:cs="Arial"/>
                <w:bCs/>
                <w:sz w:val="20"/>
                <w:szCs w:val="20"/>
              </w:rPr>
              <w:t>Slightly condense repetitive phrasing</w:t>
            </w:r>
            <w:r w:rsidRPr="004B0D99">
              <w:rPr>
                <w:rFonts w:ascii="Arial" w:hAnsi="Arial" w:cs="Arial"/>
                <w:sz w:val="20"/>
                <w:szCs w:val="20"/>
              </w:rPr>
              <w:t xml:space="preserve"> around symptom overlap to improve flow and conciseness.</w:t>
            </w:r>
          </w:p>
          <w:p w14:paraId="5119C0BB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3. Optionally, add </w:t>
            </w:r>
            <w:r w:rsidRPr="004B0D99">
              <w:rPr>
                <w:rFonts w:ascii="Arial" w:hAnsi="Arial" w:cs="Arial"/>
                <w:bCs/>
                <w:sz w:val="20"/>
                <w:szCs w:val="20"/>
              </w:rPr>
              <w:t>one clear concluding impact statement</w:t>
            </w:r>
            <w:r w:rsidRPr="004B0D99">
              <w:rPr>
                <w:rFonts w:ascii="Arial" w:hAnsi="Arial" w:cs="Arial"/>
                <w:sz w:val="20"/>
                <w:szCs w:val="20"/>
              </w:rPr>
              <w:t xml:space="preserve"> (e.g., “This framework aims to reduce diagnostic delay and improve long-term outcomes”) to sharpen the take-home message.</w:t>
            </w:r>
          </w:p>
          <w:p w14:paraId="6403B1D4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CCA016E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0D99" w14:paraId="09423CA4" w14:textId="77777777" w:rsidTr="007222C8">
        <w:trPr>
          <w:trHeight w:val="859"/>
        </w:trPr>
        <w:tc>
          <w:tcPr>
            <w:tcW w:w="1265" w:type="pct"/>
            <w:noWrap/>
          </w:tcPr>
          <w:p w14:paraId="321B8B7C" w14:textId="77777777" w:rsidR="00F1171E" w:rsidRPr="004B0D9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5C2E917" w14:textId="77777777" w:rsidR="00F1171E" w:rsidRPr="004B0D99" w:rsidRDefault="0098101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B0D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but need minor Scientific </w:t>
            </w:r>
            <w:r w:rsidRPr="004B0D99">
              <w:rPr>
                <w:rFonts w:ascii="Arial" w:hAnsi="Arial" w:cs="Arial"/>
                <w:sz w:val="20"/>
                <w:szCs w:val="20"/>
              </w:rPr>
              <w:t>Suggestions:</w:t>
            </w:r>
          </w:p>
          <w:p w14:paraId="0174F76B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1. Ensure that all epidemiologic statements (e.g., prevalence comparisons between developing and developed countries) are clearly supported with up-to-date references.</w:t>
            </w:r>
          </w:p>
          <w:p w14:paraId="7F447219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2.Maintain consistent terminology for VIN classification (HPV-associated vs HPV-independent) to reflect current consensus terminology.</w:t>
            </w:r>
          </w:p>
          <w:p w14:paraId="7FDA2C0E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3.Avoid overgeneralization where evidence is indirect (e.g., clearly distinguish strong evidence from expert consensus).</w:t>
            </w:r>
          </w:p>
          <w:p w14:paraId="6FD90DF1" w14:textId="77777777" w:rsidR="00981018" w:rsidRPr="004B0D99" w:rsidRDefault="00981018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4F8D64D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0D99" w14:paraId="5633EFAE" w14:textId="77777777" w:rsidTr="007222C8">
        <w:trPr>
          <w:trHeight w:val="703"/>
        </w:trPr>
        <w:tc>
          <w:tcPr>
            <w:tcW w:w="1265" w:type="pct"/>
            <w:noWrap/>
          </w:tcPr>
          <w:p w14:paraId="4D1D0C03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E629DE9" w14:textId="77777777" w:rsidR="00F1171E" w:rsidRPr="004B0D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0D9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50F724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4B0D99">
              <w:rPr>
                <w:rFonts w:ascii="Arial" w:hAnsi="Arial" w:cs="Arial"/>
                <w:b/>
                <w:bCs/>
                <w:sz w:val="20"/>
                <w:szCs w:val="20"/>
              </w:rPr>
              <w:t>Add 1–2 very recent (2022–2024) guideline-level references</w:t>
            </w:r>
            <w:r w:rsidRPr="004B0D99">
              <w:rPr>
                <w:rFonts w:ascii="Arial" w:hAnsi="Arial" w:cs="Arial"/>
                <w:sz w:val="20"/>
                <w:szCs w:val="20"/>
              </w:rPr>
              <w:t xml:space="preserve"> specifically on:</w:t>
            </w:r>
          </w:p>
          <w:p w14:paraId="352617E4" w14:textId="77777777" w:rsidR="00981018" w:rsidRPr="004B0D99" w:rsidRDefault="00981018" w:rsidP="0098101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Vulvar lichen </w:t>
            </w:r>
            <w:proofErr w:type="spellStart"/>
            <w:r w:rsidRPr="004B0D99">
              <w:rPr>
                <w:rFonts w:ascii="Arial" w:hAnsi="Arial" w:cs="Arial"/>
                <w:sz w:val="20"/>
                <w:szCs w:val="20"/>
              </w:rPr>
              <w:t>sclerosus</w:t>
            </w:r>
            <w:proofErr w:type="spellEnd"/>
            <w:r w:rsidRPr="004B0D99">
              <w:rPr>
                <w:rFonts w:ascii="Arial" w:hAnsi="Arial" w:cs="Arial"/>
                <w:sz w:val="20"/>
                <w:szCs w:val="20"/>
              </w:rPr>
              <w:t xml:space="preserve"> long-term management updates</w:t>
            </w:r>
          </w:p>
          <w:p w14:paraId="116F4A51" w14:textId="77777777" w:rsidR="00981018" w:rsidRPr="004B0D99" w:rsidRDefault="00981018" w:rsidP="0098101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Vulvar intraepithelial neoplasia (VIN) updated classification/consensus</w:t>
            </w:r>
          </w:p>
          <w:p w14:paraId="7582B9A6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2. Consider including:</w:t>
            </w:r>
          </w:p>
          <w:p w14:paraId="3319064C" w14:textId="77777777" w:rsidR="00981018" w:rsidRPr="004B0D99" w:rsidRDefault="00981018" w:rsidP="00981018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A recent review on </w:t>
            </w:r>
            <w:r w:rsidRPr="004B0D99">
              <w:rPr>
                <w:rFonts w:ascii="Arial" w:hAnsi="Arial" w:cs="Arial"/>
                <w:b/>
                <w:bCs/>
                <w:sz w:val="20"/>
                <w:szCs w:val="20"/>
              </w:rPr>
              <w:t>genitourinary syndrome of menopause (GSM)</w:t>
            </w:r>
            <w:r w:rsidRPr="004B0D99">
              <w:rPr>
                <w:rFonts w:ascii="Arial" w:hAnsi="Arial" w:cs="Arial"/>
                <w:sz w:val="20"/>
                <w:szCs w:val="20"/>
              </w:rPr>
              <w:t xml:space="preserve"> if discussing postmenopausal overlap.</w:t>
            </w:r>
          </w:p>
          <w:p w14:paraId="62136826" w14:textId="77777777" w:rsidR="00981018" w:rsidRPr="004B0D99" w:rsidRDefault="00981018" w:rsidP="00981018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A dermatology society or international consensus statement (if available) to strengthen authority.</w:t>
            </w:r>
          </w:p>
          <w:p w14:paraId="1D8F7224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lastRenderedPageBreak/>
              <w:t>3.If targeting a high-impact journal, adding:</w:t>
            </w:r>
          </w:p>
          <w:p w14:paraId="231A9DFB" w14:textId="77777777" w:rsidR="00981018" w:rsidRPr="004B0D99" w:rsidRDefault="00981018" w:rsidP="0098101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 xml:space="preserve">One recent meta-analysis on vulvar SCC risk in lichen </w:t>
            </w:r>
            <w:proofErr w:type="spellStart"/>
            <w:r w:rsidRPr="004B0D99">
              <w:rPr>
                <w:rFonts w:ascii="Arial" w:hAnsi="Arial" w:cs="Arial"/>
                <w:sz w:val="20"/>
                <w:szCs w:val="20"/>
              </w:rPr>
              <w:t>sclerosus</w:t>
            </w:r>
            <w:proofErr w:type="spellEnd"/>
          </w:p>
          <w:p w14:paraId="4F2B63ED" w14:textId="77777777" w:rsidR="00981018" w:rsidRPr="004B0D99" w:rsidRDefault="00981018" w:rsidP="0098101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One review on vulvar melanoma molecular features</w:t>
            </w:r>
          </w:p>
          <w:p w14:paraId="4EA54859" w14:textId="77777777" w:rsidR="00F1171E" w:rsidRPr="004B0D9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5D56296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0D99" w14:paraId="52E36830" w14:textId="77777777" w:rsidTr="007222C8">
        <w:trPr>
          <w:trHeight w:val="386"/>
        </w:trPr>
        <w:tc>
          <w:tcPr>
            <w:tcW w:w="1265" w:type="pct"/>
            <w:noWrap/>
          </w:tcPr>
          <w:p w14:paraId="217EC23A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6EDE0A6" w14:textId="77777777" w:rsidR="00F1171E" w:rsidRPr="004B0D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B0D9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ECFEEE9" w14:textId="77777777" w:rsidR="00F1171E" w:rsidRPr="004B0D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A0D39BC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 w:rsidRPr="004B0D99">
              <w:rPr>
                <w:rFonts w:ascii="Arial" w:hAnsi="Arial" w:cs="Arial"/>
                <w:sz w:val="20"/>
                <w:szCs w:val="20"/>
              </w:rPr>
              <w:t>Minor sentence-length reduction in a few sections could improve readability.</w:t>
            </w:r>
          </w:p>
          <w:p w14:paraId="786CBA02" w14:textId="77777777" w:rsidR="00981018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2. Some long paragraphs may benefit from light tightening for conciseness.</w:t>
            </w:r>
          </w:p>
          <w:p w14:paraId="7E28E153" w14:textId="77777777" w:rsidR="00F1171E" w:rsidRPr="004B0D99" w:rsidRDefault="00981018" w:rsidP="0098101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3.A final professional language edit (for flow and minor repetition) would further enhance clarity, especially for high-impact journals.</w:t>
            </w:r>
          </w:p>
        </w:tc>
        <w:tc>
          <w:tcPr>
            <w:tcW w:w="1523" w:type="pct"/>
          </w:tcPr>
          <w:p w14:paraId="01591E13" w14:textId="77777777" w:rsidR="00F1171E" w:rsidRPr="004B0D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0D99" w14:paraId="5156B077" w14:textId="77777777" w:rsidTr="007222C8">
        <w:trPr>
          <w:trHeight w:val="1178"/>
        </w:trPr>
        <w:tc>
          <w:tcPr>
            <w:tcW w:w="1265" w:type="pct"/>
            <w:noWrap/>
          </w:tcPr>
          <w:p w14:paraId="7920D67F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B0D9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4B0D9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4B0D9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BD1C25D" w14:textId="77777777" w:rsidR="00F1171E" w:rsidRPr="004B0D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91A7048" w14:textId="77777777" w:rsidR="00F1171E" w:rsidRPr="004B0D99" w:rsidRDefault="00981018" w:rsidP="0098101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0D99">
              <w:rPr>
                <w:rFonts w:ascii="Arial" w:hAnsi="Arial" w:cs="Arial"/>
                <w:sz w:val="20"/>
                <w:szCs w:val="20"/>
              </w:rPr>
              <w:t>This manuscript presents a well-structured and clinically relevant integrative review of vulvar and perineal dermatoses across the female life course. The life-stage framework is a major strength, as it enhances diagnostic clarity and aligns pathophysiology with practical management strategies. The integration of inflammatory disease, exposure ecology, and neoplastic risk provides a comprehensive perspective that is valuable for dermatologists, gynecologists, and primary care clinicians alike. With minor refinement for conciseness and consistency in terminology, the manuscript would make a meaningful contribution to the field of vulvar medicine and interdisciplinary clinical practice.</w:t>
            </w:r>
          </w:p>
          <w:p w14:paraId="465255CB" w14:textId="77777777" w:rsidR="00F1171E" w:rsidRPr="004B0D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B22C34" w14:textId="77777777" w:rsidR="00F1171E" w:rsidRPr="004B0D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5BC9C73" w14:textId="77777777" w:rsidR="00F1171E" w:rsidRPr="004B0D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5B23BA" w14:textId="77777777" w:rsidR="00F1171E" w:rsidRPr="004B0D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765390" w14:textId="77777777" w:rsidR="00F1171E" w:rsidRPr="004B0D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45956" w:rsidRPr="004B0D99" w14:paraId="2B15D796" w14:textId="77777777" w:rsidTr="00AB632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08F9C" w14:textId="77777777" w:rsidR="00D45956" w:rsidRPr="004B0D99" w:rsidRDefault="00D45956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B0D9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B0D9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421469" w14:textId="77777777" w:rsidR="00D45956" w:rsidRPr="004B0D99" w:rsidRDefault="00D45956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45956" w:rsidRPr="004B0D99" w14:paraId="5371E02F" w14:textId="77777777" w:rsidTr="00AB632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6E5B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833C" w14:textId="77777777" w:rsidR="00D45956" w:rsidRPr="004B0D99" w:rsidRDefault="00D45956" w:rsidP="00AB63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B0D9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111571C" w14:textId="77777777" w:rsidR="00D45956" w:rsidRPr="004B0D99" w:rsidRDefault="00D45956" w:rsidP="00AB632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B0D9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B0D9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1479D7F" w14:textId="77777777" w:rsidR="00D45956" w:rsidRPr="004B0D99" w:rsidRDefault="00D45956" w:rsidP="00AB63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5956" w:rsidRPr="004B0D99" w14:paraId="5C19A337" w14:textId="77777777" w:rsidTr="00AB632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25D1D" w14:textId="77777777" w:rsidR="00D45956" w:rsidRPr="004B0D99" w:rsidRDefault="00D45956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B0D9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AB0CE9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054A" w14:textId="77777777" w:rsidR="00D45956" w:rsidRPr="004B0D99" w:rsidRDefault="00D45956" w:rsidP="00AB632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B0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B0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B0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7A695AA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C873ED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11412CD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223C28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6AA3C4" w14:textId="77777777" w:rsidR="00D45956" w:rsidRPr="004B0D99" w:rsidRDefault="00D45956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E976F7D" w14:textId="77777777" w:rsidR="00D45956" w:rsidRPr="004B0D99" w:rsidRDefault="00D45956" w:rsidP="00D45956">
      <w:pPr>
        <w:rPr>
          <w:rFonts w:ascii="Arial" w:hAnsi="Arial" w:cs="Arial"/>
          <w:sz w:val="20"/>
          <w:szCs w:val="20"/>
        </w:rPr>
      </w:pPr>
    </w:p>
    <w:p w14:paraId="729CE792" w14:textId="77777777" w:rsidR="00D45956" w:rsidRPr="004B0D99" w:rsidRDefault="00D45956" w:rsidP="00D45956">
      <w:pPr>
        <w:rPr>
          <w:rFonts w:ascii="Arial" w:hAnsi="Arial" w:cs="Arial"/>
          <w:sz w:val="20"/>
          <w:szCs w:val="20"/>
        </w:rPr>
      </w:pPr>
    </w:p>
    <w:p w14:paraId="0CAFE7CD" w14:textId="77777777" w:rsidR="004B0D99" w:rsidRPr="004B0D99" w:rsidRDefault="004B0D99" w:rsidP="004B0D9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B0D99">
        <w:rPr>
          <w:rFonts w:ascii="Arial" w:hAnsi="Arial" w:cs="Arial"/>
          <w:b/>
          <w:u w:val="single"/>
        </w:rPr>
        <w:t>Reviewer details:</w:t>
      </w:r>
    </w:p>
    <w:p w14:paraId="086CD217" w14:textId="77777777" w:rsidR="00D45956" w:rsidRPr="004B0D99" w:rsidRDefault="00D45956" w:rsidP="00D4595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2CF5E51C" w14:textId="42C02873" w:rsidR="004B0D99" w:rsidRPr="004B0D99" w:rsidRDefault="004B0D99" w:rsidP="00D4595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B0D99">
        <w:rPr>
          <w:rFonts w:ascii="Arial" w:hAnsi="Arial" w:cs="Arial"/>
          <w:b/>
          <w:bCs/>
          <w:color w:val="000000"/>
          <w:sz w:val="20"/>
          <w:szCs w:val="20"/>
        </w:rPr>
        <w:t>Ankita R Bhatiya</w:t>
      </w:r>
      <w:r w:rsidRPr="004B0D9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B0D99">
        <w:rPr>
          <w:rFonts w:ascii="Arial" w:hAnsi="Arial" w:cs="Arial"/>
          <w:b/>
          <w:bCs/>
          <w:color w:val="000000"/>
          <w:sz w:val="20"/>
          <w:szCs w:val="20"/>
        </w:rPr>
        <w:t>SMT.L P Patel Institute of Allied Health Sciences &amp; Technology</w:t>
      </w:r>
      <w:r w:rsidRPr="004B0D9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B0D99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4B0D99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51C46E2F" w14:textId="77777777" w:rsidR="00D45956" w:rsidRPr="004B0D99" w:rsidRDefault="00D45956" w:rsidP="00D45956">
      <w:pPr>
        <w:rPr>
          <w:rFonts w:ascii="Arial" w:hAnsi="Arial" w:cs="Arial"/>
          <w:sz w:val="20"/>
          <w:szCs w:val="20"/>
        </w:rPr>
      </w:pPr>
    </w:p>
    <w:p w14:paraId="77C3D2E5" w14:textId="77777777" w:rsidR="00F1171E" w:rsidRPr="004B0D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4B0D9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37C5D" w14:textId="77777777" w:rsidR="00091C2E" w:rsidRPr="0000007A" w:rsidRDefault="00091C2E" w:rsidP="0099583E">
      <w:r>
        <w:separator/>
      </w:r>
    </w:p>
  </w:endnote>
  <w:endnote w:type="continuationSeparator" w:id="0">
    <w:p w14:paraId="546B67E2" w14:textId="77777777" w:rsidR="00091C2E" w:rsidRPr="0000007A" w:rsidRDefault="00091C2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61E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7967" w14:textId="77777777" w:rsidR="00091C2E" w:rsidRPr="0000007A" w:rsidRDefault="00091C2E" w:rsidP="0099583E">
      <w:r>
        <w:separator/>
      </w:r>
    </w:p>
  </w:footnote>
  <w:footnote w:type="continuationSeparator" w:id="0">
    <w:p w14:paraId="52B61438" w14:textId="77777777" w:rsidR="00091C2E" w:rsidRPr="0000007A" w:rsidRDefault="00091C2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AE9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8FAABD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39E96B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2E9C"/>
    <w:multiLevelType w:val="multilevel"/>
    <w:tmpl w:val="955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C2BF0"/>
    <w:multiLevelType w:val="multilevel"/>
    <w:tmpl w:val="9554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733A0"/>
    <w:multiLevelType w:val="multilevel"/>
    <w:tmpl w:val="8416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3619">
    <w:abstractNumId w:val="4"/>
  </w:num>
  <w:num w:numId="2" w16cid:durableId="40525053">
    <w:abstractNumId w:val="7"/>
  </w:num>
  <w:num w:numId="3" w16cid:durableId="289670325">
    <w:abstractNumId w:val="6"/>
  </w:num>
  <w:num w:numId="4" w16cid:durableId="1658462561">
    <w:abstractNumId w:val="8"/>
  </w:num>
  <w:num w:numId="5" w16cid:durableId="2001107673">
    <w:abstractNumId w:val="5"/>
  </w:num>
  <w:num w:numId="6" w16cid:durableId="250820515">
    <w:abstractNumId w:val="0"/>
  </w:num>
  <w:num w:numId="7" w16cid:durableId="1661082746">
    <w:abstractNumId w:val="2"/>
  </w:num>
  <w:num w:numId="8" w16cid:durableId="562257043">
    <w:abstractNumId w:val="11"/>
  </w:num>
  <w:num w:numId="9" w16cid:durableId="424805896">
    <w:abstractNumId w:val="10"/>
  </w:num>
  <w:num w:numId="10" w16cid:durableId="753934975">
    <w:abstractNumId w:val="3"/>
  </w:num>
  <w:num w:numId="11" w16cid:durableId="1785921562">
    <w:abstractNumId w:val="12"/>
  </w:num>
  <w:num w:numId="12" w16cid:durableId="1297107719">
    <w:abstractNumId w:val="1"/>
  </w:num>
  <w:num w:numId="13" w16cid:durableId="9226451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91A"/>
    <w:rsid w:val="0007151E"/>
    <w:rsid w:val="00081012"/>
    <w:rsid w:val="00084D7C"/>
    <w:rsid w:val="00091C2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B7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484"/>
    <w:rsid w:val="00186C8F"/>
    <w:rsid w:val="0018753A"/>
    <w:rsid w:val="00197E68"/>
    <w:rsid w:val="001A1605"/>
    <w:rsid w:val="001A2F22"/>
    <w:rsid w:val="001B0C63"/>
    <w:rsid w:val="001B5029"/>
    <w:rsid w:val="001B5C0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68F"/>
    <w:rsid w:val="002B0E4B"/>
    <w:rsid w:val="002C40B8"/>
    <w:rsid w:val="002D4C1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69E"/>
    <w:rsid w:val="00394901"/>
    <w:rsid w:val="003A04E7"/>
    <w:rsid w:val="003A1C45"/>
    <w:rsid w:val="003A4991"/>
    <w:rsid w:val="003A6E1A"/>
    <w:rsid w:val="003B058D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0D99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7D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654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7CB"/>
    <w:rsid w:val="00955E45"/>
    <w:rsid w:val="00962B70"/>
    <w:rsid w:val="00967C62"/>
    <w:rsid w:val="00981018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21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F0E"/>
    <w:rsid w:val="00CE5AC7"/>
    <w:rsid w:val="00CF0BBB"/>
    <w:rsid w:val="00CF0D07"/>
    <w:rsid w:val="00CF7035"/>
    <w:rsid w:val="00D04AA1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956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3C3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693"/>
    <w:rsid w:val="00F0750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395599A"/>
  <w15:docId w15:val="{91DF5A4E-FF89-4483-BD09-E183C755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7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17D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98101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A468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B0D9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2026-02-23T13:17:00Z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