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431BDB0B" w14:textId="77777777" w:rsidTr="002643B3">
        <w:trPr>
          <w:trHeight w:val="290"/>
        </w:trPr>
        <w:tc>
          <w:tcPr>
            <w:tcW w:w="5000" w:type="pct"/>
            <w:gridSpan w:val="2"/>
            <w:tcBorders>
              <w:top w:val="nil"/>
              <w:left w:val="nil"/>
              <w:right w:val="nil"/>
            </w:tcBorders>
          </w:tcPr>
          <w:p w14:paraId="7B3F3687"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27CCA097" w14:textId="77777777" w:rsidTr="002643B3">
        <w:trPr>
          <w:trHeight w:val="290"/>
        </w:trPr>
        <w:tc>
          <w:tcPr>
            <w:tcW w:w="1234" w:type="pct"/>
          </w:tcPr>
          <w:p w14:paraId="1EAF1488"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3DB36F96" w14:textId="77777777" w:rsidR="0000007A" w:rsidRPr="00E65EB7" w:rsidRDefault="00535466" w:rsidP="00E65EB7">
            <w:pPr>
              <w:rPr>
                <w:rFonts w:ascii="Arial" w:hAnsi="Arial" w:cs="Arial"/>
                <w:b/>
                <w:bCs/>
                <w:color w:val="0000FF"/>
                <w:sz w:val="20"/>
                <w:szCs w:val="20"/>
              </w:rPr>
            </w:pPr>
            <w:hyperlink r:id="rId8" w:history="1">
              <w:r w:rsidR="005A526C" w:rsidRPr="00535466">
                <w:rPr>
                  <w:rStyle w:val="Hyperlink"/>
                  <w:rFonts w:ascii="Arial" w:hAnsi="Arial" w:cs="Arial"/>
                  <w:b/>
                  <w:bCs/>
                  <w:sz w:val="20"/>
                  <w:szCs w:val="20"/>
                </w:rPr>
                <w:t>Asian Journal of Research in Surgery</w:t>
              </w:r>
            </w:hyperlink>
            <w:r w:rsidR="005A526C" w:rsidRPr="005A526C">
              <w:rPr>
                <w:rFonts w:ascii="Arial" w:hAnsi="Arial" w:cs="Arial"/>
                <w:b/>
                <w:bCs/>
                <w:color w:val="0000FF"/>
                <w:sz w:val="20"/>
                <w:szCs w:val="20"/>
              </w:rPr>
              <w:t xml:space="preserve"> </w:t>
            </w:r>
          </w:p>
        </w:tc>
      </w:tr>
      <w:tr w:rsidR="0000007A" w:rsidRPr="00F245A7" w14:paraId="3E21B616" w14:textId="77777777" w:rsidTr="002643B3">
        <w:trPr>
          <w:trHeight w:val="290"/>
        </w:trPr>
        <w:tc>
          <w:tcPr>
            <w:tcW w:w="1234" w:type="pct"/>
          </w:tcPr>
          <w:p w14:paraId="70398530"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69B77573" w14:textId="77777777" w:rsidR="0000007A" w:rsidRPr="00F245A7" w:rsidRDefault="00750198" w:rsidP="00F3669D">
            <w:pPr>
              <w:pStyle w:val="NormalWeb"/>
              <w:spacing w:before="0" w:beforeAutospacing="0" w:after="0" w:afterAutospacing="0"/>
              <w:rPr>
                <w:rFonts w:ascii="Arial" w:hAnsi="Arial" w:cs="Arial"/>
                <w:b/>
                <w:bCs/>
                <w:sz w:val="20"/>
                <w:szCs w:val="28"/>
                <w:lang w:val="en-GB"/>
              </w:rPr>
            </w:pPr>
            <w:r w:rsidRPr="00750198">
              <w:rPr>
                <w:rFonts w:ascii="Arial" w:hAnsi="Arial" w:cs="Arial"/>
                <w:b/>
                <w:bCs/>
                <w:sz w:val="20"/>
                <w:szCs w:val="28"/>
                <w:lang w:val="en-GB"/>
              </w:rPr>
              <w:t>Ms_AJRS_155359</w:t>
            </w:r>
          </w:p>
        </w:tc>
      </w:tr>
      <w:tr w:rsidR="0000007A" w:rsidRPr="00F245A7" w14:paraId="3FEE31D9" w14:textId="77777777" w:rsidTr="002643B3">
        <w:trPr>
          <w:trHeight w:val="650"/>
        </w:trPr>
        <w:tc>
          <w:tcPr>
            <w:tcW w:w="1234" w:type="pct"/>
          </w:tcPr>
          <w:p w14:paraId="2E5346C1"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4BCE2F02" w14:textId="77777777" w:rsidR="0000007A" w:rsidRPr="00F245A7" w:rsidRDefault="00750198" w:rsidP="000450FC">
            <w:pPr>
              <w:pStyle w:val="NormalWeb"/>
              <w:spacing w:before="0" w:beforeAutospacing="0" w:after="0" w:afterAutospacing="0"/>
              <w:rPr>
                <w:rFonts w:ascii="Arial" w:hAnsi="Arial" w:cs="Arial"/>
                <w:b/>
                <w:sz w:val="20"/>
                <w:szCs w:val="28"/>
                <w:lang w:val="en-GB"/>
              </w:rPr>
            </w:pPr>
            <w:r w:rsidRPr="00750198">
              <w:rPr>
                <w:rFonts w:ascii="Arial" w:hAnsi="Arial" w:cs="Arial"/>
                <w:b/>
                <w:sz w:val="20"/>
                <w:szCs w:val="28"/>
                <w:lang w:val="en-GB"/>
              </w:rPr>
              <w:t>Laparoscopic Management of Median Arcuate Ligament Syndrome in a Young Female with Right Renal Agenesis and Left-Sided Nutcracker Phenomenon: A Rare Triple Vascular-Anatomical Association</w:t>
            </w:r>
          </w:p>
        </w:tc>
      </w:tr>
      <w:tr w:rsidR="00CF0BBB" w:rsidRPr="00F245A7" w14:paraId="1D9C5E8D" w14:textId="77777777" w:rsidTr="002643B3">
        <w:trPr>
          <w:trHeight w:val="332"/>
        </w:trPr>
        <w:tc>
          <w:tcPr>
            <w:tcW w:w="1234" w:type="pct"/>
          </w:tcPr>
          <w:p w14:paraId="2FFB2EAB"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523A31FB" w14:textId="77777777" w:rsidR="00CF0BBB" w:rsidRPr="00F245A7" w:rsidRDefault="00750198" w:rsidP="000450FC">
            <w:pPr>
              <w:pStyle w:val="NormalWeb"/>
              <w:spacing w:before="0" w:beforeAutospacing="0" w:after="0" w:afterAutospacing="0"/>
              <w:rPr>
                <w:rFonts w:ascii="Arial" w:hAnsi="Arial" w:cs="Arial"/>
                <w:b/>
                <w:sz w:val="20"/>
                <w:szCs w:val="28"/>
                <w:lang w:val="en-GB"/>
              </w:rPr>
            </w:pPr>
            <w:r w:rsidRPr="00750198">
              <w:rPr>
                <w:rFonts w:ascii="Arial" w:hAnsi="Arial" w:cs="Arial"/>
                <w:b/>
                <w:sz w:val="20"/>
                <w:szCs w:val="28"/>
                <w:lang w:val="en-GB"/>
              </w:rPr>
              <w:t>Case report</w:t>
            </w:r>
          </w:p>
        </w:tc>
      </w:tr>
    </w:tbl>
    <w:p w14:paraId="12E3FE13" w14:textId="77777777" w:rsidR="00037D52" w:rsidRPr="00F245A7" w:rsidRDefault="00037D52" w:rsidP="0000007A">
      <w:pPr>
        <w:pStyle w:val="BodyText"/>
        <w:rPr>
          <w:rFonts w:ascii="Arial" w:hAnsi="Arial" w:cs="Arial"/>
          <w:b/>
          <w:bCs/>
          <w:sz w:val="20"/>
          <w:szCs w:val="20"/>
          <w:u w:val="single"/>
          <w:lang w:val="en-GB"/>
        </w:rPr>
      </w:pPr>
    </w:p>
    <w:p w14:paraId="4F96D0E1" w14:textId="77777777" w:rsidR="003403D9" w:rsidRPr="00900E9B" w:rsidRDefault="003403D9" w:rsidP="003403D9">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3403D9" w:rsidRPr="00900E9B" w14:paraId="6877DB70" w14:textId="77777777">
        <w:tc>
          <w:tcPr>
            <w:tcW w:w="5000" w:type="pct"/>
            <w:gridSpan w:val="3"/>
            <w:tcBorders>
              <w:top w:val="nil"/>
              <w:left w:val="nil"/>
              <w:right w:val="nil"/>
            </w:tcBorders>
            <w:noWrap/>
          </w:tcPr>
          <w:p w14:paraId="67D8277F" w14:textId="77777777" w:rsidR="003403D9" w:rsidRPr="00900E9B" w:rsidRDefault="003403D9">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6A701238" w14:textId="77777777" w:rsidR="003403D9" w:rsidRPr="00900E9B" w:rsidRDefault="003403D9">
            <w:pPr>
              <w:rPr>
                <w:sz w:val="20"/>
                <w:szCs w:val="20"/>
                <w:lang w:val="en-GB"/>
              </w:rPr>
            </w:pPr>
          </w:p>
        </w:tc>
      </w:tr>
      <w:tr w:rsidR="003403D9" w:rsidRPr="00900E9B" w14:paraId="366BAC88" w14:textId="77777777">
        <w:tc>
          <w:tcPr>
            <w:tcW w:w="1265" w:type="pct"/>
            <w:noWrap/>
          </w:tcPr>
          <w:p w14:paraId="592A4382" w14:textId="77777777" w:rsidR="003403D9" w:rsidRPr="00900E9B" w:rsidRDefault="003403D9">
            <w:pPr>
              <w:pStyle w:val="Heading2"/>
              <w:jc w:val="left"/>
              <w:rPr>
                <w:rFonts w:ascii="Times New Roman" w:hAnsi="Times New Roman"/>
                <w:lang w:val="en-GB"/>
              </w:rPr>
            </w:pPr>
          </w:p>
        </w:tc>
        <w:tc>
          <w:tcPr>
            <w:tcW w:w="2212" w:type="pct"/>
          </w:tcPr>
          <w:p w14:paraId="456CBAAD" w14:textId="77777777" w:rsidR="003403D9" w:rsidRDefault="003403D9">
            <w:pPr>
              <w:pStyle w:val="Heading2"/>
              <w:jc w:val="left"/>
              <w:rPr>
                <w:rFonts w:ascii="Times New Roman" w:hAnsi="Times New Roman"/>
                <w:lang w:val="en-GB"/>
              </w:rPr>
            </w:pPr>
            <w:r w:rsidRPr="00900E9B">
              <w:rPr>
                <w:rFonts w:ascii="Times New Roman" w:hAnsi="Times New Roman"/>
                <w:lang w:val="en-GB"/>
              </w:rPr>
              <w:t>Reviewer’s comment</w:t>
            </w:r>
          </w:p>
          <w:p w14:paraId="774260A0" w14:textId="77777777" w:rsidR="000B63DD" w:rsidRPr="000B63DD" w:rsidRDefault="000B63DD" w:rsidP="00E3752F">
            <w:pPr>
              <w:rPr>
                <w:lang w:val="en-GB"/>
              </w:rPr>
            </w:pPr>
          </w:p>
        </w:tc>
        <w:tc>
          <w:tcPr>
            <w:tcW w:w="1523" w:type="pct"/>
          </w:tcPr>
          <w:p w14:paraId="4881DBE7" w14:textId="77777777" w:rsidR="002D5CDA" w:rsidRDefault="002D5CDA" w:rsidP="002D5CDA">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8DDF779" w14:textId="77777777" w:rsidR="003403D9" w:rsidRPr="00900E9B" w:rsidRDefault="003403D9">
            <w:pPr>
              <w:pStyle w:val="Heading2"/>
              <w:jc w:val="left"/>
              <w:rPr>
                <w:rFonts w:ascii="Times New Roman" w:hAnsi="Times New Roman"/>
                <w:b w:val="0"/>
                <w:lang w:val="en-GB"/>
              </w:rPr>
            </w:pPr>
          </w:p>
        </w:tc>
      </w:tr>
      <w:tr w:rsidR="003403D9" w:rsidRPr="00900E9B" w14:paraId="2543118E" w14:textId="77777777">
        <w:trPr>
          <w:trHeight w:val="1264"/>
        </w:trPr>
        <w:tc>
          <w:tcPr>
            <w:tcW w:w="1265" w:type="pct"/>
            <w:noWrap/>
          </w:tcPr>
          <w:p w14:paraId="5BC6B37F" w14:textId="77777777" w:rsidR="003403D9" w:rsidRPr="00900E9B" w:rsidRDefault="003403D9">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70E10406" w14:textId="77777777" w:rsidR="003403D9" w:rsidRPr="00900E9B" w:rsidRDefault="003403D9">
            <w:pPr>
              <w:ind w:left="360"/>
              <w:rPr>
                <w:rFonts w:eastAsia="MS Mincho"/>
                <w:b/>
                <w:bCs/>
                <w:sz w:val="20"/>
                <w:szCs w:val="20"/>
                <w:lang w:val="en-GB"/>
              </w:rPr>
            </w:pPr>
          </w:p>
        </w:tc>
        <w:tc>
          <w:tcPr>
            <w:tcW w:w="2212" w:type="pct"/>
          </w:tcPr>
          <w:p w14:paraId="036441CF" w14:textId="77777777" w:rsidR="003403D9" w:rsidRPr="002B4AD4" w:rsidRDefault="002B4AD4" w:rsidP="002B4AD4">
            <w:pPr>
              <w:pStyle w:val="ListParagraph"/>
              <w:ind w:left="0"/>
              <w:rPr>
                <w:sz w:val="22"/>
                <w:szCs w:val="22"/>
                <w:lang w:val="en-GB"/>
              </w:rPr>
            </w:pPr>
            <w:r w:rsidRPr="002B4AD4">
              <w:rPr>
                <w:sz w:val="22"/>
                <w:szCs w:val="22"/>
                <w:lang w:val="en-GB"/>
              </w:rPr>
              <w:t>This manuscript is significant because it documents an extremely rare "triple" association of Median Arcuate Ligament Syndrome (MALS), Nutcracker Phenomenon, and unilateral renal agenesis. It underscores the necessity of comprehensive vascular imaging to identify multiple concurrent compression syndromes that may overlap clinically. Furthermore, it reinforces the efficacy of minimally invasive laparoscopic surgery as a safe treatment even in the presence of complex anatomical variations</w:t>
            </w:r>
          </w:p>
        </w:tc>
        <w:tc>
          <w:tcPr>
            <w:tcW w:w="1523" w:type="pct"/>
          </w:tcPr>
          <w:p w14:paraId="383D5DC5" w14:textId="4BCADF8B" w:rsidR="003403D9" w:rsidRPr="00900E9B" w:rsidRDefault="005E6ACF">
            <w:pPr>
              <w:pStyle w:val="Heading2"/>
              <w:jc w:val="left"/>
              <w:rPr>
                <w:rFonts w:ascii="Times New Roman" w:hAnsi="Times New Roman"/>
                <w:b w:val="0"/>
                <w:lang w:val="en-GB"/>
              </w:rPr>
            </w:pPr>
            <w:r>
              <w:rPr>
                <w:rFonts w:ascii="Times New Roman" w:hAnsi="Times New Roman"/>
                <w:b w:val="0"/>
                <w:lang w:val="en-GB"/>
              </w:rPr>
              <w:t>No need to add mo</w:t>
            </w:r>
            <w:r w:rsidR="00DF00B4">
              <w:rPr>
                <w:rFonts w:ascii="Times New Roman" w:hAnsi="Times New Roman"/>
                <w:b w:val="0"/>
                <w:lang w:val="en-GB"/>
              </w:rPr>
              <w:t>re information than this.</w:t>
            </w:r>
          </w:p>
        </w:tc>
      </w:tr>
      <w:tr w:rsidR="003403D9" w:rsidRPr="00900E9B" w14:paraId="08CBF530" w14:textId="77777777">
        <w:trPr>
          <w:trHeight w:val="1262"/>
        </w:trPr>
        <w:tc>
          <w:tcPr>
            <w:tcW w:w="1265" w:type="pct"/>
            <w:noWrap/>
          </w:tcPr>
          <w:p w14:paraId="190536E6" w14:textId="77777777" w:rsidR="003403D9" w:rsidRPr="00900E9B" w:rsidRDefault="003403D9">
            <w:pPr>
              <w:ind w:left="360"/>
              <w:rPr>
                <w:b/>
                <w:bCs/>
                <w:sz w:val="20"/>
                <w:szCs w:val="20"/>
                <w:lang w:val="en-GB"/>
              </w:rPr>
            </w:pPr>
            <w:r w:rsidRPr="00900E9B">
              <w:rPr>
                <w:b/>
                <w:bCs/>
                <w:sz w:val="20"/>
                <w:szCs w:val="20"/>
                <w:lang w:val="en-GB"/>
              </w:rPr>
              <w:t>Is the title of the article suitable?</w:t>
            </w:r>
          </w:p>
          <w:p w14:paraId="7817E5E0" w14:textId="77777777" w:rsidR="003403D9" w:rsidRPr="00900E9B" w:rsidRDefault="003403D9">
            <w:pPr>
              <w:ind w:left="360"/>
              <w:rPr>
                <w:b/>
                <w:bCs/>
                <w:sz w:val="20"/>
                <w:szCs w:val="20"/>
                <w:lang w:val="en-GB"/>
              </w:rPr>
            </w:pPr>
            <w:r w:rsidRPr="00900E9B">
              <w:rPr>
                <w:b/>
                <w:bCs/>
                <w:sz w:val="20"/>
                <w:szCs w:val="20"/>
                <w:lang w:val="en-GB"/>
              </w:rPr>
              <w:t>(If not please suggest an alternative title)</w:t>
            </w:r>
          </w:p>
          <w:p w14:paraId="47DAB7CA" w14:textId="77777777" w:rsidR="003403D9" w:rsidRPr="00900E9B" w:rsidRDefault="003403D9">
            <w:pPr>
              <w:pStyle w:val="Heading2"/>
              <w:jc w:val="left"/>
              <w:rPr>
                <w:rFonts w:ascii="Times New Roman" w:hAnsi="Times New Roman"/>
                <w:u w:val="single"/>
                <w:lang w:val="en-GB"/>
              </w:rPr>
            </w:pPr>
          </w:p>
        </w:tc>
        <w:tc>
          <w:tcPr>
            <w:tcW w:w="2212" w:type="pct"/>
          </w:tcPr>
          <w:p w14:paraId="2CC98C23" w14:textId="77777777" w:rsidR="003403D9" w:rsidRPr="002B4AD4" w:rsidRDefault="002B4AD4" w:rsidP="002B4AD4">
            <w:pPr>
              <w:rPr>
                <w:sz w:val="22"/>
                <w:szCs w:val="22"/>
                <w:lang w:val="en-GB"/>
              </w:rPr>
            </w:pPr>
            <w:r w:rsidRPr="002B4AD4">
              <w:rPr>
                <w:sz w:val="22"/>
                <w:szCs w:val="22"/>
                <w:lang w:val="en-GB"/>
              </w:rPr>
              <w:t>Yes. The title is highly descriptive and accurately reflects the unique clinical findings and the surgical intervention performed. It effectively highlights the rarity of the "triple vascular-anatomical association."</w:t>
            </w:r>
          </w:p>
        </w:tc>
        <w:tc>
          <w:tcPr>
            <w:tcW w:w="1523" w:type="pct"/>
          </w:tcPr>
          <w:p w14:paraId="4B11E6B1" w14:textId="2ED375F5" w:rsidR="003403D9" w:rsidRPr="00900E9B" w:rsidRDefault="00DF00B4">
            <w:pPr>
              <w:pStyle w:val="Heading2"/>
              <w:jc w:val="left"/>
              <w:rPr>
                <w:rFonts w:ascii="Times New Roman" w:hAnsi="Times New Roman"/>
                <w:b w:val="0"/>
                <w:lang w:val="en-GB"/>
              </w:rPr>
            </w:pPr>
            <w:r>
              <w:rPr>
                <w:rFonts w:ascii="Times New Roman" w:hAnsi="Times New Roman"/>
                <w:b w:val="0"/>
                <w:lang w:val="en-GB"/>
              </w:rPr>
              <w:t>Yes</w:t>
            </w:r>
          </w:p>
        </w:tc>
      </w:tr>
      <w:tr w:rsidR="003403D9" w:rsidRPr="00900E9B" w14:paraId="538D2F47" w14:textId="77777777">
        <w:trPr>
          <w:trHeight w:val="1262"/>
        </w:trPr>
        <w:tc>
          <w:tcPr>
            <w:tcW w:w="1265" w:type="pct"/>
            <w:noWrap/>
          </w:tcPr>
          <w:p w14:paraId="1389E099" w14:textId="77777777" w:rsidR="003403D9" w:rsidRPr="00900E9B" w:rsidRDefault="003403D9">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2B79FCDD" w14:textId="77777777" w:rsidR="003403D9" w:rsidRPr="00900E9B" w:rsidRDefault="003403D9">
            <w:pPr>
              <w:pStyle w:val="Heading2"/>
              <w:jc w:val="left"/>
              <w:rPr>
                <w:rFonts w:ascii="Times New Roman" w:hAnsi="Times New Roman"/>
                <w:u w:val="single"/>
                <w:lang w:val="en-GB"/>
              </w:rPr>
            </w:pPr>
          </w:p>
        </w:tc>
        <w:tc>
          <w:tcPr>
            <w:tcW w:w="2212" w:type="pct"/>
          </w:tcPr>
          <w:p w14:paraId="01E6755E" w14:textId="77777777" w:rsidR="002B4AD4" w:rsidRPr="002B4AD4" w:rsidRDefault="002B4AD4" w:rsidP="002B4AD4">
            <w:pPr>
              <w:rPr>
                <w:sz w:val="22"/>
                <w:szCs w:val="22"/>
                <w:lang w:val="en-GB"/>
              </w:rPr>
            </w:pPr>
            <w:r w:rsidRPr="002B4AD4">
              <w:rPr>
                <w:sz w:val="22"/>
                <w:szCs w:val="22"/>
                <w:lang w:val="en-GB"/>
              </w:rPr>
              <w:t>Yes, it is comprehensive. It follows a logical structure: background, cas</w:t>
            </w:r>
            <w:r>
              <w:rPr>
                <w:sz w:val="22"/>
                <w:szCs w:val="22"/>
                <w:lang w:val="en-GB"/>
              </w:rPr>
              <w:t>e presentation, and conclusion ,</w:t>
            </w:r>
            <w:r w:rsidRPr="002B4AD4">
              <w:rPr>
                <w:sz w:val="22"/>
                <w:szCs w:val="22"/>
                <w:lang w:val="en-GB"/>
              </w:rPr>
              <w:t xml:space="preserve"> </w:t>
            </w:r>
          </w:p>
          <w:p w14:paraId="01314AC7" w14:textId="77777777" w:rsidR="003403D9" w:rsidRPr="002B4AD4" w:rsidRDefault="002B4AD4" w:rsidP="002B4AD4">
            <w:pPr>
              <w:rPr>
                <w:sz w:val="22"/>
                <w:szCs w:val="22"/>
                <w:lang w:val="en-GB"/>
              </w:rPr>
            </w:pPr>
            <w:r w:rsidRPr="002B4AD4">
              <w:rPr>
                <w:sz w:val="22"/>
                <w:szCs w:val="22"/>
                <w:lang w:val="en-GB"/>
              </w:rPr>
              <w:t>Suggestion: For even greater clarity, the abstract could explicitly mention the anomalous origin of the common hepatic artery from the SMA, as this is a significant surgical finding noted in the full text.</w:t>
            </w:r>
          </w:p>
        </w:tc>
        <w:tc>
          <w:tcPr>
            <w:tcW w:w="1523" w:type="pct"/>
          </w:tcPr>
          <w:p w14:paraId="5B0E6D8A" w14:textId="44093BE1" w:rsidR="003403D9" w:rsidRPr="00900E9B" w:rsidRDefault="00DF00B4">
            <w:pPr>
              <w:pStyle w:val="Heading2"/>
              <w:jc w:val="left"/>
              <w:rPr>
                <w:rFonts w:ascii="Times New Roman" w:hAnsi="Times New Roman"/>
                <w:b w:val="0"/>
                <w:lang w:val="en-GB"/>
              </w:rPr>
            </w:pPr>
            <w:r>
              <w:rPr>
                <w:rFonts w:ascii="Times New Roman" w:hAnsi="Times New Roman"/>
                <w:b w:val="0"/>
                <w:lang w:val="en-GB"/>
              </w:rPr>
              <w:t>Yes.</w:t>
            </w:r>
          </w:p>
        </w:tc>
      </w:tr>
      <w:tr w:rsidR="003403D9" w:rsidRPr="00900E9B" w14:paraId="22CCCCF1" w14:textId="77777777">
        <w:trPr>
          <w:trHeight w:val="704"/>
        </w:trPr>
        <w:tc>
          <w:tcPr>
            <w:tcW w:w="1265" w:type="pct"/>
            <w:noWrap/>
          </w:tcPr>
          <w:p w14:paraId="6A5B8FF5" w14:textId="77777777" w:rsidR="003403D9" w:rsidRPr="00900E9B" w:rsidRDefault="003403D9">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55AE89B0" w14:textId="77777777" w:rsidR="003403D9" w:rsidRPr="002B4AD4" w:rsidRDefault="002B4AD4" w:rsidP="002B4AD4">
            <w:pPr>
              <w:pStyle w:val="ListParagraph"/>
              <w:ind w:left="0"/>
              <w:rPr>
                <w:sz w:val="22"/>
                <w:szCs w:val="22"/>
                <w:lang w:val="en-GB"/>
              </w:rPr>
            </w:pPr>
            <w:r w:rsidRPr="002B4AD4">
              <w:rPr>
                <w:sz w:val="22"/>
                <w:szCs w:val="22"/>
                <w:lang w:val="en-GB"/>
              </w:rPr>
              <w:t>Yes. The pathophysiology described—involving both mesenteric ischemia and celiac plexus irritation—aligns with current medical understanding</w:t>
            </w:r>
            <w:r>
              <w:rPr>
                <w:sz w:val="22"/>
                <w:szCs w:val="22"/>
                <w:lang w:val="en-GB"/>
              </w:rPr>
              <w:t xml:space="preserve"> , </w:t>
            </w:r>
            <w:r w:rsidRPr="002B4AD4">
              <w:rPr>
                <w:sz w:val="22"/>
                <w:szCs w:val="22"/>
                <w:lang w:val="en-GB"/>
              </w:rPr>
              <w:t>The diagnostic use of CT angiography to identify the "hooked" appearance and the choice of laparoscopic release as the definitive treatment are consistent with established clinical guidelines</w:t>
            </w:r>
          </w:p>
        </w:tc>
        <w:tc>
          <w:tcPr>
            <w:tcW w:w="1523" w:type="pct"/>
          </w:tcPr>
          <w:p w14:paraId="23E4FD0E" w14:textId="10AC8B38" w:rsidR="003403D9" w:rsidRPr="00900E9B" w:rsidRDefault="005A51FD">
            <w:pPr>
              <w:pStyle w:val="Heading2"/>
              <w:jc w:val="left"/>
              <w:rPr>
                <w:rFonts w:ascii="Times New Roman" w:hAnsi="Times New Roman"/>
                <w:b w:val="0"/>
                <w:lang w:val="en-GB"/>
              </w:rPr>
            </w:pPr>
            <w:r>
              <w:rPr>
                <w:rFonts w:ascii="Times New Roman" w:hAnsi="Times New Roman"/>
                <w:b w:val="0"/>
                <w:lang w:val="en-GB"/>
              </w:rPr>
              <w:t>Yes</w:t>
            </w:r>
          </w:p>
        </w:tc>
      </w:tr>
      <w:tr w:rsidR="003403D9" w:rsidRPr="00900E9B" w14:paraId="7487F462" w14:textId="77777777">
        <w:trPr>
          <w:trHeight w:val="703"/>
        </w:trPr>
        <w:tc>
          <w:tcPr>
            <w:tcW w:w="1265" w:type="pct"/>
            <w:noWrap/>
          </w:tcPr>
          <w:p w14:paraId="25DEFEA3" w14:textId="77777777" w:rsidR="003403D9" w:rsidRPr="00E10705" w:rsidRDefault="003403D9">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76DB78D2" w14:textId="77777777" w:rsidR="003403D9" w:rsidRPr="002B4AD4" w:rsidRDefault="002B4AD4" w:rsidP="002B4AD4">
            <w:pPr>
              <w:pStyle w:val="ListParagraph"/>
              <w:ind w:left="0"/>
              <w:rPr>
                <w:sz w:val="22"/>
                <w:szCs w:val="22"/>
                <w:lang w:val="en-GB"/>
              </w:rPr>
            </w:pPr>
            <w:r w:rsidRPr="002B4AD4">
              <w:rPr>
                <w:sz w:val="22"/>
                <w:szCs w:val="22"/>
                <w:lang w:val="en-GB"/>
              </w:rPr>
              <w:t xml:space="preserve">The manuscript cites 18 references, many of which are very recent (ranging from 2021 to 2025), including updated editions of major surgical textbooks like Bailey &amp; Love and </w:t>
            </w:r>
            <w:proofErr w:type="spellStart"/>
            <w:r w:rsidRPr="002B4AD4">
              <w:rPr>
                <w:sz w:val="22"/>
                <w:szCs w:val="22"/>
                <w:lang w:val="en-GB"/>
              </w:rPr>
              <w:t>Sabiston</w:t>
            </w:r>
            <w:proofErr w:type="spellEnd"/>
            <w:r w:rsidRPr="002B4AD4">
              <w:rPr>
                <w:sz w:val="22"/>
                <w:szCs w:val="22"/>
                <w:lang w:val="en-GB"/>
              </w:rPr>
              <w:t xml:space="preserve"> </w:t>
            </w:r>
            <w:r>
              <w:rPr>
                <w:sz w:val="22"/>
                <w:szCs w:val="22"/>
                <w:lang w:val="en-GB"/>
              </w:rPr>
              <w:t xml:space="preserve">, </w:t>
            </w:r>
            <w:r w:rsidRPr="002B4AD4">
              <w:rPr>
                <w:sz w:val="22"/>
                <w:szCs w:val="22"/>
                <w:lang w:val="en-GB"/>
              </w:rPr>
              <w:t>The references cover the specific syndromes discussed (MALS and Nutcracker) and contemporary surgical techniques</w:t>
            </w:r>
          </w:p>
        </w:tc>
        <w:tc>
          <w:tcPr>
            <w:tcW w:w="1523" w:type="pct"/>
          </w:tcPr>
          <w:p w14:paraId="5CB706AD" w14:textId="0F6B2702" w:rsidR="003403D9" w:rsidRPr="00900E9B" w:rsidRDefault="005A51FD">
            <w:pPr>
              <w:pStyle w:val="Heading2"/>
              <w:jc w:val="left"/>
              <w:rPr>
                <w:rFonts w:ascii="Times New Roman" w:hAnsi="Times New Roman"/>
                <w:b w:val="0"/>
                <w:lang w:val="en-GB"/>
              </w:rPr>
            </w:pPr>
            <w:r>
              <w:rPr>
                <w:rFonts w:ascii="Times New Roman" w:hAnsi="Times New Roman"/>
                <w:b w:val="0"/>
                <w:lang w:val="en-GB"/>
              </w:rPr>
              <w:t>Yes</w:t>
            </w:r>
          </w:p>
        </w:tc>
      </w:tr>
      <w:tr w:rsidR="003403D9" w:rsidRPr="00900E9B" w14:paraId="74F1B050" w14:textId="77777777">
        <w:trPr>
          <w:trHeight w:val="386"/>
        </w:trPr>
        <w:tc>
          <w:tcPr>
            <w:tcW w:w="1265" w:type="pct"/>
            <w:noWrap/>
          </w:tcPr>
          <w:p w14:paraId="1EB75621" w14:textId="77777777" w:rsidR="003403D9" w:rsidRPr="00900E9B" w:rsidRDefault="003403D9">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7A6FF37F" w14:textId="77777777" w:rsidR="003403D9" w:rsidRPr="00900E9B" w:rsidRDefault="003403D9">
            <w:pPr>
              <w:rPr>
                <w:sz w:val="20"/>
                <w:szCs w:val="20"/>
                <w:lang w:val="en-GB"/>
              </w:rPr>
            </w:pPr>
          </w:p>
        </w:tc>
        <w:tc>
          <w:tcPr>
            <w:tcW w:w="2212" w:type="pct"/>
          </w:tcPr>
          <w:p w14:paraId="33DD423A" w14:textId="77777777" w:rsidR="003403D9" w:rsidRPr="002B4AD4" w:rsidRDefault="002B4AD4" w:rsidP="002B4AD4">
            <w:pPr>
              <w:rPr>
                <w:sz w:val="22"/>
                <w:szCs w:val="22"/>
                <w:lang w:val="en-GB"/>
              </w:rPr>
            </w:pPr>
            <w:r w:rsidRPr="002B4AD4">
              <w:rPr>
                <w:sz w:val="22"/>
                <w:szCs w:val="22"/>
                <w:lang w:val="en-GB"/>
              </w:rPr>
              <w:t>Yes. The language is professional, uses correct medical terminology (e.g., "circumferential skeletonization," "neurolysis," "post-stenotic dilatation"), and is well-structured for scholarly communication.</w:t>
            </w:r>
          </w:p>
        </w:tc>
        <w:tc>
          <w:tcPr>
            <w:tcW w:w="1523" w:type="pct"/>
          </w:tcPr>
          <w:p w14:paraId="4A4284E9" w14:textId="357F5B57" w:rsidR="003403D9" w:rsidRPr="00900E9B" w:rsidRDefault="005A51FD">
            <w:pPr>
              <w:rPr>
                <w:sz w:val="20"/>
                <w:szCs w:val="20"/>
                <w:lang w:val="en-GB"/>
              </w:rPr>
            </w:pPr>
            <w:r>
              <w:rPr>
                <w:sz w:val="20"/>
                <w:szCs w:val="20"/>
                <w:lang w:val="en-GB"/>
              </w:rPr>
              <w:t>Yes.</w:t>
            </w:r>
          </w:p>
        </w:tc>
      </w:tr>
      <w:tr w:rsidR="003403D9" w:rsidRPr="00900E9B" w14:paraId="22EF0D18" w14:textId="77777777">
        <w:trPr>
          <w:trHeight w:val="1178"/>
        </w:trPr>
        <w:tc>
          <w:tcPr>
            <w:tcW w:w="1265" w:type="pct"/>
            <w:noWrap/>
          </w:tcPr>
          <w:p w14:paraId="7705ECD0" w14:textId="77777777" w:rsidR="003403D9" w:rsidRPr="00900E9B" w:rsidRDefault="003403D9">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395ADC3A" w14:textId="77777777" w:rsidR="003403D9" w:rsidRPr="00900E9B" w:rsidRDefault="003403D9">
            <w:pPr>
              <w:pStyle w:val="Heading2"/>
              <w:jc w:val="left"/>
              <w:rPr>
                <w:rFonts w:ascii="Times New Roman" w:hAnsi="Times New Roman"/>
                <w:b w:val="0"/>
                <w:lang w:val="en-GB"/>
              </w:rPr>
            </w:pPr>
          </w:p>
        </w:tc>
        <w:tc>
          <w:tcPr>
            <w:tcW w:w="2212" w:type="pct"/>
          </w:tcPr>
          <w:p w14:paraId="6DBF6FDD" w14:textId="77777777" w:rsidR="003403D9" w:rsidRPr="002B4AD4" w:rsidRDefault="002B4AD4" w:rsidP="002B4AD4">
            <w:pPr>
              <w:pStyle w:val="NormalWeb"/>
              <w:spacing w:before="0" w:beforeAutospacing="0" w:after="0" w:afterAutospacing="0"/>
              <w:rPr>
                <w:rFonts w:ascii="Times New Roman" w:hAnsi="Times New Roman" w:cs="Times New Roman"/>
                <w:sz w:val="22"/>
                <w:szCs w:val="22"/>
                <w:lang w:val="en-GB"/>
              </w:rPr>
            </w:pPr>
            <w:r w:rsidRPr="002B4AD4">
              <w:rPr>
                <w:rFonts w:ascii="Times New Roman" w:hAnsi="Times New Roman" w:cs="Times New Roman"/>
                <w:sz w:val="22"/>
                <w:szCs w:val="22"/>
                <w:lang w:val="en-GB"/>
              </w:rPr>
              <w:t>The inclusion of both CT imaging and intraoperative laparoscopic photos provides excellent visual evidence of the pathology.</w:t>
            </w:r>
          </w:p>
        </w:tc>
        <w:tc>
          <w:tcPr>
            <w:tcW w:w="1523" w:type="pct"/>
          </w:tcPr>
          <w:p w14:paraId="64336679" w14:textId="77777777" w:rsidR="003403D9" w:rsidRPr="00900E9B" w:rsidRDefault="003403D9">
            <w:pPr>
              <w:rPr>
                <w:sz w:val="20"/>
                <w:szCs w:val="20"/>
                <w:lang w:val="en-GB"/>
              </w:rPr>
            </w:pPr>
          </w:p>
        </w:tc>
      </w:tr>
    </w:tbl>
    <w:p w14:paraId="47D62317" w14:textId="77777777" w:rsidR="003403D9" w:rsidRPr="00900E9B" w:rsidRDefault="003403D9" w:rsidP="003403D9">
      <w:pPr>
        <w:pStyle w:val="BodyText"/>
        <w:rPr>
          <w:rFonts w:ascii="Times New Roman" w:hAnsi="Times New Roman"/>
          <w:b/>
          <w:bCs/>
          <w:sz w:val="20"/>
          <w:szCs w:val="20"/>
          <w:u w:val="single"/>
          <w:lang w:val="en-GB"/>
        </w:rPr>
      </w:pPr>
    </w:p>
    <w:p w14:paraId="7D0D0D3B" w14:textId="77777777" w:rsidR="003403D9" w:rsidRPr="00900E9B" w:rsidRDefault="003403D9" w:rsidP="003403D9">
      <w:pPr>
        <w:pStyle w:val="BodyText"/>
        <w:rPr>
          <w:rFonts w:ascii="Times New Roman" w:hAnsi="Times New Roman"/>
          <w:b/>
          <w:bCs/>
          <w:sz w:val="20"/>
          <w:szCs w:val="20"/>
          <w:u w:val="single"/>
          <w:lang w:val="en-GB"/>
        </w:rPr>
      </w:pPr>
    </w:p>
    <w:p w14:paraId="78C19581" w14:textId="77777777" w:rsidR="003403D9" w:rsidRPr="00900E9B" w:rsidRDefault="003403D9" w:rsidP="003403D9">
      <w:pPr>
        <w:pStyle w:val="BodyText"/>
        <w:rPr>
          <w:rFonts w:ascii="Times New Roman" w:hAnsi="Times New Roman"/>
          <w:b/>
          <w:bCs/>
          <w:sz w:val="20"/>
          <w:szCs w:val="20"/>
          <w:u w:val="single"/>
          <w:lang w:val="en-GB"/>
        </w:rPr>
      </w:pPr>
    </w:p>
    <w:p w14:paraId="3591667B" w14:textId="77777777" w:rsidR="003403D9" w:rsidRPr="00900E9B" w:rsidRDefault="003403D9" w:rsidP="003403D9">
      <w:pPr>
        <w:pStyle w:val="BodyText"/>
        <w:rPr>
          <w:rFonts w:ascii="Times New Roman" w:hAnsi="Times New Roman"/>
          <w:b/>
          <w:bCs/>
          <w:sz w:val="20"/>
          <w:szCs w:val="20"/>
          <w:u w:val="single"/>
          <w:lang w:val="en-GB"/>
        </w:rPr>
      </w:pPr>
    </w:p>
    <w:p w14:paraId="261556D3" w14:textId="77777777" w:rsidR="003403D9" w:rsidRPr="00900E9B" w:rsidRDefault="003403D9" w:rsidP="003403D9">
      <w:pPr>
        <w:pStyle w:val="BodyText"/>
        <w:rPr>
          <w:rFonts w:ascii="Times New Roman" w:hAnsi="Times New Roman"/>
          <w:b/>
          <w:bCs/>
          <w:sz w:val="20"/>
          <w:szCs w:val="20"/>
          <w:u w:val="single"/>
          <w:lang w:val="en-GB"/>
        </w:rPr>
      </w:pPr>
    </w:p>
    <w:p w14:paraId="1BB0A3D6" w14:textId="77777777" w:rsidR="003403D9" w:rsidRDefault="003403D9" w:rsidP="003403D9">
      <w:pPr>
        <w:pStyle w:val="BodyText"/>
        <w:rPr>
          <w:rFonts w:ascii="Times New Roman" w:hAnsi="Times New Roman"/>
          <w:b/>
          <w:bCs/>
          <w:sz w:val="20"/>
          <w:szCs w:val="20"/>
          <w:u w:val="single"/>
          <w:lang w:val="en-GB"/>
        </w:rPr>
      </w:pPr>
    </w:p>
    <w:p w14:paraId="628A11A5" w14:textId="77777777" w:rsidR="009F4955" w:rsidRPr="00900E9B" w:rsidRDefault="009F4955" w:rsidP="003403D9">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3403D9" w:rsidRPr="00900E9B" w14:paraId="415482AF"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65D3DD07" w14:textId="77777777" w:rsidR="003403D9" w:rsidRPr="00900E9B" w:rsidRDefault="003403D9">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lastRenderedPageBreak/>
              <w:t>PART  2:</w:t>
            </w:r>
            <w:r w:rsidRPr="00900E9B">
              <w:rPr>
                <w:rFonts w:ascii="Times New Roman" w:hAnsi="Times New Roman" w:cs="Times New Roman"/>
                <w:b/>
                <w:sz w:val="20"/>
                <w:szCs w:val="20"/>
                <w:u w:val="single"/>
                <w:lang w:val="en-GB"/>
              </w:rPr>
              <w:t xml:space="preserve"> </w:t>
            </w:r>
          </w:p>
          <w:p w14:paraId="0BD33993" w14:textId="77777777" w:rsidR="003403D9" w:rsidRPr="00900E9B" w:rsidRDefault="003403D9">
            <w:pPr>
              <w:pStyle w:val="NormalWeb"/>
              <w:spacing w:before="0" w:beforeAutospacing="0" w:after="0" w:afterAutospacing="0"/>
              <w:rPr>
                <w:rFonts w:ascii="Times New Roman" w:hAnsi="Times New Roman" w:cs="Times New Roman"/>
                <w:b/>
                <w:sz w:val="20"/>
                <w:szCs w:val="20"/>
                <w:u w:val="single"/>
                <w:lang w:val="en-GB"/>
              </w:rPr>
            </w:pPr>
          </w:p>
        </w:tc>
      </w:tr>
      <w:tr w:rsidR="003403D9" w:rsidRPr="00900E9B" w14:paraId="02E53DB2" w14:textId="77777777">
        <w:trPr>
          <w:trHeight w:val="935"/>
        </w:trPr>
        <w:tc>
          <w:tcPr>
            <w:tcW w:w="1615" w:type="pct"/>
            <w:noWrap/>
            <w:tcMar>
              <w:top w:w="0" w:type="dxa"/>
              <w:left w:w="108" w:type="dxa"/>
              <w:bottom w:w="0" w:type="dxa"/>
              <w:right w:w="108" w:type="dxa"/>
            </w:tcMar>
            <w:vAlign w:val="center"/>
          </w:tcPr>
          <w:p w14:paraId="62265BF3" w14:textId="77777777" w:rsidR="003403D9" w:rsidRPr="00900E9B" w:rsidRDefault="003403D9">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74A25416" w14:textId="77777777" w:rsidR="003403D9" w:rsidRPr="00900E9B" w:rsidRDefault="003403D9">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1280D5E4" w14:textId="77777777" w:rsidR="002D5CDA" w:rsidRDefault="002D5CDA" w:rsidP="002D5CDA">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39A5614" w14:textId="77777777" w:rsidR="003403D9" w:rsidRPr="00900E9B" w:rsidRDefault="003403D9">
            <w:pPr>
              <w:pStyle w:val="Heading2"/>
              <w:jc w:val="left"/>
              <w:rPr>
                <w:rFonts w:ascii="Times New Roman" w:hAnsi="Times New Roman"/>
                <w:b w:val="0"/>
                <w:lang w:val="en-GB"/>
              </w:rPr>
            </w:pPr>
          </w:p>
        </w:tc>
      </w:tr>
      <w:tr w:rsidR="002B4AD4" w:rsidRPr="00900E9B" w14:paraId="2E849A91" w14:textId="77777777" w:rsidTr="00FD4DB6">
        <w:trPr>
          <w:trHeight w:val="697"/>
        </w:trPr>
        <w:tc>
          <w:tcPr>
            <w:tcW w:w="1615" w:type="pct"/>
            <w:noWrap/>
            <w:tcMar>
              <w:top w:w="0" w:type="dxa"/>
              <w:left w:w="108" w:type="dxa"/>
              <w:bottom w:w="0" w:type="dxa"/>
              <w:right w:w="108" w:type="dxa"/>
            </w:tcMar>
            <w:vAlign w:val="center"/>
          </w:tcPr>
          <w:p w14:paraId="2F7C95E1" w14:textId="77777777" w:rsidR="002B4AD4" w:rsidRPr="00900E9B" w:rsidRDefault="002B4AD4">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598EA5C4" w14:textId="77777777" w:rsidR="002B4AD4" w:rsidRPr="00900E9B" w:rsidRDefault="002B4AD4">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507A368E" w14:textId="77777777" w:rsidR="002B4AD4" w:rsidRPr="001B0BE4" w:rsidRDefault="002B4AD4" w:rsidP="00FD4DB6"/>
        </w:tc>
        <w:tc>
          <w:tcPr>
            <w:tcW w:w="1342" w:type="pct"/>
            <w:vAlign w:val="center"/>
          </w:tcPr>
          <w:p w14:paraId="7B8BC411" w14:textId="77777777" w:rsidR="002B4AD4" w:rsidRPr="00900E9B" w:rsidRDefault="002B4AD4">
            <w:pPr>
              <w:rPr>
                <w:rFonts w:eastAsia="Arial Unicode MS"/>
                <w:sz w:val="20"/>
                <w:szCs w:val="20"/>
                <w:lang w:val="en-GB"/>
              </w:rPr>
            </w:pPr>
          </w:p>
          <w:p w14:paraId="3BEDC240" w14:textId="5C799FB6" w:rsidR="002B4AD4" w:rsidRPr="00900E9B" w:rsidRDefault="003F0CD1">
            <w:pPr>
              <w:rPr>
                <w:rFonts w:eastAsia="Arial Unicode MS"/>
                <w:sz w:val="20"/>
                <w:szCs w:val="20"/>
                <w:lang w:val="en-GB"/>
              </w:rPr>
            </w:pPr>
            <w:r>
              <w:rPr>
                <w:rFonts w:eastAsia="Arial Unicode MS"/>
                <w:sz w:val="20"/>
                <w:szCs w:val="20"/>
                <w:lang w:val="en-GB"/>
              </w:rPr>
              <w:t>No any ethical issues.</w:t>
            </w:r>
          </w:p>
          <w:p w14:paraId="2B41F7AE" w14:textId="77777777" w:rsidR="002B4AD4" w:rsidRPr="00900E9B" w:rsidRDefault="002B4AD4">
            <w:pPr>
              <w:rPr>
                <w:rFonts w:eastAsia="Arial Unicode MS"/>
                <w:sz w:val="20"/>
                <w:szCs w:val="20"/>
                <w:lang w:val="en-GB"/>
              </w:rPr>
            </w:pPr>
          </w:p>
          <w:p w14:paraId="1CC78D4E" w14:textId="77777777" w:rsidR="002B4AD4" w:rsidRPr="00900E9B" w:rsidRDefault="002B4AD4">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302A6D1E" w14:textId="77777777" w:rsidR="003403D9" w:rsidRDefault="003403D9" w:rsidP="003403D9">
      <w:pPr>
        <w:pStyle w:val="BodyText"/>
        <w:outlineLvl w:val="0"/>
        <w:rPr>
          <w:rFonts w:ascii="Arial" w:hAnsi="Arial" w:cs="Arial"/>
          <w:sz w:val="20"/>
          <w:szCs w:val="20"/>
          <w:lang w:val="en-GB"/>
        </w:rPr>
      </w:pPr>
    </w:p>
    <w:sectPr w:rsidR="003403D9" w:rsidSect="0034734B">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A4581" w14:textId="77777777" w:rsidR="00FF3915" w:rsidRPr="0000007A" w:rsidRDefault="00FF3915" w:rsidP="0099583E">
      <w:r>
        <w:separator/>
      </w:r>
    </w:p>
  </w:endnote>
  <w:endnote w:type="continuationSeparator" w:id="0">
    <w:p w14:paraId="4DC2E0F2" w14:textId="77777777" w:rsidR="00FF3915" w:rsidRPr="0000007A" w:rsidRDefault="00FF391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0000000000000000000"/>
    <w:charset w:val="00"/>
    <w:family w:val="auto"/>
    <w:pitch w:val="variable"/>
    <w:sig w:usb0="E00002FF" w:usb1="5000785B"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B537B"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051A0" w:rsidRPr="00A051A0">
      <w:rPr>
        <w:sz w:val="16"/>
      </w:rPr>
      <w:t xml:space="preserve">Version: </w:t>
    </w:r>
    <w:r w:rsidR="00B805C5">
      <w:rPr>
        <w:sz w:val="16"/>
      </w:rPr>
      <w:t>3</w:t>
    </w:r>
    <w:r w:rsidR="00A051A0" w:rsidRPr="00A051A0">
      <w:rPr>
        <w:sz w:val="16"/>
      </w:rPr>
      <w:t xml:space="preserve"> (0</w:t>
    </w:r>
    <w:r w:rsidR="00B805C5">
      <w:rPr>
        <w:sz w:val="16"/>
      </w:rPr>
      <w:t>7</w:t>
    </w:r>
    <w:r w:rsidR="00A051A0" w:rsidRPr="00A051A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6C771" w14:textId="77777777" w:rsidR="00FF3915" w:rsidRPr="0000007A" w:rsidRDefault="00FF3915" w:rsidP="0099583E">
      <w:r>
        <w:separator/>
      </w:r>
    </w:p>
  </w:footnote>
  <w:footnote w:type="continuationSeparator" w:id="0">
    <w:p w14:paraId="41D3B3CC" w14:textId="77777777" w:rsidR="00FF3915" w:rsidRPr="0000007A" w:rsidRDefault="00FF391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A78B0"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224DC7E"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805C5">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60120429">
    <w:abstractNumId w:val="4"/>
  </w:num>
  <w:num w:numId="2" w16cid:durableId="665473838">
    <w:abstractNumId w:val="8"/>
  </w:num>
  <w:num w:numId="3" w16cid:durableId="1174420905">
    <w:abstractNumId w:val="7"/>
  </w:num>
  <w:num w:numId="4" w16cid:durableId="1011957550">
    <w:abstractNumId w:val="9"/>
  </w:num>
  <w:num w:numId="5" w16cid:durableId="38365607">
    <w:abstractNumId w:val="6"/>
  </w:num>
  <w:num w:numId="6" w16cid:durableId="1963339212">
    <w:abstractNumId w:val="0"/>
  </w:num>
  <w:num w:numId="7" w16cid:durableId="453522899">
    <w:abstractNumId w:val="3"/>
  </w:num>
  <w:num w:numId="8" w16cid:durableId="555354605">
    <w:abstractNumId w:val="11"/>
  </w:num>
  <w:num w:numId="9" w16cid:durableId="28065833">
    <w:abstractNumId w:val="10"/>
  </w:num>
  <w:num w:numId="10" w16cid:durableId="943223279">
    <w:abstractNumId w:val="2"/>
  </w:num>
  <w:num w:numId="11" w16cid:durableId="890917972">
    <w:abstractNumId w:val="1"/>
  </w:num>
  <w:num w:numId="12" w16cid:durableId="15388168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131078" w:nlCheck="1" w:checkStyle="1"/>
  <w:proofState w:spelling="clean"/>
  <w:defaultTabStop w:val="720"/>
  <w:hyphenationZone w:val="425"/>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tDAyMjEyNjGyNDA3MjJS0lEKTi0uzszPAykwrAUAylL8XiwAAAA="/>
  </w:docVars>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63DD"/>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091A"/>
    <w:rsid w:val="00262634"/>
    <w:rsid w:val="002643B3"/>
    <w:rsid w:val="00275984"/>
    <w:rsid w:val="00280EC9"/>
    <w:rsid w:val="00291D08"/>
    <w:rsid w:val="00293482"/>
    <w:rsid w:val="002B4AD4"/>
    <w:rsid w:val="002D5924"/>
    <w:rsid w:val="002D5CDA"/>
    <w:rsid w:val="002D7EA9"/>
    <w:rsid w:val="002E1211"/>
    <w:rsid w:val="002E2339"/>
    <w:rsid w:val="002E6D86"/>
    <w:rsid w:val="002F6935"/>
    <w:rsid w:val="00312559"/>
    <w:rsid w:val="003204B8"/>
    <w:rsid w:val="0033692F"/>
    <w:rsid w:val="003403D9"/>
    <w:rsid w:val="00346223"/>
    <w:rsid w:val="0034734B"/>
    <w:rsid w:val="00350CC0"/>
    <w:rsid w:val="003578E7"/>
    <w:rsid w:val="003A04E7"/>
    <w:rsid w:val="003A4991"/>
    <w:rsid w:val="003A6E1A"/>
    <w:rsid w:val="003B2172"/>
    <w:rsid w:val="003E746A"/>
    <w:rsid w:val="003F0CD1"/>
    <w:rsid w:val="0042465A"/>
    <w:rsid w:val="004356CC"/>
    <w:rsid w:val="00435B36"/>
    <w:rsid w:val="00442B24"/>
    <w:rsid w:val="0044444D"/>
    <w:rsid w:val="0044519B"/>
    <w:rsid w:val="00445B35"/>
    <w:rsid w:val="00446659"/>
    <w:rsid w:val="004509EA"/>
    <w:rsid w:val="00457AB1"/>
    <w:rsid w:val="00457BC0"/>
    <w:rsid w:val="00462996"/>
    <w:rsid w:val="004674B4"/>
    <w:rsid w:val="004A4309"/>
    <w:rsid w:val="004B4CAD"/>
    <w:rsid w:val="004B4FDC"/>
    <w:rsid w:val="004C3DF1"/>
    <w:rsid w:val="004D2E36"/>
    <w:rsid w:val="004D603F"/>
    <w:rsid w:val="00503AB6"/>
    <w:rsid w:val="005047C5"/>
    <w:rsid w:val="00510920"/>
    <w:rsid w:val="00521812"/>
    <w:rsid w:val="00523D2C"/>
    <w:rsid w:val="00527B93"/>
    <w:rsid w:val="00531C82"/>
    <w:rsid w:val="005339A8"/>
    <w:rsid w:val="00533FC1"/>
    <w:rsid w:val="00535466"/>
    <w:rsid w:val="0054564B"/>
    <w:rsid w:val="00545A13"/>
    <w:rsid w:val="00546343"/>
    <w:rsid w:val="00557CD3"/>
    <w:rsid w:val="00560D3C"/>
    <w:rsid w:val="00567DE0"/>
    <w:rsid w:val="005735A5"/>
    <w:rsid w:val="0057519A"/>
    <w:rsid w:val="005A51FD"/>
    <w:rsid w:val="005A526C"/>
    <w:rsid w:val="005A5BE0"/>
    <w:rsid w:val="005B12E0"/>
    <w:rsid w:val="005C25A0"/>
    <w:rsid w:val="005D230D"/>
    <w:rsid w:val="005E0337"/>
    <w:rsid w:val="005E130F"/>
    <w:rsid w:val="005E6ACF"/>
    <w:rsid w:val="00602F7D"/>
    <w:rsid w:val="00603C9C"/>
    <w:rsid w:val="00605952"/>
    <w:rsid w:val="00620677"/>
    <w:rsid w:val="00624032"/>
    <w:rsid w:val="0063165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50198"/>
    <w:rsid w:val="00766889"/>
    <w:rsid w:val="00766A0D"/>
    <w:rsid w:val="00767F8C"/>
    <w:rsid w:val="00780B67"/>
    <w:rsid w:val="007B1099"/>
    <w:rsid w:val="007B6E18"/>
    <w:rsid w:val="007C2992"/>
    <w:rsid w:val="007D0246"/>
    <w:rsid w:val="007F5873"/>
    <w:rsid w:val="00802F36"/>
    <w:rsid w:val="00806382"/>
    <w:rsid w:val="00815F94"/>
    <w:rsid w:val="0082130C"/>
    <w:rsid w:val="008224E2"/>
    <w:rsid w:val="00825DC9"/>
    <w:rsid w:val="0082676D"/>
    <w:rsid w:val="00831055"/>
    <w:rsid w:val="00835642"/>
    <w:rsid w:val="008423BB"/>
    <w:rsid w:val="00846F1F"/>
    <w:rsid w:val="008611C3"/>
    <w:rsid w:val="0087201B"/>
    <w:rsid w:val="00877F10"/>
    <w:rsid w:val="00882091"/>
    <w:rsid w:val="008913D5"/>
    <w:rsid w:val="00893E75"/>
    <w:rsid w:val="008C2778"/>
    <w:rsid w:val="008C2F62"/>
    <w:rsid w:val="008D020E"/>
    <w:rsid w:val="008D1117"/>
    <w:rsid w:val="008D15A4"/>
    <w:rsid w:val="008D6282"/>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9F4955"/>
    <w:rsid w:val="00A001A0"/>
    <w:rsid w:val="00A05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5C5"/>
    <w:rsid w:val="00B807F8"/>
    <w:rsid w:val="00B858FF"/>
    <w:rsid w:val="00BA1AB3"/>
    <w:rsid w:val="00BA6421"/>
    <w:rsid w:val="00BB34E6"/>
    <w:rsid w:val="00BB4FEC"/>
    <w:rsid w:val="00BC402F"/>
    <w:rsid w:val="00BD27BA"/>
    <w:rsid w:val="00BE13EF"/>
    <w:rsid w:val="00BE40A5"/>
    <w:rsid w:val="00BE6454"/>
    <w:rsid w:val="00BF39A4"/>
    <w:rsid w:val="00C02797"/>
    <w:rsid w:val="00C049A1"/>
    <w:rsid w:val="00C10283"/>
    <w:rsid w:val="00C110CC"/>
    <w:rsid w:val="00C22886"/>
    <w:rsid w:val="00C25C8F"/>
    <w:rsid w:val="00C263C6"/>
    <w:rsid w:val="00C6332C"/>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DF00B4"/>
    <w:rsid w:val="00E3752F"/>
    <w:rsid w:val="00E41378"/>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4DB6"/>
    <w:rsid w:val="00FD70A7"/>
    <w:rsid w:val="00FF09A0"/>
    <w:rsid w:val="00FF391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45331F3D"/>
  <w15:chartTrackingRefBased/>
  <w15:docId w15:val="{804D92CC-913D-2949-BA2F-84D9B1A61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5354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3577884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31511788">
      <w:bodyDiv w:val="1"/>
      <w:marLeft w:val="0"/>
      <w:marRight w:val="0"/>
      <w:marTop w:val="0"/>
      <w:marBottom w:val="0"/>
      <w:divBdr>
        <w:top w:val="none" w:sz="0" w:space="0" w:color="auto"/>
        <w:left w:val="none" w:sz="0" w:space="0" w:color="auto"/>
        <w:bottom w:val="none" w:sz="0" w:space="0" w:color="auto"/>
        <w:right w:val="none" w:sz="0" w:space="0" w:color="auto"/>
      </w:divBdr>
    </w:div>
    <w:div w:id="1213037858">
      <w:bodyDiv w:val="1"/>
      <w:marLeft w:val="0"/>
      <w:marRight w:val="0"/>
      <w:marTop w:val="0"/>
      <w:marBottom w:val="0"/>
      <w:divBdr>
        <w:top w:val="none" w:sz="0" w:space="0" w:color="auto"/>
        <w:left w:val="none" w:sz="0" w:space="0" w:color="auto"/>
        <w:bottom w:val="none" w:sz="0" w:space="0" w:color="auto"/>
        <w:right w:val="none" w:sz="0" w:space="0" w:color="auto"/>
      </w:divBdr>
    </w:div>
    <w:div w:id="126329636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3072926">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96236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journalajrs.com/index.php/AJR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AA84C8-4CC1-4A16-BBC8-046A6FB96A60}">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520</Words>
  <Characters>2970</Characters>
  <Application>Microsoft Office Word</Application>
  <DocSecurity>0</DocSecurity>
  <Lines>24</Lines>
  <Paragraphs>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kaf</Company>
  <LinksUpToDate>false</LinksUpToDate>
  <CharactersWithSpaces>3484</CharactersWithSpaces>
  <SharedDoc>false</SharedDoc>
  <HLinks>
    <vt:vector size="6" baseType="variant">
      <vt:variant>
        <vt:i4>7012396</vt:i4>
      </vt:variant>
      <vt:variant>
        <vt:i4>0</vt:i4>
      </vt:variant>
      <vt:variant>
        <vt:i4>0</vt:i4>
      </vt:variant>
      <vt:variant>
        <vt:i4>5</vt:i4>
      </vt:variant>
      <vt:variant>
        <vt:lpwstr>https://journalajrs.com/index.php/AJRS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cp:lastModifiedBy>Meet Suthar</cp:lastModifiedBy>
  <cp:revision>6</cp:revision>
  <dcterms:created xsi:type="dcterms:W3CDTF">2026-03-25T11:55:00Z</dcterms:created>
  <dcterms:modified xsi:type="dcterms:W3CDTF">2026-03-25T11:56:00Z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ac70d4d8-67e1-4e0a-bf7d-cdd102324478</vt:lpwstr>
  </property>
</Properties>
</file>