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3B7E" w14:textId="77777777" w:rsidR="00A37B6F" w:rsidRPr="00A37B6F" w:rsidRDefault="00A37B6F" w:rsidP="00A37B6F">
      <w:pPr>
        <w:pStyle w:val="Title"/>
        <w:jc w:val="both"/>
        <w:rPr>
          <w:rFonts w:ascii="Arial" w:hAnsi="Arial" w:cs="Arial"/>
          <w:bCs/>
          <w:i/>
          <w:iCs/>
          <w:u w:val="single"/>
        </w:rPr>
      </w:pPr>
      <w:r w:rsidRPr="00A37B6F">
        <w:rPr>
          <w:rFonts w:ascii="Arial" w:hAnsi="Arial" w:cs="Arial"/>
          <w:bCs/>
          <w:i/>
          <w:iCs/>
          <w:u w:val="single"/>
        </w:rPr>
        <w:t>Short communication</w:t>
      </w:r>
    </w:p>
    <w:p w14:paraId="293C7C65" w14:textId="77777777" w:rsidR="00754C9A" w:rsidRDefault="00754C9A" w:rsidP="00441B6F">
      <w:pPr>
        <w:pStyle w:val="Title"/>
        <w:spacing w:after="0"/>
        <w:jc w:val="both"/>
        <w:rPr>
          <w:rFonts w:ascii="Arial" w:hAnsi="Arial" w:cs="Arial"/>
        </w:rPr>
      </w:pPr>
    </w:p>
    <w:p w14:paraId="107CFCC5" w14:textId="77777777" w:rsidR="00787EC1" w:rsidRPr="00787EC1" w:rsidRDefault="00787EC1" w:rsidP="00787EC1">
      <w:pPr>
        <w:spacing w:line="360" w:lineRule="auto"/>
        <w:jc w:val="center"/>
        <w:outlineLvl w:val="0"/>
        <w:rPr>
          <w:rFonts w:asciiTheme="minorBidi" w:hAnsiTheme="minorBidi" w:cstheme="minorBidi"/>
          <w:b/>
          <w:bCs/>
          <w:sz w:val="28"/>
          <w:szCs w:val="28"/>
        </w:rPr>
      </w:pPr>
      <w:r w:rsidRPr="00787EC1">
        <w:rPr>
          <w:rFonts w:asciiTheme="minorBidi" w:hAnsiTheme="minorBidi" w:cstheme="minorBidi"/>
          <w:b/>
          <w:bCs/>
          <w:sz w:val="28"/>
          <w:szCs w:val="28"/>
        </w:rPr>
        <w:t>Plant Growth Regulators Ethephon-Induced Oxidative Stress and Its Impact on Liver, Kidney, Heart, and Testicular Tissues in Male Albino Rats</w:t>
      </w:r>
    </w:p>
    <w:p w14:paraId="65C5EFC1" w14:textId="77777777" w:rsidR="00684A0A" w:rsidRPr="00FB3A86" w:rsidRDefault="00684A0A" w:rsidP="00441B6F">
      <w:pPr>
        <w:pStyle w:val="Affiliation"/>
        <w:spacing w:after="0" w:line="240" w:lineRule="auto"/>
        <w:jc w:val="both"/>
        <w:rPr>
          <w:rFonts w:ascii="Arial" w:hAnsi="Arial" w:cs="Arial"/>
        </w:rPr>
      </w:pPr>
    </w:p>
    <w:p w14:paraId="6932E8DF" w14:textId="77777777" w:rsidR="00B01FCD" w:rsidRPr="00FB3A86" w:rsidRDefault="00416E49" w:rsidP="00441B6F">
      <w:pPr>
        <w:pStyle w:val="Copyright"/>
        <w:spacing w:after="0" w:line="240" w:lineRule="auto"/>
        <w:jc w:val="both"/>
        <w:rPr>
          <w:rFonts w:ascii="Arial" w:hAnsi="Arial" w:cs="Arial"/>
        </w:rPr>
        <w:sectPr w:rsidR="00B01FCD" w:rsidRPr="00FB3A86" w:rsidSect="002C43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48F1A50" wp14:editId="50F13C3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D7FB9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11C9278" w14:textId="77777777" w:rsidR="00790ADA" w:rsidRPr="00FB3A86" w:rsidRDefault="00B01FCD" w:rsidP="007B58C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326A9" w14:paraId="50831BD6" w14:textId="77777777" w:rsidTr="001E44FE">
        <w:tc>
          <w:tcPr>
            <w:tcW w:w="9576" w:type="dxa"/>
            <w:shd w:val="clear" w:color="auto" w:fill="F2F2F2"/>
          </w:tcPr>
          <w:p w14:paraId="202BEF2C" w14:textId="77777777" w:rsidR="00505F06" w:rsidRPr="006326A9" w:rsidRDefault="006326A9" w:rsidP="006326A9">
            <w:pPr>
              <w:spacing w:line="360" w:lineRule="auto"/>
              <w:jc w:val="both"/>
              <w:rPr>
                <w:rFonts w:asciiTheme="minorBidi" w:eastAsia="Calibri" w:hAnsiTheme="minorBidi" w:cstheme="minorBidi"/>
                <w:lang w:bidi="ar-EG"/>
              </w:rPr>
            </w:pPr>
            <w:r w:rsidRPr="006326A9">
              <w:rPr>
                <w:rFonts w:asciiTheme="minorBidi" w:hAnsiTheme="minorBidi" w:cstheme="minorBidi"/>
              </w:rPr>
              <w:t xml:space="preserve">Plant growth regulators (PGRs) are compounds that regulate plant growth and development and are used in agriculture to enhance productivity and stress tolerance. Major classes include auxins, gibberellins, and </w:t>
            </w:r>
            <w:proofErr w:type="spellStart"/>
            <w:r w:rsidRPr="006326A9">
              <w:rPr>
                <w:rFonts w:asciiTheme="minorBidi" w:hAnsiTheme="minorBidi" w:cstheme="minorBidi"/>
              </w:rPr>
              <w:t>cytokinins</w:t>
            </w:r>
            <w:proofErr w:type="spellEnd"/>
            <w:r w:rsidRPr="006326A9">
              <w:rPr>
                <w:rFonts w:asciiTheme="minorBidi" w:hAnsiTheme="minorBidi" w:cstheme="minorBidi"/>
              </w:rPr>
              <w:t xml:space="preserve">. However, improper use of PGRs can pose toxicological risks to non-target organisms, including humans, affecting organs such as the liver and kidneys. Oxidative stress is a primary mechanism of PGR toxicity, leading to tissue injury and organ dysfunction. </w:t>
            </w:r>
            <w:r w:rsidRPr="00032BD0">
              <w:rPr>
                <w:rFonts w:asciiTheme="minorBidi" w:eastAsia="SimSun" w:hAnsiTheme="minorBidi" w:cstheme="minorBidi"/>
                <w:kern w:val="2"/>
                <w:szCs w:val="28"/>
                <w:lang w:eastAsia="zh-CN"/>
              </w:rPr>
              <w:t>Current study was designed to study the possible effects of Ethephon to induced oxidative stress on liver, kidneys, heart and testes of male albino rats.</w:t>
            </w:r>
            <w:r w:rsidRPr="006326A9">
              <w:rPr>
                <w:rFonts w:asciiTheme="minorBidi" w:eastAsia="Calibri" w:hAnsiTheme="minorBidi" w:cstheme="minorBidi"/>
                <w:lang w:bidi="ar-EG"/>
              </w:rPr>
              <w:t xml:space="preserve"> </w:t>
            </w:r>
            <w:r w:rsidRPr="006326A9">
              <w:rPr>
                <w:rFonts w:asciiTheme="minorBidi" w:hAnsiTheme="minorBidi" w:cstheme="minorBidi"/>
              </w:rPr>
              <w:t xml:space="preserve">A total of </w:t>
            </w:r>
            <w:r w:rsidRPr="006326A9">
              <w:rPr>
                <w:rFonts w:asciiTheme="minorBidi" w:eastAsia="Calibri" w:hAnsiTheme="minorBidi" w:cstheme="minorBidi"/>
                <w:lang w:bidi="ar-EG"/>
              </w:rPr>
              <w:t xml:space="preserve">20 male rats were divided into two groups control and ethephon groups. </w:t>
            </w:r>
            <w:r w:rsidRPr="006326A9">
              <w:rPr>
                <w:rFonts w:asciiTheme="minorBidi" w:hAnsiTheme="minorBidi" w:cstheme="minorBidi"/>
              </w:rPr>
              <w:t xml:space="preserve">Our results revealed that; a significant elevation </w:t>
            </w:r>
            <w:proofErr w:type="gramStart"/>
            <w:r w:rsidRPr="006326A9">
              <w:rPr>
                <w:rFonts w:asciiTheme="minorBidi" w:hAnsiTheme="minorBidi" w:cstheme="minorBidi"/>
              </w:rPr>
              <w:t>were</w:t>
            </w:r>
            <w:proofErr w:type="gramEnd"/>
            <w:r w:rsidRPr="006326A9">
              <w:rPr>
                <w:rFonts w:asciiTheme="minorBidi" w:hAnsiTheme="minorBidi" w:cstheme="minorBidi"/>
              </w:rPr>
              <w:t xml:space="preserve"> detected in TBARS and a significant depletion in catalase (CAT), superoxide dismutase (SOD) and glutathione (GSH) in Ethephon group as compared to control group in liver, kidney, heart and Testes tissues. Consequently, careful control in the application of PGRs is necessary to minimize health and environmental risks. </w:t>
            </w:r>
          </w:p>
        </w:tc>
      </w:tr>
    </w:tbl>
    <w:p w14:paraId="50CFCB11" w14:textId="77777777" w:rsidR="00636EB2" w:rsidRDefault="00636EB2" w:rsidP="00441B6F">
      <w:pPr>
        <w:pStyle w:val="Body"/>
        <w:spacing w:after="0"/>
        <w:rPr>
          <w:rFonts w:ascii="Arial" w:hAnsi="Arial" w:cs="Arial"/>
          <w:i/>
        </w:rPr>
      </w:pPr>
    </w:p>
    <w:p w14:paraId="4EAE1B59" w14:textId="77777777" w:rsidR="00A24E7E" w:rsidRDefault="006326A9" w:rsidP="006326A9">
      <w:pPr>
        <w:pStyle w:val="Body"/>
        <w:spacing w:after="0"/>
        <w:rPr>
          <w:rFonts w:ascii="Arial" w:hAnsi="Arial" w:cs="Arial"/>
          <w:i/>
        </w:rPr>
      </w:pPr>
      <w:r>
        <w:rPr>
          <w:rFonts w:ascii="Arial" w:hAnsi="Arial" w:cs="Arial"/>
          <w:i/>
        </w:rPr>
        <w:t xml:space="preserve">Keywords: </w:t>
      </w:r>
      <w:r w:rsidRPr="006326A9">
        <w:rPr>
          <w:rStyle w:val="hgkelc"/>
          <w:rFonts w:asciiTheme="minorBidi" w:hAnsiTheme="minorBidi" w:cstheme="minorBidi"/>
        </w:rPr>
        <w:t>PGRs,</w:t>
      </w:r>
      <w:r w:rsidRPr="006326A9">
        <w:rPr>
          <w:rFonts w:asciiTheme="minorBidi" w:hAnsiTheme="minorBidi" w:cstheme="minorBidi"/>
          <w:color w:val="000000" w:themeColor="text1"/>
          <w:shd w:val="clear" w:color="auto" w:fill="FFFFFF"/>
        </w:rPr>
        <w:t xml:space="preserve"> </w:t>
      </w:r>
      <w:r w:rsidRPr="006326A9">
        <w:rPr>
          <w:rFonts w:asciiTheme="minorBidi" w:eastAsia="Calibri" w:hAnsiTheme="minorBidi" w:cstheme="minorBidi"/>
          <w:lang w:bidi="ar-EG"/>
        </w:rPr>
        <w:t>Ethephon</w:t>
      </w:r>
      <w:r w:rsidRPr="006326A9">
        <w:rPr>
          <w:rFonts w:asciiTheme="minorBidi" w:hAnsiTheme="minorBidi" w:cstheme="minorBidi"/>
          <w:color w:val="000000" w:themeColor="text1"/>
          <w:shd w:val="clear" w:color="auto" w:fill="FFFFFF"/>
        </w:rPr>
        <w:t xml:space="preserve">, </w:t>
      </w:r>
      <w:r w:rsidRPr="006326A9">
        <w:rPr>
          <w:rFonts w:asciiTheme="minorBidi" w:hAnsiTheme="minorBidi" w:cstheme="minorBidi"/>
        </w:rPr>
        <w:t>organs</w:t>
      </w:r>
      <w:r w:rsidRPr="006326A9">
        <w:rPr>
          <w:rFonts w:asciiTheme="minorBidi" w:hAnsiTheme="minorBidi" w:cstheme="minorBidi"/>
          <w:color w:val="000000" w:themeColor="text1"/>
          <w:shd w:val="clear" w:color="auto" w:fill="FFFFFF"/>
        </w:rPr>
        <w:t xml:space="preserve"> toxicity, Oxidative stress</w:t>
      </w:r>
    </w:p>
    <w:p w14:paraId="085C0CD0" w14:textId="77777777" w:rsidR="00790ADA" w:rsidRDefault="00790ADA" w:rsidP="00441B6F">
      <w:pPr>
        <w:pStyle w:val="Body"/>
        <w:spacing w:after="0"/>
        <w:rPr>
          <w:rFonts w:ascii="Arial" w:hAnsi="Arial" w:cs="Arial"/>
          <w:i/>
        </w:rPr>
      </w:pPr>
    </w:p>
    <w:p w14:paraId="4E64351E" w14:textId="77777777" w:rsidR="00505F06" w:rsidRPr="00A24E7E" w:rsidRDefault="00505F06" w:rsidP="00441B6F">
      <w:pPr>
        <w:pStyle w:val="Body"/>
        <w:spacing w:after="0"/>
        <w:rPr>
          <w:rFonts w:ascii="Arial" w:hAnsi="Arial" w:cs="Arial"/>
          <w:i/>
        </w:rPr>
      </w:pPr>
    </w:p>
    <w:p w14:paraId="7556AA85" w14:textId="77777777" w:rsidR="007F7B32" w:rsidRDefault="00902823" w:rsidP="00032BD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D89C5E" w14:textId="77777777" w:rsidR="00790ADA" w:rsidRPr="00FB3A86" w:rsidRDefault="00790ADA" w:rsidP="00441B6F">
      <w:pPr>
        <w:pStyle w:val="AbstHead"/>
        <w:spacing w:after="0"/>
        <w:jc w:val="both"/>
        <w:rPr>
          <w:rFonts w:ascii="Arial" w:hAnsi="Arial" w:cs="Arial"/>
        </w:rPr>
      </w:pPr>
    </w:p>
    <w:p w14:paraId="48F372ED" w14:textId="77777777" w:rsidR="00032BD0" w:rsidRPr="00032BD0" w:rsidRDefault="00032BD0" w:rsidP="004F66C7">
      <w:pPr>
        <w:pStyle w:val="NormalWeb"/>
        <w:spacing w:before="0" w:beforeAutospacing="0" w:after="0" w:afterAutospacing="0" w:line="360" w:lineRule="auto"/>
        <w:jc w:val="both"/>
        <w:rPr>
          <w:rFonts w:asciiTheme="minorBidi" w:hAnsiTheme="minorBidi" w:cstheme="minorBidi"/>
          <w:sz w:val="20"/>
          <w:szCs w:val="20"/>
        </w:rPr>
      </w:pPr>
      <w:r w:rsidRPr="00032BD0">
        <w:rPr>
          <w:rFonts w:asciiTheme="minorBidi" w:hAnsiTheme="minorBidi" w:cstheme="minorBidi"/>
          <w:sz w:val="20"/>
          <w:szCs w:val="20"/>
        </w:rPr>
        <w:t>Plant Growth Regulators (PGRs) are a group of natural or synthetic organic compounds that influence plant physiological processes at very low concentrations. These compounds play an essential role in regulating plant growth, development, and responses to environmental conditions (</w:t>
      </w:r>
      <w:proofErr w:type="spellStart"/>
      <w:r w:rsidR="004F66C7" w:rsidRPr="004F66C7">
        <w:rPr>
          <w:rFonts w:asciiTheme="minorBidi" w:eastAsiaTheme="minorHAnsi" w:hAnsiTheme="minorBidi" w:cstheme="minorBidi"/>
          <w:sz w:val="20"/>
          <w:szCs w:val="20"/>
        </w:rPr>
        <w:t>Abou-zeid</w:t>
      </w:r>
      <w:proofErr w:type="spellEnd"/>
      <w:r w:rsidR="004F66C7" w:rsidRPr="004F66C7">
        <w:rPr>
          <w:rFonts w:asciiTheme="minorBidi" w:eastAsiaTheme="minorHAnsi" w:hAnsiTheme="minorBidi" w:cstheme="minorBidi"/>
          <w:sz w:val="20"/>
          <w:szCs w:val="20"/>
        </w:rPr>
        <w:t xml:space="preserve"> </w:t>
      </w:r>
      <w:r w:rsidR="004F66C7" w:rsidRPr="004F66C7">
        <w:rPr>
          <w:rFonts w:asciiTheme="minorBidi" w:hAnsiTheme="minorBidi" w:cstheme="minorBidi"/>
          <w:sz w:val="20"/>
          <w:szCs w:val="20"/>
        </w:rPr>
        <w:t>et al., 2018</w:t>
      </w:r>
      <w:r w:rsidRPr="00032BD0">
        <w:rPr>
          <w:rFonts w:asciiTheme="minorBidi" w:hAnsiTheme="minorBidi" w:cstheme="minorBidi"/>
          <w:sz w:val="20"/>
          <w:szCs w:val="20"/>
        </w:rPr>
        <w:t>; Taiz et al., 2018</w:t>
      </w:r>
      <w:r w:rsidR="00A125B4">
        <w:rPr>
          <w:rFonts w:asciiTheme="minorBidi" w:hAnsiTheme="minorBidi" w:cstheme="minorBidi"/>
          <w:sz w:val="20"/>
          <w:szCs w:val="20"/>
        </w:rPr>
        <w:t xml:space="preserve">; </w:t>
      </w:r>
      <w:proofErr w:type="spellStart"/>
      <w:r w:rsidR="00A125B4" w:rsidRPr="00A125B4">
        <w:rPr>
          <w:rFonts w:asciiTheme="minorBidi" w:hAnsiTheme="minorBidi" w:cstheme="minorBidi"/>
          <w:sz w:val="20"/>
          <w:szCs w:val="20"/>
        </w:rPr>
        <w:t>Bayoumy</w:t>
      </w:r>
      <w:proofErr w:type="spellEnd"/>
      <w:r w:rsidR="00A125B4" w:rsidRPr="00A125B4">
        <w:rPr>
          <w:rFonts w:asciiTheme="minorBidi" w:hAnsiTheme="minorBidi" w:cstheme="minorBidi"/>
          <w:sz w:val="20"/>
          <w:szCs w:val="20"/>
        </w:rPr>
        <w:t xml:space="preserve"> et al., 2023</w:t>
      </w:r>
      <w:r w:rsidRPr="00032BD0">
        <w:rPr>
          <w:rFonts w:asciiTheme="minorBidi" w:hAnsiTheme="minorBidi" w:cstheme="minorBidi"/>
          <w:sz w:val="20"/>
          <w:szCs w:val="20"/>
        </w:rPr>
        <w:t xml:space="preserve">). PGRs include several major classes such as auxins, gibberellins, </w:t>
      </w:r>
      <w:proofErr w:type="spellStart"/>
      <w:r w:rsidRPr="00032BD0">
        <w:rPr>
          <w:rFonts w:asciiTheme="minorBidi" w:hAnsiTheme="minorBidi" w:cstheme="minorBidi"/>
          <w:sz w:val="20"/>
          <w:szCs w:val="20"/>
        </w:rPr>
        <w:t>cytokinins</w:t>
      </w:r>
      <w:proofErr w:type="spellEnd"/>
      <w:r w:rsidRPr="00032BD0">
        <w:rPr>
          <w:rFonts w:asciiTheme="minorBidi" w:hAnsiTheme="minorBidi" w:cstheme="minorBidi"/>
          <w:sz w:val="20"/>
          <w:szCs w:val="20"/>
        </w:rPr>
        <w:t>, abscisic acid, and ethylene, in addition to various synthetic growth regulators used in modern agriculture (Rademacher, 2015; Sharma et al., 201</w:t>
      </w:r>
      <w:r w:rsidR="00467304">
        <w:rPr>
          <w:rFonts w:asciiTheme="minorBidi" w:hAnsiTheme="minorBidi" w:cstheme="minorBidi"/>
          <w:sz w:val="20"/>
          <w:szCs w:val="20"/>
        </w:rPr>
        <w:t>2</w:t>
      </w:r>
      <w:r w:rsidRPr="00032BD0">
        <w:rPr>
          <w:rFonts w:asciiTheme="minorBidi" w:hAnsiTheme="minorBidi" w:cstheme="minorBidi"/>
          <w:sz w:val="20"/>
          <w:szCs w:val="20"/>
        </w:rPr>
        <w:t>).</w:t>
      </w:r>
    </w:p>
    <w:p w14:paraId="3E8CD174" w14:textId="77777777" w:rsidR="00032BD0" w:rsidRPr="00032BD0" w:rsidRDefault="00032BD0" w:rsidP="004F66C7">
      <w:pPr>
        <w:spacing w:line="360" w:lineRule="auto"/>
        <w:jc w:val="both"/>
        <w:rPr>
          <w:rFonts w:asciiTheme="minorBidi" w:hAnsiTheme="minorBidi" w:cstheme="minorBidi"/>
        </w:rPr>
      </w:pPr>
      <w:r w:rsidRPr="00032BD0">
        <w:rPr>
          <w:rFonts w:asciiTheme="minorBidi" w:hAnsiTheme="minorBidi" w:cstheme="minorBidi"/>
        </w:rPr>
        <w:t xml:space="preserve">Due to their ability to regulate plant development, PGRs are extensively used in crop production to increase yield, promote rooting, control flowering, enhance fruit development, </w:t>
      </w:r>
      <w:r w:rsidRPr="00032BD0">
        <w:rPr>
          <w:rFonts w:asciiTheme="minorBidi" w:hAnsiTheme="minorBidi" w:cstheme="minorBidi"/>
        </w:rPr>
        <w:lastRenderedPageBreak/>
        <w:t xml:space="preserve">and improve stress tolerance. For example, compounds such as ethephon are applied to stimulate ethylene release and promote fruit ripening, while gibberellins are used to enhance stem elongation and fruit size </w:t>
      </w:r>
      <w:r w:rsidR="004F66C7">
        <w:rPr>
          <w:rFonts w:asciiTheme="minorBidi" w:hAnsiTheme="minorBidi" w:cstheme="minorBidi"/>
        </w:rPr>
        <w:t>(Iqbal et al., 2017</w:t>
      </w:r>
      <w:r w:rsidRPr="00032BD0">
        <w:rPr>
          <w:rFonts w:asciiTheme="minorBidi" w:hAnsiTheme="minorBidi" w:cstheme="minorBidi"/>
        </w:rPr>
        <w:t>).</w:t>
      </w:r>
    </w:p>
    <w:p w14:paraId="3B4C2370" w14:textId="77777777" w:rsidR="00032BD0" w:rsidRPr="00032BD0" w:rsidRDefault="00032BD0" w:rsidP="00032BD0">
      <w:pPr>
        <w:spacing w:line="360" w:lineRule="auto"/>
        <w:jc w:val="both"/>
        <w:rPr>
          <w:rFonts w:asciiTheme="minorBidi" w:hAnsiTheme="minorBidi" w:cstheme="minorBidi"/>
        </w:rPr>
      </w:pPr>
      <w:r w:rsidRPr="00032BD0">
        <w:rPr>
          <w:rFonts w:asciiTheme="minorBidi" w:hAnsiTheme="minorBidi" w:cstheme="minorBidi"/>
        </w:rPr>
        <w:t>Although plant growth regulators are beneficial for agricultural productivity, their widespread use has raised concerns regarding their potential toxicological effects on non-target organisms. Improper use, high concentrations, or prolonged exposure to these compounds may lead to adverse physiological and biochemical effects in animals and humans. Some PGRs have been associated with oxidative stress, enzyme imbalance, cellular damage, and disturbances in normal organ functions (</w:t>
      </w:r>
      <w:proofErr w:type="spellStart"/>
      <w:r w:rsidRPr="00032BD0">
        <w:rPr>
          <w:rFonts w:asciiTheme="minorBidi" w:hAnsiTheme="minorBidi" w:cstheme="minorBidi"/>
        </w:rPr>
        <w:t>Valko</w:t>
      </w:r>
      <w:proofErr w:type="spellEnd"/>
      <w:r w:rsidRPr="00032BD0">
        <w:rPr>
          <w:rFonts w:asciiTheme="minorBidi" w:hAnsiTheme="minorBidi" w:cstheme="minorBidi"/>
        </w:rPr>
        <w:t xml:space="preserve"> et al., 2007; </w:t>
      </w:r>
      <w:proofErr w:type="spellStart"/>
      <w:r w:rsidRPr="00032BD0">
        <w:rPr>
          <w:rFonts w:asciiTheme="minorBidi" w:hAnsiTheme="minorBidi" w:cstheme="minorBidi"/>
        </w:rPr>
        <w:t>Aktar</w:t>
      </w:r>
      <w:proofErr w:type="spellEnd"/>
      <w:r w:rsidRPr="00032BD0">
        <w:rPr>
          <w:rFonts w:asciiTheme="minorBidi" w:hAnsiTheme="minorBidi" w:cstheme="minorBidi"/>
        </w:rPr>
        <w:t xml:space="preserve"> et al., 2009; Iqbal et al., 2019).</w:t>
      </w:r>
    </w:p>
    <w:p w14:paraId="72F8406C" w14:textId="77777777" w:rsidR="00032BD0" w:rsidRPr="00032BD0" w:rsidRDefault="00032BD0" w:rsidP="00050CEC">
      <w:pPr>
        <w:pStyle w:val="NormalWeb"/>
        <w:spacing w:before="0" w:beforeAutospacing="0" w:after="0" w:afterAutospacing="0" w:line="360" w:lineRule="auto"/>
        <w:jc w:val="both"/>
        <w:rPr>
          <w:rFonts w:asciiTheme="minorBidi" w:hAnsiTheme="minorBidi" w:cstheme="minorBidi"/>
          <w:sz w:val="20"/>
          <w:szCs w:val="20"/>
        </w:rPr>
      </w:pPr>
      <w:r w:rsidRPr="00032BD0">
        <w:rPr>
          <w:rFonts w:asciiTheme="minorBidi" w:hAnsiTheme="minorBidi" w:cstheme="minorBidi"/>
          <w:sz w:val="20"/>
          <w:szCs w:val="20"/>
        </w:rPr>
        <w:t xml:space="preserve">Common natural PGRs include abscisic acid (ABA), gibberellins (GA), auxins (IAA), </w:t>
      </w:r>
      <w:proofErr w:type="spellStart"/>
      <w:r w:rsidRPr="00032BD0">
        <w:rPr>
          <w:rFonts w:asciiTheme="minorBidi" w:hAnsiTheme="minorBidi" w:cstheme="minorBidi"/>
          <w:sz w:val="20"/>
          <w:szCs w:val="20"/>
        </w:rPr>
        <w:t>cytokinins</w:t>
      </w:r>
      <w:proofErr w:type="spellEnd"/>
      <w:r w:rsidRPr="00032BD0">
        <w:rPr>
          <w:rFonts w:asciiTheme="minorBidi" w:hAnsiTheme="minorBidi" w:cstheme="minorBidi"/>
          <w:sz w:val="20"/>
          <w:szCs w:val="20"/>
        </w:rPr>
        <w:t xml:space="preserve"> (CTK), </w:t>
      </w:r>
      <w:proofErr w:type="spellStart"/>
      <w:r w:rsidRPr="00032BD0">
        <w:rPr>
          <w:rFonts w:asciiTheme="minorBidi" w:hAnsiTheme="minorBidi" w:cstheme="minorBidi"/>
          <w:sz w:val="20"/>
          <w:szCs w:val="20"/>
        </w:rPr>
        <w:t>brassinosteroids</w:t>
      </w:r>
      <w:proofErr w:type="spellEnd"/>
      <w:r w:rsidRPr="00032BD0">
        <w:rPr>
          <w:rFonts w:asciiTheme="minorBidi" w:hAnsiTheme="minorBidi" w:cstheme="minorBidi"/>
          <w:sz w:val="20"/>
          <w:szCs w:val="20"/>
        </w:rPr>
        <w:t xml:space="preserve"> (BRs), </w:t>
      </w:r>
      <w:proofErr w:type="spellStart"/>
      <w:r w:rsidRPr="00032BD0">
        <w:rPr>
          <w:rFonts w:asciiTheme="minorBidi" w:hAnsiTheme="minorBidi" w:cstheme="minorBidi"/>
          <w:sz w:val="20"/>
          <w:szCs w:val="20"/>
        </w:rPr>
        <w:t>strigolactones</w:t>
      </w:r>
      <w:proofErr w:type="spellEnd"/>
      <w:r w:rsidRPr="00032BD0">
        <w:rPr>
          <w:rFonts w:asciiTheme="minorBidi" w:hAnsiTheme="minorBidi" w:cstheme="minorBidi"/>
          <w:sz w:val="20"/>
          <w:szCs w:val="20"/>
        </w:rPr>
        <w:t xml:space="preserve"> (SLs), </w:t>
      </w:r>
      <w:proofErr w:type="spellStart"/>
      <w:r w:rsidRPr="00032BD0">
        <w:rPr>
          <w:rFonts w:asciiTheme="minorBidi" w:hAnsiTheme="minorBidi" w:cstheme="minorBidi"/>
          <w:sz w:val="20"/>
          <w:szCs w:val="20"/>
        </w:rPr>
        <w:t>jasmonates</w:t>
      </w:r>
      <w:proofErr w:type="spellEnd"/>
      <w:r w:rsidRPr="00032BD0">
        <w:rPr>
          <w:rFonts w:asciiTheme="minorBidi" w:hAnsiTheme="minorBidi" w:cstheme="minorBidi"/>
          <w:sz w:val="20"/>
          <w:szCs w:val="20"/>
        </w:rPr>
        <w:t xml:space="preserve"> (JAs), salicylic acid (SA), and ethylene (ETH). These hormones regulate key physiological processes such as seed germination, bud dormancy, root growth, and flowering (</w:t>
      </w:r>
      <w:proofErr w:type="spellStart"/>
      <w:r w:rsidR="00050CEC" w:rsidRPr="00050CEC">
        <w:rPr>
          <w:rFonts w:asciiTheme="minorBidi" w:eastAsiaTheme="minorHAnsi" w:hAnsiTheme="minorBidi" w:cstheme="minorBidi"/>
          <w:sz w:val="20"/>
          <w:szCs w:val="20"/>
          <w:lang w:val="en-GB"/>
        </w:rPr>
        <w:t>Uckan</w:t>
      </w:r>
      <w:proofErr w:type="spellEnd"/>
      <w:r w:rsidR="00050CEC" w:rsidRPr="00050CEC">
        <w:rPr>
          <w:rFonts w:asciiTheme="minorBidi" w:eastAsiaTheme="minorHAnsi" w:hAnsiTheme="minorBidi" w:cstheme="minorBidi"/>
          <w:sz w:val="20"/>
          <w:szCs w:val="20"/>
          <w:lang w:val="en-GB"/>
        </w:rPr>
        <w:t xml:space="preserve"> </w:t>
      </w:r>
      <w:r w:rsidR="00050CEC" w:rsidRPr="00050CEC">
        <w:rPr>
          <w:rFonts w:asciiTheme="minorBidi" w:hAnsiTheme="minorBidi" w:cstheme="minorBidi"/>
          <w:sz w:val="20"/>
          <w:szCs w:val="20"/>
        </w:rPr>
        <w:t>et al., 2015</w:t>
      </w:r>
      <w:r w:rsidR="00050CEC">
        <w:rPr>
          <w:rFonts w:asciiTheme="minorBidi" w:hAnsiTheme="minorBidi" w:cstheme="minorBidi"/>
          <w:b/>
          <w:bCs/>
          <w:sz w:val="20"/>
          <w:szCs w:val="20"/>
        </w:rPr>
        <w:t>;</w:t>
      </w:r>
      <w:r w:rsidR="00050CEC" w:rsidRPr="00032BD0">
        <w:rPr>
          <w:rFonts w:asciiTheme="minorBidi" w:hAnsiTheme="minorBidi" w:cstheme="minorBidi"/>
          <w:sz w:val="20"/>
          <w:szCs w:val="20"/>
        </w:rPr>
        <w:t xml:space="preserve"> </w:t>
      </w:r>
      <w:r w:rsidRPr="00032BD0">
        <w:rPr>
          <w:rFonts w:asciiTheme="minorBidi" w:hAnsiTheme="minorBidi" w:cstheme="minorBidi"/>
          <w:sz w:val="20"/>
          <w:szCs w:val="20"/>
        </w:rPr>
        <w:t xml:space="preserve">Taiz et al., </w:t>
      </w:r>
      <w:r w:rsidRPr="00050CEC">
        <w:rPr>
          <w:rFonts w:asciiTheme="minorBidi" w:hAnsiTheme="minorBidi" w:cstheme="minorBidi"/>
          <w:sz w:val="20"/>
          <w:szCs w:val="20"/>
        </w:rPr>
        <w:t xml:space="preserve">2018; </w:t>
      </w:r>
      <w:r w:rsidR="00050CEC" w:rsidRPr="00050CEC">
        <w:rPr>
          <w:rFonts w:asciiTheme="minorBidi" w:hAnsiTheme="minorBidi" w:cstheme="minorBidi"/>
          <w:sz w:val="20"/>
          <w:szCs w:val="20"/>
        </w:rPr>
        <w:t xml:space="preserve">Jan </w:t>
      </w:r>
      <w:r w:rsidRPr="00050CEC">
        <w:rPr>
          <w:rFonts w:asciiTheme="minorBidi" w:hAnsiTheme="minorBidi" w:cstheme="minorBidi"/>
          <w:sz w:val="20"/>
          <w:szCs w:val="20"/>
        </w:rPr>
        <w:t>et al., 202</w:t>
      </w:r>
      <w:r w:rsidR="00050CEC" w:rsidRPr="00050CEC">
        <w:rPr>
          <w:rFonts w:asciiTheme="minorBidi" w:hAnsiTheme="minorBidi" w:cstheme="minorBidi"/>
          <w:sz w:val="20"/>
          <w:szCs w:val="20"/>
        </w:rPr>
        <w:t>0</w:t>
      </w:r>
      <w:r w:rsidRPr="00032BD0">
        <w:rPr>
          <w:rFonts w:asciiTheme="minorBidi" w:hAnsiTheme="minorBidi" w:cstheme="minorBidi"/>
          <w:sz w:val="20"/>
          <w:szCs w:val="20"/>
        </w:rPr>
        <w:t>).</w:t>
      </w:r>
    </w:p>
    <w:p w14:paraId="38CC6D0A" w14:textId="77777777" w:rsidR="00032BD0" w:rsidRPr="00032BD0" w:rsidRDefault="00032BD0" w:rsidP="004D4790">
      <w:pPr>
        <w:pStyle w:val="NormalWeb"/>
        <w:spacing w:before="0" w:beforeAutospacing="0" w:after="0" w:afterAutospacing="0" w:line="360" w:lineRule="auto"/>
        <w:jc w:val="both"/>
        <w:rPr>
          <w:rFonts w:asciiTheme="minorBidi" w:hAnsiTheme="minorBidi" w:cstheme="minorBidi"/>
          <w:sz w:val="20"/>
          <w:szCs w:val="20"/>
        </w:rPr>
      </w:pPr>
      <w:r w:rsidRPr="00032BD0">
        <w:rPr>
          <w:rFonts w:asciiTheme="minorBidi" w:hAnsiTheme="minorBidi" w:cstheme="minorBidi"/>
          <w:sz w:val="20"/>
          <w:szCs w:val="20"/>
        </w:rPr>
        <w:t xml:space="preserve">Ethephon (2-chloroethylphosphonic acid; </w:t>
      </w:r>
      <w:proofErr w:type="spellStart"/>
      <w:r w:rsidRPr="00032BD0">
        <w:rPr>
          <w:rFonts w:asciiTheme="minorBidi" w:hAnsiTheme="minorBidi" w:cstheme="minorBidi"/>
          <w:sz w:val="20"/>
          <w:szCs w:val="20"/>
        </w:rPr>
        <w:t>Ethrel</w:t>
      </w:r>
      <w:proofErr w:type="spellEnd"/>
      <w:r w:rsidRPr="00032BD0">
        <w:rPr>
          <w:rFonts w:asciiTheme="minorBidi" w:hAnsiTheme="minorBidi" w:cstheme="minorBidi"/>
          <w:sz w:val="20"/>
          <w:szCs w:val="20"/>
        </w:rPr>
        <w:t>®) is a commonly used plant growth regulator that releases ethylene, a simple gaseous hormone produced in small amounts by various plant tissues. Ethylene plays an essential role in controlling plant growth and developmental processes (</w:t>
      </w:r>
      <w:r w:rsidR="00A125B4" w:rsidRPr="00A125B4">
        <w:rPr>
          <w:rFonts w:asciiTheme="minorBidi" w:hAnsiTheme="minorBidi" w:cstheme="minorBidi"/>
          <w:sz w:val="20"/>
          <w:szCs w:val="20"/>
        </w:rPr>
        <w:t xml:space="preserve">Abd </w:t>
      </w:r>
      <w:proofErr w:type="spellStart"/>
      <w:r w:rsidR="00A125B4" w:rsidRPr="00A125B4">
        <w:rPr>
          <w:rFonts w:asciiTheme="minorBidi" w:hAnsiTheme="minorBidi" w:cstheme="minorBidi"/>
          <w:sz w:val="20"/>
          <w:szCs w:val="20"/>
        </w:rPr>
        <w:t>Eldaim</w:t>
      </w:r>
      <w:proofErr w:type="spellEnd"/>
      <w:r w:rsidR="00A125B4" w:rsidRPr="00A125B4">
        <w:rPr>
          <w:rFonts w:asciiTheme="minorBidi" w:hAnsiTheme="minorBidi" w:cstheme="minorBidi"/>
          <w:b/>
          <w:bCs/>
          <w:sz w:val="20"/>
          <w:szCs w:val="20"/>
        </w:rPr>
        <w:t xml:space="preserve"> </w:t>
      </w:r>
      <w:r w:rsidRPr="00A125B4">
        <w:rPr>
          <w:rFonts w:asciiTheme="minorBidi" w:hAnsiTheme="minorBidi" w:cstheme="minorBidi"/>
          <w:sz w:val="20"/>
          <w:szCs w:val="20"/>
        </w:rPr>
        <w:t>et al., 201</w:t>
      </w:r>
      <w:r w:rsidR="00A125B4" w:rsidRPr="00A125B4">
        <w:rPr>
          <w:rFonts w:asciiTheme="minorBidi" w:hAnsiTheme="minorBidi" w:cstheme="minorBidi"/>
          <w:sz w:val="20"/>
          <w:szCs w:val="20"/>
        </w:rPr>
        <w:t>9</w:t>
      </w:r>
      <w:r w:rsidRPr="00032BD0">
        <w:rPr>
          <w:rFonts w:asciiTheme="minorBidi" w:hAnsiTheme="minorBidi" w:cstheme="minorBidi"/>
          <w:sz w:val="20"/>
          <w:szCs w:val="20"/>
        </w:rPr>
        <w:t xml:space="preserve">; </w:t>
      </w:r>
      <w:r w:rsidR="00A125B4" w:rsidRPr="00A125B4">
        <w:rPr>
          <w:rFonts w:asciiTheme="minorBidi" w:hAnsiTheme="minorBidi" w:cstheme="minorBidi"/>
          <w:sz w:val="20"/>
          <w:szCs w:val="20"/>
        </w:rPr>
        <w:t xml:space="preserve">Mondal </w:t>
      </w:r>
      <w:r w:rsidRPr="00A125B4">
        <w:rPr>
          <w:rFonts w:asciiTheme="minorBidi" w:hAnsiTheme="minorBidi" w:cstheme="minorBidi"/>
          <w:sz w:val="20"/>
          <w:szCs w:val="20"/>
        </w:rPr>
        <w:t>et al., 20</w:t>
      </w:r>
      <w:r w:rsidR="00A125B4" w:rsidRPr="00A125B4">
        <w:rPr>
          <w:rFonts w:asciiTheme="minorBidi" w:hAnsiTheme="minorBidi" w:cstheme="minorBidi"/>
          <w:sz w:val="20"/>
          <w:szCs w:val="20"/>
        </w:rPr>
        <w:t>2</w:t>
      </w:r>
      <w:r w:rsidRPr="00A125B4">
        <w:rPr>
          <w:rFonts w:asciiTheme="minorBidi" w:hAnsiTheme="minorBidi" w:cstheme="minorBidi"/>
          <w:sz w:val="20"/>
          <w:szCs w:val="20"/>
        </w:rPr>
        <w:t>5</w:t>
      </w:r>
      <w:r w:rsidRPr="00032BD0">
        <w:rPr>
          <w:rFonts w:asciiTheme="minorBidi" w:hAnsiTheme="minorBidi" w:cstheme="minorBidi"/>
          <w:sz w:val="20"/>
          <w:szCs w:val="20"/>
        </w:rPr>
        <w:t>). Ethephon promotes the formation of endogenous ethylene and may affect humans both directly and indirectly. Direct exposure can occur through inhalation during crop spraying, whereas indirect exposure may happen through consumption of food products derived from plants treated with this chemical (</w:t>
      </w:r>
      <w:proofErr w:type="spellStart"/>
      <w:r w:rsidR="00A125B4" w:rsidRPr="00A125B4">
        <w:rPr>
          <w:rFonts w:asciiTheme="minorBidi" w:hAnsiTheme="minorBidi" w:cstheme="minorBidi"/>
          <w:sz w:val="20"/>
          <w:szCs w:val="20"/>
        </w:rPr>
        <w:t>Bhadoria</w:t>
      </w:r>
      <w:proofErr w:type="spellEnd"/>
      <w:r w:rsidR="00A125B4" w:rsidRPr="00A125B4">
        <w:rPr>
          <w:rFonts w:asciiTheme="minorBidi" w:hAnsiTheme="minorBidi" w:cstheme="minorBidi"/>
        </w:rPr>
        <w:t xml:space="preserve"> </w:t>
      </w:r>
      <w:r w:rsidR="00A125B4" w:rsidRPr="00A125B4">
        <w:rPr>
          <w:rFonts w:asciiTheme="minorBidi" w:hAnsiTheme="minorBidi" w:cstheme="minorBidi"/>
          <w:sz w:val="20"/>
          <w:szCs w:val="20"/>
        </w:rPr>
        <w:t>et al., 2018</w:t>
      </w:r>
      <w:r w:rsidRPr="00032BD0">
        <w:rPr>
          <w:rFonts w:asciiTheme="minorBidi" w:hAnsiTheme="minorBidi" w:cstheme="minorBidi"/>
          <w:sz w:val="20"/>
          <w:szCs w:val="20"/>
        </w:rPr>
        <w:t>). Recent toxicological studies have indicated that certain plant growth regulators may affect multiple organ systems including the liver, kidneys, brain, reproductive organs, and blood parameters. Understanding these potential toxic effects is essential for assessing environmental safety and protecting human health (Sharma et al., 2019).</w:t>
      </w:r>
    </w:p>
    <w:p w14:paraId="157FF193" w14:textId="77777777" w:rsidR="00032BD0" w:rsidRPr="00032BD0" w:rsidRDefault="00032BD0" w:rsidP="00D83D03">
      <w:pPr>
        <w:spacing w:line="360" w:lineRule="auto"/>
        <w:jc w:val="both"/>
        <w:rPr>
          <w:rFonts w:asciiTheme="minorBidi" w:eastAsia="ArialMT" w:hAnsiTheme="minorBidi" w:cstheme="minorBidi"/>
        </w:rPr>
      </w:pPr>
      <w:r w:rsidRPr="00032BD0">
        <w:rPr>
          <w:rFonts w:asciiTheme="minorBidi" w:hAnsiTheme="minorBidi" w:cstheme="minorBidi"/>
          <w:shd w:val="clear" w:color="auto" w:fill="FFFFFF"/>
        </w:rPr>
        <w:t xml:space="preserve">Oxidative stress occurs when there is an imbalance in any cell compartment between reactive oxygen species (ROS) and antioxidant defense (Sharma </w:t>
      </w:r>
      <w:r w:rsidRPr="00032BD0">
        <w:rPr>
          <w:rFonts w:asciiTheme="minorBidi" w:hAnsiTheme="minorBidi" w:cstheme="minorBidi"/>
          <w:i/>
          <w:iCs/>
          <w:shd w:val="clear" w:color="auto" w:fill="FFFFFF"/>
        </w:rPr>
        <w:t>et al</w:t>
      </w:r>
      <w:r w:rsidRPr="00032BD0">
        <w:rPr>
          <w:rFonts w:asciiTheme="minorBidi" w:hAnsiTheme="minorBidi" w:cstheme="minorBidi"/>
          <w:shd w:val="clear" w:color="auto" w:fill="FFFFFF"/>
        </w:rPr>
        <w:t>., 2019).</w:t>
      </w:r>
      <w:r w:rsidRPr="00032BD0">
        <w:rPr>
          <w:rFonts w:asciiTheme="minorBidi" w:hAnsiTheme="minorBidi" w:cstheme="minorBidi"/>
          <w:lang w:bidi="ar-EG"/>
        </w:rPr>
        <w:t xml:space="preserve"> </w:t>
      </w:r>
      <w:r w:rsidRPr="00032BD0">
        <w:rPr>
          <w:rFonts w:asciiTheme="minorBidi" w:hAnsiTheme="minorBidi" w:cstheme="minorBidi"/>
        </w:rPr>
        <w:t xml:space="preserve">According to </w:t>
      </w:r>
      <w:proofErr w:type="spellStart"/>
      <w:r w:rsidRPr="00032BD0">
        <w:rPr>
          <w:rFonts w:asciiTheme="minorBidi" w:hAnsiTheme="minorBidi" w:cstheme="minorBidi"/>
        </w:rPr>
        <w:t>Iwan</w:t>
      </w:r>
      <w:proofErr w:type="spellEnd"/>
      <w:r w:rsidRPr="00032BD0">
        <w:rPr>
          <w:rFonts w:asciiTheme="minorBidi" w:hAnsiTheme="minorBidi" w:cstheme="minorBidi"/>
        </w:rPr>
        <w:t xml:space="preserve"> </w:t>
      </w:r>
      <w:r w:rsidRPr="00032BD0">
        <w:rPr>
          <w:rFonts w:asciiTheme="minorBidi" w:hAnsiTheme="minorBidi" w:cstheme="minorBidi"/>
          <w:i/>
          <w:iCs/>
        </w:rPr>
        <w:t>et al</w:t>
      </w:r>
      <w:r w:rsidRPr="00032BD0">
        <w:rPr>
          <w:rFonts w:asciiTheme="minorBidi" w:hAnsiTheme="minorBidi" w:cstheme="minorBidi"/>
        </w:rPr>
        <w:t>. (2021) PGRs induced oxidative stress leading to the generation of free radicals and caused lipid peroxidation. Plant growth regulators (PGRs) cause oxidative stress that cause free radicals' generation and lipid peroxidation, some enzymes are affected such as catalase (CAT), superoxide dismutase (SOD) and glutathione peroxidases (</w:t>
      </w:r>
      <w:proofErr w:type="spellStart"/>
      <w:r w:rsidRPr="00032BD0">
        <w:rPr>
          <w:rFonts w:asciiTheme="minorBidi" w:hAnsiTheme="minorBidi" w:cstheme="minorBidi"/>
        </w:rPr>
        <w:t>GPx</w:t>
      </w:r>
      <w:proofErr w:type="spellEnd"/>
      <w:r w:rsidRPr="00032BD0">
        <w:rPr>
          <w:rFonts w:asciiTheme="minorBidi" w:hAnsiTheme="minorBidi" w:cstheme="minorBidi"/>
        </w:rPr>
        <w:t xml:space="preserve">). </w:t>
      </w:r>
      <w:r w:rsidRPr="00032BD0">
        <w:rPr>
          <w:rFonts w:asciiTheme="minorBidi" w:hAnsiTheme="minorBidi" w:cstheme="minorBidi"/>
          <w:kern w:val="36"/>
          <w:lang w:bidi="ar-EG"/>
        </w:rPr>
        <w:t>PGRs</w:t>
      </w:r>
      <w:r w:rsidRPr="00032BD0">
        <w:rPr>
          <w:rFonts w:asciiTheme="minorBidi" w:hAnsiTheme="minorBidi" w:cstheme="minorBidi"/>
        </w:rPr>
        <w:t xml:space="preserve"> induced inflammation and de</w:t>
      </w:r>
      <w:r w:rsidRPr="00032BD0">
        <w:rPr>
          <w:rFonts w:asciiTheme="minorBidi" w:hAnsiTheme="minorBidi" w:cstheme="minorBidi"/>
        </w:rPr>
        <w:softHyphen/>
        <w:t>generative changes in the liver with associated cholestasis, probably indication of toxic hepatitis (</w:t>
      </w:r>
      <w:proofErr w:type="spellStart"/>
      <w:r w:rsidRPr="00032BD0">
        <w:rPr>
          <w:rFonts w:asciiTheme="minorBidi" w:hAnsiTheme="minorBidi" w:cstheme="minorBidi"/>
        </w:rPr>
        <w:t>Bhadoria</w:t>
      </w:r>
      <w:proofErr w:type="spellEnd"/>
      <w:r w:rsidRPr="00032BD0">
        <w:rPr>
          <w:rFonts w:asciiTheme="minorBidi" w:hAnsiTheme="minorBidi" w:cstheme="minorBidi"/>
        </w:rPr>
        <w:t xml:space="preserve"> </w:t>
      </w:r>
      <w:r w:rsidRPr="00032BD0">
        <w:rPr>
          <w:rFonts w:asciiTheme="minorBidi" w:hAnsiTheme="minorBidi" w:cstheme="minorBidi"/>
          <w:i/>
          <w:iCs/>
        </w:rPr>
        <w:t>et al</w:t>
      </w:r>
      <w:r w:rsidRPr="00032BD0">
        <w:rPr>
          <w:rFonts w:asciiTheme="minorBidi" w:hAnsiTheme="minorBidi" w:cstheme="minorBidi"/>
        </w:rPr>
        <w:t xml:space="preserve">., 2015). </w:t>
      </w:r>
      <w:r w:rsidRPr="00032BD0">
        <w:rPr>
          <w:rFonts w:asciiTheme="minorBidi" w:hAnsiTheme="minorBidi" w:cstheme="minorBidi"/>
          <w:kern w:val="36"/>
          <w:lang w:bidi="ar-EG"/>
        </w:rPr>
        <w:t>PGRs</w:t>
      </w:r>
      <w:r w:rsidRPr="00032BD0">
        <w:rPr>
          <w:rFonts w:asciiTheme="minorBidi" w:hAnsiTheme="minorBidi" w:cstheme="minorBidi"/>
        </w:rPr>
        <w:t xml:space="preserve"> alone or combined with other </w:t>
      </w:r>
      <w:r w:rsidRPr="00032BD0">
        <w:rPr>
          <w:rFonts w:asciiTheme="minorBidi" w:hAnsiTheme="minorBidi" w:cstheme="minorBidi"/>
          <w:noProof/>
        </w:rPr>
        <w:t>pesticides have</w:t>
      </w:r>
      <w:r w:rsidRPr="00032BD0">
        <w:rPr>
          <w:rFonts w:asciiTheme="minorBidi" w:hAnsiTheme="minorBidi" w:cstheme="minorBidi"/>
        </w:rPr>
        <w:t xml:space="preserve"> been found to be harmful to kidney and liver of albino rats (</w:t>
      </w:r>
      <w:proofErr w:type="spellStart"/>
      <w:r w:rsidRPr="00032BD0">
        <w:rPr>
          <w:rFonts w:asciiTheme="minorBidi" w:hAnsiTheme="minorBidi" w:cstheme="minorBidi"/>
        </w:rPr>
        <w:t>Yazar</w:t>
      </w:r>
      <w:proofErr w:type="spellEnd"/>
      <w:r w:rsidRPr="00032BD0">
        <w:rPr>
          <w:rFonts w:asciiTheme="minorBidi" w:hAnsiTheme="minorBidi" w:cstheme="minorBidi"/>
        </w:rPr>
        <w:t xml:space="preserve"> and </w:t>
      </w:r>
      <w:proofErr w:type="spellStart"/>
      <w:r w:rsidRPr="00032BD0">
        <w:rPr>
          <w:rFonts w:asciiTheme="minorBidi" w:hAnsiTheme="minorBidi" w:cstheme="minorBidi"/>
        </w:rPr>
        <w:lastRenderedPageBreak/>
        <w:t>Bayden</w:t>
      </w:r>
      <w:proofErr w:type="spellEnd"/>
      <w:r w:rsidRPr="00032BD0">
        <w:rPr>
          <w:rFonts w:asciiTheme="minorBidi" w:hAnsiTheme="minorBidi" w:cstheme="minorBidi"/>
        </w:rPr>
        <w:t>, 2008)</w:t>
      </w:r>
      <w:r w:rsidRPr="00032BD0">
        <w:rPr>
          <w:rFonts w:asciiTheme="minorBidi" w:eastAsia="ArialMT" w:hAnsiTheme="minorBidi" w:cstheme="minorBidi"/>
        </w:rPr>
        <w:t xml:space="preserve">. </w:t>
      </w:r>
      <w:r w:rsidRPr="00032BD0">
        <w:rPr>
          <w:rFonts w:asciiTheme="minorBidi" w:eastAsia="SimSun" w:hAnsiTheme="minorBidi" w:cstheme="minorBidi"/>
          <w:kern w:val="2"/>
          <w:shd w:val="clear" w:color="auto" w:fill="FFFFFF"/>
          <w:lang w:eastAsia="zh-CN"/>
        </w:rPr>
        <w:t>Therefore; the present study was designed to study the possible effects of Ethephon to induced oxidative stress on liver, kidneys, heart and testes of male albino rats.</w:t>
      </w:r>
    </w:p>
    <w:p w14:paraId="68635F2E" w14:textId="77777777" w:rsidR="00790ADA" w:rsidRPr="00FB3A86" w:rsidRDefault="00790ADA" w:rsidP="00441B6F">
      <w:pPr>
        <w:pStyle w:val="Body"/>
        <w:spacing w:after="0"/>
        <w:rPr>
          <w:rFonts w:ascii="Arial" w:hAnsi="Arial" w:cs="Arial"/>
        </w:rPr>
      </w:pPr>
    </w:p>
    <w:p w14:paraId="47474C31" w14:textId="77777777" w:rsidR="007F7B32" w:rsidRDefault="00902823" w:rsidP="00032BD0">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542BD88" w14:textId="77777777" w:rsidR="00790ADA" w:rsidRPr="00FB3A86" w:rsidRDefault="00790ADA" w:rsidP="00441B6F">
      <w:pPr>
        <w:pStyle w:val="AbstHead"/>
        <w:spacing w:after="0"/>
        <w:jc w:val="both"/>
        <w:rPr>
          <w:rFonts w:ascii="Arial" w:hAnsi="Arial" w:cs="Arial"/>
        </w:rPr>
      </w:pPr>
    </w:p>
    <w:p w14:paraId="3C6DDA0E" w14:textId="77777777" w:rsidR="00E02901" w:rsidRDefault="00E02901" w:rsidP="00E02901">
      <w:pPr>
        <w:autoSpaceDE w:val="0"/>
        <w:autoSpaceDN w:val="0"/>
        <w:adjustRightInd w:val="0"/>
        <w:spacing w:line="360" w:lineRule="auto"/>
        <w:rPr>
          <w:rFonts w:asciiTheme="minorBidi" w:eastAsia="Calibri" w:hAnsiTheme="minorBidi" w:cstheme="minorBidi"/>
          <w:b/>
          <w:bCs/>
          <w:lang w:val="en-GB"/>
        </w:rPr>
      </w:pPr>
      <w:r>
        <w:rPr>
          <w:rFonts w:asciiTheme="minorBidi" w:eastAsia="Calibri" w:hAnsiTheme="minorBidi" w:cstheme="minorBidi"/>
          <w:b/>
          <w:bCs/>
          <w:lang w:val="en-GB"/>
        </w:rPr>
        <w:t>2.1. Chemical and reagent</w:t>
      </w:r>
    </w:p>
    <w:p w14:paraId="5D532825" w14:textId="77777777" w:rsidR="00E02901" w:rsidRDefault="00E02901" w:rsidP="00E02901">
      <w:pPr>
        <w:spacing w:line="360" w:lineRule="auto"/>
        <w:jc w:val="both"/>
        <w:rPr>
          <w:rFonts w:asciiTheme="minorBidi" w:hAnsiTheme="minorBidi" w:cstheme="minorBidi"/>
        </w:rPr>
      </w:pPr>
      <w:r>
        <w:rPr>
          <w:rFonts w:asciiTheme="minorBidi" w:eastAsia="Calibri" w:hAnsiTheme="minorBidi" w:cstheme="minorBidi"/>
          <w:b/>
          <w:bCs/>
          <w:lang w:val="en-GB"/>
        </w:rPr>
        <w:t>Ethephon</w:t>
      </w:r>
      <w:r>
        <w:rPr>
          <w:rFonts w:asciiTheme="minorBidi" w:eastAsia="Calibri" w:hAnsiTheme="minorBidi" w:cstheme="minorBidi"/>
          <w:b/>
          <w:bCs/>
        </w:rPr>
        <w:t>:</w:t>
      </w:r>
      <w:r>
        <w:rPr>
          <w:rFonts w:asciiTheme="minorBidi" w:eastAsia="Calibri" w:hAnsiTheme="minorBidi" w:cstheme="minorBidi"/>
        </w:rPr>
        <w:t xml:space="preserve"> </w:t>
      </w:r>
      <w:r>
        <w:rPr>
          <w:rFonts w:asciiTheme="minorBidi" w:hAnsiTheme="minorBidi" w:cstheme="minorBidi"/>
        </w:rPr>
        <w:t xml:space="preserve">Sigma-Aldrich </w:t>
      </w:r>
      <w:proofErr w:type="spellStart"/>
      <w:r>
        <w:rPr>
          <w:rFonts w:asciiTheme="minorBidi" w:hAnsiTheme="minorBidi" w:cstheme="minorBidi"/>
        </w:rPr>
        <w:t>Chemie</w:t>
      </w:r>
      <w:proofErr w:type="spellEnd"/>
      <w:r>
        <w:rPr>
          <w:rFonts w:asciiTheme="minorBidi" w:hAnsiTheme="minorBidi" w:cstheme="minorBidi"/>
        </w:rPr>
        <w:t xml:space="preserve"> GmbH (</w:t>
      </w:r>
      <w:proofErr w:type="spellStart"/>
      <w:r>
        <w:rPr>
          <w:rFonts w:asciiTheme="minorBidi" w:hAnsiTheme="minorBidi" w:cstheme="minorBidi"/>
        </w:rPr>
        <w:t>Riedstrasse</w:t>
      </w:r>
      <w:proofErr w:type="spellEnd"/>
      <w:r>
        <w:rPr>
          <w:rFonts w:asciiTheme="minorBidi" w:hAnsiTheme="minorBidi" w:cstheme="minorBidi"/>
        </w:rPr>
        <w:t xml:space="preserve"> 2D-89555 STEINHEIM) Product Number: C0143 Sigma Index-No.: 015-154-00-4 CAS-No.:16672-87-0</w:t>
      </w:r>
    </w:p>
    <w:p w14:paraId="5A380435" w14:textId="77777777" w:rsidR="00E02901" w:rsidRDefault="00E02901" w:rsidP="00E02901">
      <w:pPr>
        <w:spacing w:line="360" w:lineRule="auto"/>
        <w:jc w:val="both"/>
        <w:rPr>
          <w:rFonts w:asciiTheme="minorBidi" w:eastAsia="Calibri" w:hAnsiTheme="minorBidi" w:cstheme="minorBidi"/>
          <w:b/>
          <w:bCs/>
          <w:lang w:bidi="ar-EG"/>
        </w:rPr>
      </w:pPr>
      <w:r>
        <w:rPr>
          <w:rFonts w:asciiTheme="minorBidi" w:eastAsia="Calibri" w:hAnsiTheme="minorBidi" w:cstheme="minorBidi"/>
          <w:b/>
          <w:bCs/>
          <w:lang w:bidi="ar-EG"/>
        </w:rPr>
        <w:t>2.2. Experimental Animals</w:t>
      </w:r>
    </w:p>
    <w:p w14:paraId="32064D41" w14:textId="77777777" w:rsidR="00E02901" w:rsidRDefault="00E02901" w:rsidP="003D1024">
      <w:pPr>
        <w:spacing w:line="360" w:lineRule="auto"/>
        <w:jc w:val="both"/>
        <w:rPr>
          <w:rFonts w:asciiTheme="minorBidi" w:eastAsia="Calibri" w:hAnsiTheme="minorBidi" w:cstheme="minorBidi"/>
          <w:lang w:bidi="ar-EG"/>
        </w:rPr>
      </w:pPr>
      <w:r>
        <w:rPr>
          <w:rFonts w:asciiTheme="minorBidi" w:eastAsia="Calibri" w:hAnsiTheme="minorBidi" w:cstheme="minorBidi"/>
          <w:lang w:bidi="ar-EG"/>
        </w:rPr>
        <w:t xml:space="preserve">This study was carried out on 20 adult male albino Sprague–Dawley rats, weighing 150 ± 10 g and aged between 10 and 12 weeks. The animals were housed under controlled environmental conditions, with a temperature of 23 ± 2 °C, relative humidity of 80 ± 5%, and a 12-hour light/dark cycle. </w:t>
      </w:r>
    </w:p>
    <w:p w14:paraId="36CE94F3" w14:textId="77777777" w:rsidR="00E02901" w:rsidRDefault="00E02901" w:rsidP="00E02901">
      <w:pPr>
        <w:spacing w:line="360" w:lineRule="auto"/>
        <w:jc w:val="both"/>
        <w:outlineLvl w:val="2"/>
        <w:rPr>
          <w:rFonts w:asciiTheme="minorBidi" w:hAnsiTheme="minorBidi" w:cstheme="minorBidi"/>
          <w:b/>
          <w:bCs/>
          <w:rtl/>
          <w:lang w:bidi="ar-EG"/>
        </w:rPr>
      </w:pPr>
      <w:r>
        <w:rPr>
          <w:rFonts w:asciiTheme="minorBidi" w:hAnsiTheme="minorBidi" w:cstheme="minorBidi"/>
          <w:b/>
          <w:bCs/>
        </w:rPr>
        <w:t>2.3. Experimental design and sample collection</w:t>
      </w:r>
    </w:p>
    <w:p w14:paraId="2E34FC0E" w14:textId="77777777" w:rsidR="00E02901" w:rsidRDefault="00E02901" w:rsidP="00E02901">
      <w:pPr>
        <w:spacing w:line="360" w:lineRule="auto"/>
        <w:jc w:val="both"/>
        <w:rPr>
          <w:rFonts w:asciiTheme="minorBidi" w:eastAsia="Calibri" w:hAnsiTheme="minorBidi" w:cstheme="minorBidi"/>
          <w:lang w:bidi="ar-EG"/>
        </w:rPr>
      </w:pPr>
      <w:r>
        <w:rPr>
          <w:rFonts w:asciiTheme="minorBidi" w:eastAsia="Calibri" w:hAnsiTheme="minorBidi" w:cstheme="minorBidi"/>
          <w:lang w:bidi="ar-EG"/>
        </w:rPr>
        <w:t>The animals were randomly divided into two groups, each consisting of ten rats, as follows:</w:t>
      </w:r>
    </w:p>
    <w:p w14:paraId="41B66D64" w14:textId="77777777" w:rsidR="00E02901" w:rsidRDefault="00E02901" w:rsidP="00E02901">
      <w:pPr>
        <w:spacing w:line="360" w:lineRule="auto"/>
        <w:jc w:val="both"/>
        <w:rPr>
          <w:rFonts w:asciiTheme="minorBidi" w:eastAsia="Calibri" w:hAnsiTheme="minorBidi" w:cstheme="minorBidi"/>
          <w:rtl/>
          <w:lang w:bidi="ar-EG"/>
        </w:rPr>
      </w:pPr>
      <w:r>
        <w:rPr>
          <w:rFonts w:asciiTheme="minorBidi" w:eastAsia="Calibri" w:hAnsiTheme="minorBidi" w:cstheme="minorBidi"/>
          <w:b/>
          <w:bCs/>
          <w:lang w:bidi="ar-EG"/>
        </w:rPr>
        <w:t>Control</w:t>
      </w:r>
      <w:r>
        <w:rPr>
          <w:rFonts w:asciiTheme="minorBidi" w:eastAsia="Calibri" w:hAnsiTheme="minorBidi" w:cstheme="minorBidi"/>
          <w:lang w:bidi="ar-EG"/>
        </w:rPr>
        <w:t>: Rats received no treatment and served as the control group</w:t>
      </w:r>
    </w:p>
    <w:p w14:paraId="0E8F7A09" w14:textId="77777777" w:rsidR="00E02901" w:rsidRPr="00E02901" w:rsidRDefault="00E02901" w:rsidP="00E02901">
      <w:pPr>
        <w:spacing w:line="360" w:lineRule="auto"/>
        <w:jc w:val="both"/>
        <w:rPr>
          <w:rFonts w:asciiTheme="minorBidi" w:eastAsia="Calibri" w:hAnsiTheme="minorBidi" w:cstheme="minorBidi"/>
          <w:lang w:bidi="ar-EG"/>
        </w:rPr>
      </w:pPr>
      <w:r>
        <w:rPr>
          <w:rFonts w:asciiTheme="minorBidi" w:eastAsia="Calibri" w:hAnsiTheme="minorBidi" w:cstheme="minorBidi"/>
          <w:b/>
          <w:bCs/>
          <w:lang w:bidi="ar-EG"/>
        </w:rPr>
        <w:t>Ethephon</w:t>
      </w:r>
      <w:r>
        <w:rPr>
          <w:rFonts w:asciiTheme="minorBidi" w:eastAsia="Calibri" w:hAnsiTheme="minorBidi" w:cstheme="minorBidi"/>
          <w:lang w:bidi="ar-EG"/>
        </w:rPr>
        <w:t xml:space="preserve">: Rats received ethephon orally at a dose of 200 mg/kg body weight per day for four weeks </w:t>
      </w:r>
      <w:r w:rsidRPr="00E02901">
        <w:rPr>
          <w:rFonts w:asciiTheme="minorBidi" w:eastAsia="Calibri" w:hAnsiTheme="minorBidi" w:cstheme="minorBidi"/>
          <w:lang w:bidi="ar-EG"/>
        </w:rPr>
        <w:t>(</w:t>
      </w:r>
      <w:proofErr w:type="spellStart"/>
      <w:r w:rsidRPr="00E02901">
        <w:rPr>
          <w:rFonts w:asciiTheme="minorBidi" w:eastAsia="Calibri" w:hAnsiTheme="minorBidi" w:cstheme="minorBidi"/>
          <w:lang w:bidi="ar-EG"/>
        </w:rPr>
        <w:t>Bhadoria</w:t>
      </w:r>
      <w:proofErr w:type="spellEnd"/>
      <w:r w:rsidRPr="00E02901">
        <w:rPr>
          <w:rFonts w:asciiTheme="minorBidi" w:eastAsia="Calibri" w:hAnsiTheme="minorBidi" w:cstheme="minorBidi"/>
          <w:lang w:bidi="ar-EG"/>
        </w:rPr>
        <w:t xml:space="preserve"> et al., 2015).</w:t>
      </w:r>
    </w:p>
    <w:p w14:paraId="3149638B" w14:textId="77777777" w:rsidR="00E02901" w:rsidRDefault="00E02901" w:rsidP="00E02901">
      <w:pPr>
        <w:spacing w:line="360" w:lineRule="auto"/>
        <w:jc w:val="both"/>
        <w:rPr>
          <w:rFonts w:asciiTheme="minorBidi" w:eastAsia="Calibri" w:hAnsiTheme="minorBidi" w:cstheme="minorBidi"/>
          <w:lang w:bidi="ar-EG"/>
        </w:rPr>
      </w:pPr>
      <w:r>
        <w:rPr>
          <w:rFonts w:asciiTheme="minorBidi" w:eastAsia="Calibri" w:hAnsiTheme="minorBidi" w:cstheme="minorBidi"/>
          <w:lang w:bidi="ar-EG"/>
        </w:rPr>
        <w:t>At the end of the experimental period, rats were anesthetized with sodium pentobarbital and then sacrificed. Blood samples were collected aseptically via venipuncture into clean, dry, sterile tubes without anticoagulant and allowed to clot at 4 °C for 20 minutes. The samples were then centrifuged at 4000 rpm for 5 minutes. The separated serum was carefully collected and stored at −18 °C until used for biochemical analysis.</w:t>
      </w:r>
    </w:p>
    <w:p w14:paraId="677C8EC8" w14:textId="77777777" w:rsidR="00E02901" w:rsidRDefault="00E02901" w:rsidP="00E02901">
      <w:pPr>
        <w:spacing w:line="360" w:lineRule="auto"/>
        <w:jc w:val="both"/>
        <w:rPr>
          <w:rFonts w:asciiTheme="minorBidi" w:hAnsiTheme="minorBidi" w:cstheme="minorBidi"/>
          <w:b/>
          <w:bCs/>
        </w:rPr>
      </w:pPr>
      <w:r>
        <w:rPr>
          <w:rFonts w:asciiTheme="minorBidi" w:eastAsia="AdvGulliv-R" w:hAnsiTheme="minorBidi" w:cstheme="minorBidi"/>
          <w:b/>
          <w:bCs/>
          <w:color w:val="000000"/>
        </w:rPr>
        <w:t>2.4. Enzymatic and non-enzymatic antioxidant assays</w:t>
      </w:r>
    </w:p>
    <w:p w14:paraId="307E6CD8" w14:textId="77777777" w:rsidR="00E02901" w:rsidRDefault="00E02901" w:rsidP="00E02901">
      <w:pPr>
        <w:autoSpaceDE w:val="0"/>
        <w:autoSpaceDN w:val="0"/>
        <w:adjustRightInd w:val="0"/>
        <w:spacing w:line="360" w:lineRule="auto"/>
        <w:jc w:val="both"/>
        <w:rPr>
          <w:rFonts w:asciiTheme="minorBidi" w:hAnsiTheme="minorBidi" w:cstheme="minorBidi"/>
          <w:lang w:bidi="ar-EG"/>
        </w:rPr>
      </w:pPr>
      <w:r>
        <w:rPr>
          <w:rFonts w:asciiTheme="minorBidi" w:hAnsiTheme="minorBidi" w:cstheme="minorBidi"/>
          <w:lang w:bidi="ar-EG"/>
        </w:rPr>
        <w:t>The tissues from different organs were excised, washed, and homogenized in saline then centrifuged at 4000 rpm for seven min and resulting suspension were collected and kept at -80</w:t>
      </w:r>
      <w:r>
        <w:rPr>
          <w:rFonts w:asciiTheme="minorBidi" w:hAnsiTheme="minorBidi" w:cstheme="minorBidi"/>
          <w:vertAlign w:val="superscript"/>
          <w:lang w:bidi="ar-EG"/>
        </w:rPr>
        <w:t>o</w:t>
      </w:r>
      <w:r>
        <w:rPr>
          <w:rFonts w:asciiTheme="minorBidi" w:hAnsiTheme="minorBidi" w:cstheme="minorBidi"/>
          <w:lang w:bidi="ar-EG"/>
        </w:rPr>
        <w:t>C for further assessment.</w:t>
      </w:r>
    </w:p>
    <w:p w14:paraId="7D225A4E" w14:textId="77777777" w:rsidR="00E02901" w:rsidRDefault="00E02901" w:rsidP="00E02901">
      <w:pPr>
        <w:autoSpaceDE w:val="0"/>
        <w:autoSpaceDN w:val="0"/>
        <w:adjustRightInd w:val="0"/>
        <w:spacing w:line="360" w:lineRule="auto"/>
        <w:jc w:val="both"/>
        <w:rPr>
          <w:rFonts w:asciiTheme="minorBidi" w:hAnsiTheme="minorBidi" w:cstheme="minorBidi"/>
          <w:b/>
          <w:bCs/>
        </w:rPr>
      </w:pPr>
      <w:r>
        <w:rPr>
          <w:rFonts w:asciiTheme="minorBidi" w:eastAsia="Calibri" w:hAnsiTheme="minorBidi" w:cstheme="minorBidi"/>
          <w:b/>
          <w:bCs/>
        </w:rPr>
        <w:t xml:space="preserve">2.4.1. </w:t>
      </w:r>
      <w:proofErr w:type="spellStart"/>
      <w:r>
        <w:rPr>
          <w:rFonts w:asciiTheme="minorBidi" w:eastAsia="Calibri" w:hAnsiTheme="minorBidi" w:cstheme="minorBidi"/>
          <w:b/>
          <w:bCs/>
        </w:rPr>
        <w:t>Thiobarbituric</w:t>
      </w:r>
      <w:proofErr w:type="spellEnd"/>
      <w:r>
        <w:rPr>
          <w:rFonts w:asciiTheme="minorBidi" w:eastAsia="Calibri" w:hAnsiTheme="minorBidi" w:cstheme="minorBidi"/>
          <w:b/>
          <w:bCs/>
        </w:rPr>
        <w:t xml:space="preserve"> acid-reactive substances content</w:t>
      </w:r>
      <w:r>
        <w:rPr>
          <w:rFonts w:asciiTheme="minorBidi" w:hAnsiTheme="minorBidi" w:cstheme="minorBidi"/>
          <w:b/>
          <w:bCs/>
        </w:rPr>
        <w:t xml:space="preserve"> (</w:t>
      </w:r>
      <w:r>
        <w:rPr>
          <w:rFonts w:asciiTheme="minorBidi" w:eastAsia="Calibri" w:hAnsiTheme="minorBidi" w:cstheme="minorBidi"/>
          <w:b/>
          <w:bCs/>
        </w:rPr>
        <w:t>TBARS</w:t>
      </w:r>
      <w:r>
        <w:rPr>
          <w:rFonts w:asciiTheme="minorBidi" w:hAnsiTheme="minorBidi" w:cstheme="minorBidi"/>
          <w:b/>
          <w:bCs/>
        </w:rPr>
        <w:t xml:space="preserve">) assay </w:t>
      </w:r>
    </w:p>
    <w:p w14:paraId="29EF5940" w14:textId="77777777" w:rsidR="00E02901" w:rsidRDefault="00E02901" w:rsidP="00E02901">
      <w:pPr>
        <w:autoSpaceDE w:val="0"/>
        <w:autoSpaceDN w:val="0"/>
        <w:adjustRightInd w:val="0"/>
        <w:spacing w:line="360" w:lineRule="auto"/>
        <w:jc w:val="both"/>
        <w:rPr>
          <w:rFonts w:asciiTheme="minorBidi" w:hAnsiTheme="minorBidi" w:cstheme="minorBidi"/>
        </w:rPr>
      </w:pPr>
      <w:proofErr w:type="spellStart"/>
      <w:r>
        <w:rPr>
          <w:rFonts w:asciiTheme="minorBidi" w:eastAsia="Calibri" w:hAnsiTheme="minorBidi" w:cstheme="minorBidi"/>
        </w:rPr>
        <w:t>Thiobarbituric</w:t>
      </w:r>
      <w:proofErr w:type="spellEnd"/>
      <w:r>
        <w:rPr>
          <w:rFonts w:asciiTheme="minorBidi" w:eastAsia="Calibri" w:hAnsiTheme="minorBidi" w:cstheme="minorBidi"/>
        </w:rPr>
        <w:t xml:space="preserve"> acid-reactive substances (TBARS) were estimated in heart homogenate using the method of </w:t>
      </w:r>
      <w:proofErr w:type="spellStart"/>
      <w:r w:rsidRPr="00E02901">
        <w:rPr>
          <w:rFonts w:asciiTheme="minorBidi" w:eastAsia="AdvGulliv-R" w:hAnsiTheme="minorBidi" w:cstheme="minorBidi"/>
        </w:rPr>
        <w:t>Esterbauer</w:t>
      </w:r>
      <w:proofErr w:type="spellEnd"/>
      <w:r w:rsidRPr="00E02901">
        <w:rPr>
          <w:rFonts w:asciiTheme="minorBidi" w:eastAsia="AdvGulliv-R" w:hAnsiTheme="minorBidi" w:cstheme="minorBidi"/>
        </w:rPr>
        <w:t xml:space="preserve"> and Cheeseman (1990)</w:t>
      </w:r>
      <w:r>
        <w:rPr>
          <w:rFonts w:asciiTheme="minorBidi" w:eastAsia="AdvGulliv-R" w:hAnsiTheme="minorBidi" w:cstheme="minorBidi"/>
        </w:rPr>
        <w:t xml:space="preserve"> </w:t>
      </w:r>
      <w:r>
        <w:rPr>
          <w:rFonts w:asciiTheme="minorBidi" w:eastAsia="Calibri" w:hAnsiTheme="minorBidi" w:cstheme="minorBidi"/>
        </w:rPr>
        <w:t xml:space="preserve">and </w:t>
      </w:r>
      <w:r>
        <w:rPr>
          <w:rFonts w:asciiTheme="minorBidi" w:hAnsiTheme="minorBidi" w:cstheme="minorBidi"/>
        </w:rPr>
        <w:t>expressed as</w:t>
      </w:r>
      <w:r>
        <w:rPr>
          <w:rFonts w:asciiTheme="minorBidi" w:hAnsiTheme="minorBidi" w:cstheme="minorBidi"/>
          <w:lang w:bidi="ar-EG"/>
        </w:rPr>
        <w:t xml:space="preserve"> </w:t>
      </w:r>
      <w:proofErr w:type="spellStart"/>
      <w:r>
        <w:rPr>
          <w:rFonts w:asciiTheme="minorBidi" w:hAnsiTheme="minorBidi" w:cstheme="minorBidi"/>
          <w:lang w:bidi="ar-EG"/>
        </w:rPr>
        <w:t>nmole</w:t>
      </w:r>
      <w:proofErr w:type="spellEnd"/>
      <w:r>
        <w:rPr>
          <w:rFonts w:asciiTheme="minorBidi" w:hAnsiTheme="minorBidi" w:cstheme="minorBidi"/>
          <w:lang w:bidi="ar-EG"/>
        </w:rPr>
        <w:t>/g tissue</w:t>
      </w:r>
      <w:r>
        <w:rPr>
          <w:rFonts w:asciiTheme="minorBidi" w:hAnsiTheme="minorBidi" w:cstheme="minorBidi"/>
        </w:rPr>
        <w:t>.</w:t>
      </w:r>
    </w:p>
    <w:p w14:paraId="5E3FA9EA" w14:textId="77777777" w:rsidR="00E02901" w:rsidRDefault="00E02901" w:rsidP="00E02901">
      <w:pPr>
        <w:autoSpaceDE w:val="0"/>
        <w:autoSpaceDN w:val="0"/>
        <w:adjustRightInd w:val="0"/>
        <w:spacing w:line="360" w:lineRule="auto"/>
        <w:jc w:val="both"/>
        <w:rPr>
          <w:rFonts w:asciiTheme="minorBidi" w:hAnsiTheme="minorBidi" w:cstheme="minorBidi"/>
          <w:b/>
          <w:bCs/>
          <w:color w:val="000000"/>
        </w:rPr>
      </w:pPr>
      <w:r>
        <w:rPr>
          <w:rFonts w:asciiTheme="minorBidi" w:hAnsiTheme="minorBidi" w:cstheme="minorBidi"/>
          <w:b/>
          <w:bCs/>
        </w:rPr>
        <w:t>2.4.2. Reduced glutathione (GSH)</w:t>
      </w:r>
    </w:p>
    <w:p w14:paraId="4B6662A7" w14:textId="77777777" w:rsidR="00E02901" w:rsidRDefault="00E02901" w:rsidP="00E02901">
      <w:pPr>
        <w:autoSpaceDE w:val="0"/>
        <w:autoSpaceDN w:val="0"/>
        <w:adjustRightInd w:val="0"/>
        <w:spacing w:line="360" w:lineRule="auto"/>
        <w:jc w:val="both"/>
        <w:rPr>
          <w:rFonts w:asciiTheme="minorBidi" w:hAnsiTheme="minorBidi" w:cstheme="minorBidi"/>
          <w:b/>
          <w:bCs/>
          <w:color w:val="000000"/>
        </w:rPr>
      </w:pPr>
      <w:r>
        <w:rPr>
          <w:rFonts w:asciiTheme="minorBidi" w:hAnsiTheme="minorBidi" w:cstheme="minorBidi"/>
        </w:rPr>
        <w:t xml:space="preserve">GSH concentration was determined in liver homogenates using the </w:t>
      </w:r>
      <w:proofErr w:type="spellStart"/>
      <w:r w:rsidRPr="00E02901">
        <w:rPr>
          <w:rFonts w:asciiTheme="minorBidi" w:hAnsiTheme="minorBidi" w:cstheme="minorBidi"/>
        </w:rPr>
        <w:t>Beutler</w:t>
      </w:r>
      <w:proofErr w:type="spellEnd"/>
      <w:r w:rsidRPr="00E02901">
        <w:rPr>
          <w:rFonts w:asciiTheme="minorBidi" w:hAnsiTheme="minorBidi" w:cstheme="minorBidi"/>
        </w:rPr>
        <w:t xml:space="preserve"> (1963)</w:t>
      </w:r>
      <w:r>
        <w:rPr>
          <w:rFonts w:asciiTheme="minorBidi" w:hAnsiTheme="minorBidi" w:cstheme="minorBidi"/>
        </w:rPr>
        <w:t xml:space="preserve"> method following treatment with 5.5′- </w:t>
      </w:r>
      <w:proofErr w:type="spellStart"/>
      <w:r>
        <w:rPr>
          <w:rFonts w:asciiTheme="minorBidi" w:hAnsiTheme="minorBidi" w:cstheme="minorBidi"/>
        </w:rPr>
        <w:t>dithiobis</w:t>
      </w:r>
      <w:proofErr w:type="spellEnd"/>
      <w:r>
        <w:rPr>
          <w:rFonts w:asciiTheme="minorBidi" w:hAnsiTheme="minorBidi" w:cstheme="minorBidi"/>
        </w:rPr>
        <w:t>-(2-nitrobenzoic acid) and expressed as mol GSH/ mg protein.</w:t>
      </w:r>
    </w:p>
    <w:p w14:paraId="31E3890B" w14:textId="77777777" w:rsidR="00E02901" w:rsidRDefault="00E02901" w:rsidP="00E02901">
      <w:pPr>
        <w:autoSpaceDE w:val="0"/>
        <w:autoSpaceDN w:val="0"/>
        <w:adjustRightInd w:val="0"/>
        <w:spacing w:line="360" w:lineRule="auto"/>
        <w:jc w:val="both"/>
        <w:rPr>
          <w:rFonts w:asciiTheme="minorBidi" w:hAnsiTheme="minorBidi" w:cstheme="minorBidi"/>
          <w:b/>
          <w:bCs/>
          <w:color w:val="000000"/>
        </w:rPr>
      </w:pPr>
      <w:r>
        <w:rPr>
          <w:rFonts w:asciiTheme="minorBidi" w:hAnsiTheme="minorBidi" w:cstheme="minorBidi"/>
          <w:b/>
          <w:bCs/>
          <w:color w:val="000000"/>
        </w:rPr>
        <w:t xml:space="preserve">2.4.3. Catalase </w:t>
      </w:r>
      <w:r>
        <w:rPr>
          <w:rFonts w:asciiTheme="minorBidi" w:hAnsiTheme="minorBidi" w:cstheme="minorBidi"/>
        </w:rPr>
        <w:t>(</w:t>
      </w:r>
      <w:r>
        <w:rPr>
          <w:rFonts w:asciiTheme="minorBidi" w:hAnsiTheme="minorBidi" w:cstheme="minorBidi"/>
          <w:b/>
          <w:bCs/>
        </w:rPr>
        <w:t>CAT</w:t>
      </w:r>
      <w:r>
        <w:rPr>
          <w:rFonts w:asciiTheme="minorBidi" w:hAnsiTheme="minorBidi" w:cstheme="minorBidi"/>
        </w:rPr>
        <w:t>)</w:t>
      </w:r>
    </w:p>
    <w:p w14:paraId="010D45D0" w14:textId="77777777" w:rsidR="00E02901" w:rsidRDefault="00E02901" w:rsidP="00E02901">
      <w:pPr>
        <w:autoSpaceDE w:val="0"/>
        <w:autoSpaceDN w:val="0"/>
        <w:adjustRightInd w:val="0"/>
        <w:spacing w:line="360" w:lineRule="auto"/>
        <w:jc w:val="both"/>
        <w:rPr>
          <w:rFonts w:asciiTheme="minorBidi" w:hAnsiTheme="minorBidi" w:cstheme="minorBidi"/>
        </w:rPr>
      </w:pPr>
      <w:r>
        <w:rPr>
          <w:rFonts w:asciiTheme="minorBidi" w:hAnsiTheme="minorBidi" w:cstheme="minorBidi"/>
        </w:rPr>
        <w:lastRenderedPageBreak/>
        <w:t>The catalase enzyme (EC 1.11.1.6) transforms H</w:t>
      </w:r>
      <w:r>
        <w:rPr>
          <w:rFonts w:asciiTheme="minorBidi" w:hAnsiTheme="minorBidi" w:cstheme="minorBidi"/>
          <w:vertAlign w:val="subscript"/>
        </w:rPr>
        <w:t>2</w:t>
      </w:r>
      <w:r>
        <w:rPr>
          <w:rFonts w:asciiTheme="minorBidi" w:hAnsiTheme="minorBidi" w:cstheme="minorBidi"/>
        </w:rPr>
        <w:t>O</w:t>
      </w:r>
      <w:r>
        <w:rPr>
          <w:rFonts w:asciiTheme="minorBidi" w:hAnsiTheme="minorBidi" w:cstheme="minorBidi"/>
          <w:vertAlign w:val="subscript"/>
        </w:rPr>
        <w:t>2</w:t>
      </w:r>
      <w:r>
        <w:rPr>
          <w:rFonts w:asciiTheme="minorBidi" w:hAnsiTheme="minorBidi" w:cstheme="minorBidi"/>
        </w:rPr>
        <w:t xml:space="preserve"> into water. The CAT activity was assessed by spectrophotometry at 240 nm through determining the degradation rate of </w:t>
      </w:r>
      <w:r>
        <w:rPr>
          <w:rFonts w:asciiTheme="minorBidi" w:hAnsiTheme="minorBidi" w:cstheme="minorBidi"/>
          <w:color w:val="202124"/>
          <w:shd w:val="clear" w:color="auto" w:fill="FFFFFF"/>
        </w:rPr>
        <w:t>hydrogen peroxide</w:t>
      </w:r>
      <w:r>
        <w:rPr>
          <w:rFonts w:asciiTheme="minorBidi" w:hAnsiTheme="minorBidi" w:cstheme="minorBidi"/>
        </w:rPr>
        <w:t xml:space="preserve"> as reported by </w:t>
      </w:r>
      <w:proofErr w:type="spellStart"/>
      <w:r w:rsidRPr="00E02901">
        <w:rPr>
          <w:rFonts w:asciiTheme="minorBidi" w:hAnsiTheme="minorBidi" w:cstheme="minorBidi"/>
          <w:color w:val="222222"/>
        </w:rPr>
        <w:t>Saggu</w:t>
      </w:r>
      <w:proofErr w:type="spellEnd"/>
      <w:r w:rsidRPr="00E02901">
        <w:rPr>
          <w:rFonts w:asciiTheme="minorBidi" w:hAnsiTheme="minorBidi" w:cstheme="minorBidi"/>
          <w:color w:val="000000"/>
        </w:rPr>
        <w:t xml:space="preserve"> et al.</w:t>
      </w:r>
      <w:r w:rsidRPr="00E02901">
        <w:rPr>
          <w:rFonts w:asciiTheme="minorBidi" w:hAnsiTheme="minorBidi" w:cstheme="minorBidi"/>
        </w:rPr>
        <w:t xml:space="preserve"> (2014).</w:t>
      </w:r>
    </w:p>
    <w:p w14:paraId="753BF5BB" w14:textId="77777777" w:rsidR="00E02901" w:rsidRDefault="00E02901" w:rsidP="00E02901">
      <w:pPr>
        <w:autoSpaceDE w:val="0"/>
        <w:autoSpaceDN w:val="0"/>
        <w:adjustRightInd w:val="0"/>
        <w:spacing w:line="360" w:lineRule="auto"/>
        <w:jc w:val="both"/>
        <w:rPr>
          <w:rFonts w:asciiTheme="minorBidi" w:hAnsiTheme="minorBidi" w:cstheme="minorBidi"/>
          <w:b/>
          <w:bCs/>
          <w:color w:val="000000"/>
        </w:rPr>
      </w:pPr>
      <w:r>
        <w:rPr>
          <w:rFonts w:asciiTheme="minorBidi" w:hAnsiTheme="minorBidi" w:cstheme="minorBidi"/>
          <w:b/>
          <w:bCs/>
          <w:color w:val="000000"/>
        </w:rPr>
        <w:t>2.4.4. Superoxide Dismutase (SOD)</w:t>
      </w:r>
    </w:p>
    <w:p w14:paraId="184EF77B" w14:textId="77777777" w:rsidR="00E02901" w:rsidRDefault="00E02901" w:rsidP="00E02901">
      <w:pPr>
        <w:autoSpaceDE w:val="0"/>
        <w:autoSpaceDN w:val="0"/>
        <w:adjustRightInd w:val="0"/>
        <w:spacing w:line="360" w:lineRule="auto"/>
        <w:jc w:val="both"/>
        <w:rPr>
          <w:rFonts w:asciiTheme="minorBidi" w:hAnsiTheme="minorBidi" w:cstheme="minorBidi"/>
          <w:snapToGrid w:val="0"/>
        </w:rPr>
      </w:pPr>
      <w:r>
        <w:rPr>
          <w:rFonts w:asciiTheme="minorBidi" w:hAnsiTheme="minorBidi" w:cstheme="minorBidi"/>
          <w:snapToGrid w:val="0"/>
        </w:rPr>
        <w:t xml:space="preserve">According to </w:t>
      </w:r>
      <w:proofErr w:type="spellStart"/>
      <w:r w:rsidRPr="00E02901">
        <w:rPr>
          <w:rFonts w:asciiTheme="minorBidi" w:hAnsiTheme="minorBidi" w:cstheme="minorBidi"/>
          <w:snapToGrid w:val="0"/>
        </w:rPr>
        <w:t>Misra</w:t>
      </w:r>
      <w:proofErr w:type="spellEnd"/>
      <w:r w:rsidRPr="00E02901">
        <w:rPr>
          <w:rFonts w:asciiTheme="minorBidi" w:hAnsiTheme="minorBidi" w:cstheme="minorBidi"/>
          <w:snapToGrid w:val="0"/>
        </w:rPr>
        <w:t xml:space="preserve"> and </w:t>
      </w:r>
      <w:proofErr w:type="spellStart"/>
      <w:r w:rsidRPr="00E02901">
        <w:rPr>
          <w:rFonts w:asciiTheme="minorBidi" w:hAnsiTheme="minorBidi" w:cstheme="minorBidi"/>
          <w:snapToGrid w:val="0"/>
        </w:rPr>
        <w:t>Fridovich</w:t>
      </w:r>
      <w:proofErr w:type="spellEnd"/>
      <w:r w:rsidRPr="00E02901">
        <w:rPr>
          <w:rFonts w:asciiTheme="minorBidi" w:hAnsiTheme="minorBidi" w:cstheme="minorBidi"/>
        </w:rPr>
        <w:t xml:space="preserve"> (1972)</w:t>
      </w:r>
      <w:r w:rsidRPr="00E02901">
        <w:rPr>
          <w:rFonts w:asciiTheme="minorBidi" w:hAnsiTheme="minorBidi" w:cstheme="minorBidi"/>
          <w:snapToGrid w:val="0"/>
        </w:rPr>
        <w:t>,</w:t>
      </w:r>
      <w:r>
        <w:rPr>
          <w:rFonts w:asciiTheme="minorBidi" w:hAnsiTheme="minorBidi" w:cstheme="minorBidi"/>
          <w:snapToGrid w:val="0"/>
        </w:rPr>
        <w:t xml:space="preserve"> superoxide dismutase activity (EC 1.15.1.1) was assessed. The assay approach involves inhibiting epinephrine auto-oxidation to adrenochrome in an alkaline media that is significantly inhibited by the presence of SOD.</w:t>
      </w:r>
    </w:p>
    <w:p w14:paraId="2878E1F5" w14:textId="77777777" w:rsidR="005A4617" w:rsidRPr="005A4617" w:rsidRDefault="005A4617" w:rsidP="005A4617">
      <w:pPr>
        <w:spacing w:line="360" w:lineRule="auto"/>
        <w:contextualSpacing/>
        <w:rPr>
          <w:rFonts w:asciiTheme="minorBidi" w:hAnsiTheme="minorBidi" w:cstheme="minorBidi"/>
          <w:b/>
          <w:bCs/>
          <w:color w:val="000000"/>
        </w:rPr>
      </w:pPr>
      <w:r>
        <w:rPr>
          <w:rFonts w:asciiTheme="minorBidi" w:hAnsiTheme="minorBidi" w:cstheme="minorBidi"/>
          <w:b/>
          <w:bCs/>
          <w:color w:val="000000"/>
        </w:rPr>
        <w:t xml:space="preserve">2.5. </w:t>
      </w:r>
      <w:r w:rsidRPr="005A4617">
        <w:rPr>
          <w:rFonts w:asciiTheme="minorBidi" w:hAnsiTheme="minorBidi" w:cstheme="minorBidi"/>
          <w:b/>
          <w:bCs/>
          <w:color w:val="000000"/>
        </w:rPr>
        <w:t>Statistical Assessment</w:t>
      </w:r>
    </w:p>
    <w:p w14:paraId="4081374A" w14:textId="77777777" w:rsidR="005A4617" w:rsidRPr="005A4617" w:rsidRDefault="005A4617" w:rsidP="005A4617">
      <w:pPr>
        <w:spacing w:line="360" w:lineRule="auto"/>
        <w:jc w:val="both"/>
        <w:rPr>
          <w:rFonts w:asciiTheme="minorBidi" w:hAnsiTheme="minorBidi" w:cstheme="minorBidi"/>
          <w:b/>
          <w:bCs/>
          <w:color w:val="000000"/>
        </w:rPr>
      </w:pPr>
      <w:r w:rsidRPr="005A4617">
        <w:rPr>
          <w:rFonts w:asciiTheme="minorBidi" w:hAnsiTheme="minorBidi" w:cstheme="minorBidi"/>
          <w:color w:val="000000"/>
        </w:rPr>
        <w:t xml:space="preserve">Data were reported as the one-way ANOVA was used to examine the significance of difference. *and# significant difference from control and from </w:t>
      </w:r>
      <w:r w:rsidRPr="005A4617">
        <w:rPr>
          <w:rStyle w:val="Strong"/>
          <w:rFonts w:asciiTheme="minorBidi" w:hAnsiTheme="minorBidi" w:cstheme="minorBidi"/>
          <w:b w:val="0"/>
          <w:bCs w:val="0"/>
        </w:rPr>
        <w:t>Ethephon</w:t>
      </w:r>
      <w:r w:rsidRPr="005A4617">
        <w:rPr>
          <w:rFonts w:asciiTheme="minorBidi" w:hAnsiTheme="minorBidi" w:cstheme="minorBidi"/>
          <w:color w:val="000000"/>
        </w:rPr>
        <w:t xml:space="preserve"> group respectively. Values are expressed as means SE at p</w:t>
      </w:r>
      <w:r w:rsidRPr="005A4617">
        <w:rPr>
          <w:rFonts w:asciiTheme="minorBidi" w:hAnsiTheme="minorBidi" w:cstheme="minorBidi"/>
          <w:color w:val="000000"/>
        </w:rPr>
        <w:sym w:font="Symbol" w:char="F03C"/>
      </w:r>
      <w:r w:rsidRPr="005A4617">
        <w:rPr>
          <w:rFonts w:asciiTheme="minorBidi" w:hAnsiTheme="minorBidi" w:cstheme="minorBidi"/>
          <w:color w:val="000000"/>
        </w:rPr>
        <w:t xml:space="preserve"> 0.01.</w:t>
      </w:r>
      <w:r w:rsidRPr="005A4617">
        <w:rPr>
          <w:rFonts w:asciiTheme="minorBidi" w:hAnsiTheme="minorBidi" w:cstheme="minorBidi"/>
        </w:rPr>
        <w:t xml:space="preserve"> All statistical analyses were carried out using </w:t>
      </w:r>
      <w:r w:rsidRPr="005A4617">
        <w:rPr>
          <w:rStyle w:val="Strong"/>
          <w:rFonts w:asciiTheme="minorBidi" w:hAnsiTheme="minorBidi" w:cstheme="minorBidi"/>
          <w:b w:val="0"/>
          <w:bCs w:val="0"/>
        </w:rPr>
        <w:t>SPSS software package, version 21 (SPSS Inc., USA)</w:t>
      </w:r>
      <w:r w:rsidRPr="005A4617">
        <w:rPr>
          <w:rFonts w:asciiTheme="minorBidi" w:hAnsiTheme="minorBidi" w:cstheme="minorBidi"/>
          <w:b/>
          <w:bCs/>
        </w:rPr>
        <w:t>.</w:t>
      </w:r>
    </w:p>
    <w:p w14:paraId="3832F012" w14:textId="77777777" w:rsidR="00790ADA" w:rsidRPr="00FB3A86" w:rsidRDefault="00790ADA" w:rsidP="00441B6F">
      <w:pPr>
        <w:pStyle w:val="Body"/>
        <w:spacing w:after="0"/>
        <w:rPr>
          <w:rFonts w:ascii="Arial" w:hAnsi="Arial" w:cs="Arial"/>
        </w:rPr>
      </w:pPr>
    </w:p>
    <w:p w14:paraId="1530A262" w14:textId="77777777" w:rsidR="00902823" w:rsidRDefault="00000F8F" w:rsidP="005A461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68740D">
        <w:rPr>
          <w:rFonts w:ascii="Arial" w:hAnsi="Arial" w:cs="Arial"/>
        </w:rPr>
        <w:t xml:space="preserve">and </w:t>
      </w:r>
      <w:r w:rsidR="0068740D" w:rsidRPr="000E4A72">
        <w:rPr>
          <w:rFonts w:ascii="Arial" w:hAnsi="Arial" w:cs="Arial"/>
          <w:bCs/>
          <w:sz w:val="24"/>
          <w:szCs w:val="24"/>
        </w:rPr>
        <w:t>DISCUSSION</w:t>
      </w:r>
    </w:p>
    <w:p w14:paraId="05D233CA" w14:textId="77777777" w:rsidR="00790ADA" w:rsidRPr="00FB3A86" w:rsidRDefault="00790ADA" w:rsidP="00441B6F">
      <w:pPr>
        <w:pStyle w:val="Head1"/>
        <w:spacing w:after="0"/>
        <w:jc w:val="both"/>
        <w:rPr>
          <w:rFonts w:ascii="Arial" w:hAnsi="Arial" w:cs="Arial"/>
        </w:rPr>
      </w:pPr>
    </w:p>
    <w:p w14:paraId="6C1989F9" w14:textId="77777777" w:rsidR="000E4A72" w:rsidRPr="000E4A72" w:rsidRDefault="000E4A72" w:rsidP="000E4A72">
      <w:pPr>
        <w:spacing w:line="360" w:lineRule="auto"/>
        <w:jc w:val="both"/>
        <w:rPr>
          <w:rFonts w:asciiTheme="minorBidi" w:hAnsiTheme="minorBidi" w:cstheme="minorBidi"/>
        </w:rPr>
      </w:pPr>
      <w:r w:rsidRPr="000E4A72">
        <w:rPr>
          <w:rFonts w:asciiTheme="minorBidi" w:hAnsiTheme="minorBidi" w:cstheme="minorBidi"/>
        </w:rPr>
        <w:t>The toxic impacts of plant growth regulators (PGRs) are mainly related to several biological mechanisms, including oxidative stress, metabolic disturbances, and cellular injury. Oxidative stress represents one of the major pathways of toxicity and occurs due to the excessive generation of reactive oxygen species (ROS), which can damage different cellular structures (</w:t>
      </w:r>
      <w:proofErr w:type="spellStart"/>
      <w:r w:rsidRPr="000E4A72">
        <w:rPr>
          <w:rFonts w:asciiTheme="minorBidi" w:hAnsiTheme="minorBidi" w:cstheme="minorBidi"/>
        </w:rPr>
        <w:t>Lushchak</w:t>
      </w:r>
      <w:proofErr w:type="spellEnd"/>
      <w:r w:rsidRPr="000E4A72">
        <w:rPr>
          <w:rFonts w:asciiTheme="minorBidi" w:hAnsiTheme="minorBidi" w:cstheme="minorBidi"/>
        </w:rPr>
        <w:t>, 2014; Sharma et al., 2012). One of the important outcomes of oxidative stress is lipid peroxidation, which leads to deterioration of cellular membranes and loss of membrane stability (Ayala et al., 2014). Moreover, exposure to certain chemical growth regulators may interfere with enzymatic activities either by inhibiting enzymes or by causing abnormal enzyme activation, thereby disturbing vital metabolic processes within cells (Rademacher, 2015).</w:t>
      </w:r>
    </w:p>
    <w:p w14:paraId="2ACEFB23" w14:textId="77777777" w:rsidR="000E4A72" w:rsidRPr="000E4A72" w:rsidRDefault="000E4A72" w:rsidP="000E4A72">
      <w:pPr>
        <w:spacing w:line="360" w:lineRule="auto"/>
        <w:jc w:val="both"/>
        <w:rPr>
          <w:rFonts w:asciiTheme="minorBidi" w:hAnsiTheme="minorBidi" w:cstheme="minorBidi"/>
        </w:rPr>
      </w:pPr>
      <w:r w:rsidRPr="000E4A72">
        <w:rPr>
          <w:rFonts w:asciiTheme="minorBidi" w:hAnsiTheme="minorBidi" w:cstheme="minorBidi"/>
        </w:rPr>
        <w:t>Therefore, the present study was designed to evaluate the potential role of Ethephon in inducing oxidative stress in various organs of male albino rats. The liver plays a central role in the detoxification and metabolism of xenobiotic substances, including plant growth regulators. Our results showed a significant increase in TBARS levels along with a significant reduction in catalase (CAT), superoxide dismutase (SOD), and glutathione (GSH) in the liver tissues of the Ethephon-treated group compared with the control group</w:t>
      </w:r>
      <w:r w:rsidR="0068740D">
        <w:rPr>
          <w:rFonts w:asciiTheme="minorBidi" w:hAnsiTheme="minorBidi" w:cstheme="minorBidi"/>
        </w:rPr>
        <w:t xml:space="preserve"> (Table 1)</w:t>
      </w:r>
      <w:r w:rsidRPr="000E4A72">
        <w:rPr>
          <w:rFonts w:asciiTheme="minorBidi" w:hAnsiTheme="minorBidi" w:cstheme="minorBidi"/>
        </w:rPr>
        <w:t>. These findings suggest increased lipid peroxidation and a weakened antioxidant defense system, which are key factors involved in chemical-induced liver toxicity.</w:t>
      </w:r>
    </w:p>
    <w:p w14:paraId="618533EC" w14:textId="77777777" w:rsidR="0068740D" w:rsidRDefault="0068740D" w:rsidP="0068740D">
      <w:pPr>
        <w:spacing w:after="200" w:line="276" w:lineRule="auto"/>
        <w:jc w:val="both"/>
        <w:rPr>
          <w:rFonts w:asciiTheme="minorBidi" w:eastAsiaTheme="minorHAnsi" w:hAnsiTheme="minorBidi" w:cstheme="minorBidi"/>
          <w:b/>
          <w:bCs/>
          <w:lang w:bidi="ar-EG"/>
        </w:rPr>
      </w:pPr>
    </w:p>
    <w:p w14:paraId="4E25C624" w14:textId="77777777" w:rsidR="0068740D" w:rsidRDefault="0068740D" w:rsidP="0068740D">
      <w:pPr>
        <w:spacing w:after="200" w:line="276" w:lineRule="auto"/>
        <w:jc w:val="both"/>
        <w:rPr>
          <w:rFonts w:asciiTheme="minorBidi" w:eastAsiaTheme="minorHAnsi" w:hAnsiTheme="minorBidi" w:cstheme="minorBidi"/>
          <w:b/>
          <w:bCs/>
          <w:lang w:bidi="ar-EG"/>
        </w:rPr>
      </w:pPr>
    </w:p>
    <w:p w14:paraId="1A2F3204" w14:textId="77777777" w:rsidR="0068740D" w:rsidRDefault="0068740D" w:rsidP="0068740D">
      <w:pPr>
        <w:spacing w:after="200" w:line="276" w:lineRule="auto"/>
        <w:jc w:val="both"/>
        <w:rPr>
          <w:rFonts w:asciiTheme="minorBidi" w:eastAsiaTheme="minorHAnsi" w:hAnsiTheme="minorBidi" w:cstheme="minorBidi"/>
          <w:lang w:bidi="ar-EG"/>
        </w:rPr>
      </w:pPr>
      <w:r>
        <w:rPr>
          <w:rFonts w:asciiTheme="minorBidi" w:eastAsiaTheme="minorHAnsi" w:hAnsiTheme="minorBidi" w:cstheme="minorBidi"/>
          <w:b/>
          <w:bCs/>
          <w:lang w:bidi="ar-EG"/>
        </w:rPr>
        <w:lastRenderedPageBreak/>
        <w:t>Table (1)</w:t>
      </w:r>
      <w:r>
        <w:rPr>
          <w:rFonts w:asciiTheme="minorBidi" w:eastAsiaTheme="minorHAnsi" w:hAnsiTheme="minorBidi" w:cstheme="minorBidi"/>
          <w:lang w:bidi="ar-EG"/>
        </w:rPr>
        <w:t>: Changes antioxidant parameters (</w:t>
      </w:r>
      <w:r>
        <w:rPr>
          <w:rFonts w:asciiTheme="minorBidi" w:hAnsiTheme="minorBidi" w:cstheme="minorBidi"/>
          <w:lang w:bidi="ar-EG"/>
        </w:rPr>
        <w:t>TBARS</w:t>
      </w:r>
      <w:r>
        <w:rPr>
          <w:rFonts w:asciiTheme="minorBidi" w:eastAsiaTheme="minorHAnsi" w:hAnsiTheme="minorBidi" w:cstheme="minorBidi"/>
          <w:lang w:bidi="ar-EG"/>
        </w:rPr>
        <w:t xml:space="preserve">, SOD, CAT and GSH) levels in liver, tissues in control and </w:t>
      </w:r>
      <w:r>
        <w:rPr>
          <w:rFonts w:asciiTheme="minorBidi" w:eastAsia="SimSun" w:hAnsiTheme="minorBidi" w:cstheme="minorBidi"/>
          <w:bCs/>
          <w:kern w:val="2"/>
          <w:lang w:eastAsia="zh-CN"/>
        </w:rPr>
        <w:t>Ethephon</w:t>
      </w:r>
      <w:r>
        <w:rPr>
          <w:rFonts w:asciiTheme="minorBidi" w:eastAsiaTheme="minorHAnsi" w:hAnsiTheme="minorBidi" w:cstheme="minorBidi"/>
          <w:lang w:bidi="ar-EG"/>
        </w:rPr>
        <w:t xml:space="preserve"> group.</w:t>
      </w:r>
    </w:p>
    <w:tbl>
      <w:tblPr>
        <w:tblStyle w:val="TableGrid"/>
        <w:tblW w:w="8755" w:type="dxa"/>
        <w:jc w:val="center"/>
        <w:tblLook w:val="04A0" w:firstRow="1" w:lastRow="0" w:firstColumn="1" w:lastColumn="0" w:noHBand="0" w:noVBand="1"/>
      </w:tblPr>
      <w:tblGrid>
        <w:gridCol w:w="963"/>
        <w:gridCol w:w="1272"/>
        <w:gridCol w:w="1941"/>
        <w:gridCol w:w="1461"/>
        <w:gridCol w:w="1461"/>
        <w:gridCol w:w="1657"/>
      </w:tblGrid>
      <w:tr w:rsidR="0068740D" w14:paraId="73CB6CA3" w14:textId="77777777" w:rsidTr="00F70C90">
        <w:trPr>
          <w:jc w:val="center"/>
        </w:trPr>
        <w:tc>
          <w:tcPr>
            <w:tcW w:w="963" w:type="dxa"/>
            <w:tcBorders>
              <w:top w:val="single" w:sz="4" w:space="0" w:color="auto"/>
              <w:left w:val="single" w:sz="4" w:space="0" w:color="auto"/>
              <w:bottom w:val="single" w:sz="4" w:space="0" w:color="auto"/>
              <w:right w:val="single" w:sz="4" w:space="0" w:color="auto"/>
            </w:tcBorders>
          </w:tcPr>
          <w:p w14:paraId="1F9E7C40" w14:textId="77777777" w:rsidR="0068740D" w:rsidRDefault="0068740D" w:rsidP="00F70C90">
            <w:pPr>
              <w:bidi/>
              <w:rPr>
                <w:rFonts w:asciiTheme="minorBidi" w:eastAsia="Times New Roman" w:hAnsiTheme="minorBidi" w:cstheme="minorBidi"/>
                <w:sz w:val="20"/>
                <w:szCs w:val="20"/>
              </w:rPr>
            </w:pPr>
          </w:p>
        </w:tc>
        <w:tc>
          <w:tcPr>
            <w:tcW w:w="1272" w:type="dxa"/>
            <w:tcBorders>
              <w:top w:val="single" w:sz="4" w:space="0" w:color="auto"/>
              <w:left w:val="single" w:sz="4" w:space="0" w:color="auto"/>
              <w:bottom w:val="single" w:sz="4" w:space="0" w:color="auto"/>
              <w:right w:val="single" w:sz="4" w:space="0" w:color="auto"/>
            </w:tcBorders>
          </w:tcPr>
          <w:p w14:paraId="1E1170F4" w14:textId="77777777" w:rsidR="0068740D" w:rsidRDefault="0068740D" w:rsidP="00F70C90">
            <w:pPr>
              <w:bidi/>
              <w:rPr>
                <w:rFonts w:asciiTheme="minorBidi" w:eastAsia="Times New Roman" w:hAnsiTheme="minorBidi" w:cstheme="minorBidi"/>
                <w:sz w:val="20"/>
                <w:szCs w:val="20"/>
              </w:rPr>
            </w:pPr>
          </w:p>
        </w:tc>
        <w:tc>
          <w:tcPr>
            <w:tcW w:w="1941" w:type="dxa"/>
            <w:tcBorders>
              <w:top w:val="single" w:sz="4" w:space="0" w:color="auto"/>
              <w:left w:val="single" w:sz="4" w:space="0" w:color="auto"/>
              <w:bottom w:val="single" w:sz="4" w:space="0" w:color="auto"/>
              <w:right w:val="single" w:sz="4" w:space="0" w:color="auto"/>
            </w:tcBorders>
            <w:vAlign w:val="center"/>
            <w:hideMark/>
          </w:tcPr>
          <w:p w14:paraId="1E2701FB"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b/>
                <w:bCs/>
                <w:sz w:val="20"/>
                <w:szCs w:val="20"/>
                <w:lang w:bidi="ar-EG"/>
              </w:rPr>
              <w:t xml:space="preserve">TBARS </w:t>
            </w:r>
            <w:r>
              <w:rPr>
                <w:rFonts w:asciiTheme="minorBidi" w:hAnsiTheme="minorBidi" w:cstheme="minorBidi"/>
                <w:sz w:val="20"/>
                <w:szCs w:val="20"/>
                <w:lang w:bidi="ar-EG"/>
              </w:rPr>
              <w:t>(</w:t>
            </w:r>
            <w:proofErr w:type="spellStart"/>
            <w:r>
              <w:rPr>
                <w:rFonts w:asciiTheme="minorBidi" w:hAnsiTheme="minorBidi" w:cstheme="minorBidi"/>
                <w:sz w:val="20"/>
                <w:szCs w:val="20"/>
                <w:lang w:bidi="ar-EG"/>
              </w:rPr>
              <w:t>nmole</w:t>
            </w:r>
            <w:proofErr w:type="spellEnd"/>
            <w:r>
              <w:rPr>
                <w:rFonts w:asciiTheme="minorBidi" w:hAnsiTheme="minorBidi" w:cstheme="minorBidi"/>
                <w:sz w:val="20"/>
                <w:szCs w:val="20"/>
                <w:lang w:bidi="ar-EG"/>
              </w:rPr>
              <w:t>/g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983BCA5"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rPr>
              <w:t>SOD</w:t>
            </w:r>
          </w:p>
          <w:p w14:paraId="2DE8E434"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sz w:val="20"/>
                <w:szCs w:val="20"/>
              </w:rPr>
              <w:t>(U/g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A8765B2"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CAT</w:t>
            </w:r>
          </w:p>
          <w:p w14:paraId="17555075" w14:textId="77777777" w:rsidR="0068740D" w:rsidRDefault="0068740D" w:rsidP="00F70C90">
            <w:pPr>
              <w:bidi/>
              <w:jc w:val="center"/>
              <w:rPr>
                <w:rFonts w:asciiTheme="minorBidi" w:hAnsiTheme="minorBidi" w:cstheme="minorBidi"/>
                <w:sz w:val="20"/>
                <w:szCs w:val="20"/>
              </w:rPr>
            </w:pPr>
            <w:r>
              <w:rPr>
                <w:rFonts w:asciiTheme="minorBidi" w:hAnsiTheme="minorBidi" w:cstheme="minorBidi"/>
                <w:sz w:val="20"/>
                <w:szCs w:val="20"/>
              </w:rPr>
              <w:t>(U/g tissue)</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EFC5678"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GSH</w:t>
            </w:r>
          </w:p>
          <w:p w14:paraId="718E1BBF"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sz w:val="20"/>
                <w:szCs w:val="20"/>
              </w:rPr>
              <w:t>(mg/g tissue)</w:t>
            </w:r>
          </w:p>
        </w:tc>
      </w:tr>
      <w:tr w:rsidR="0068740D" w14:paraId="3F244BDA" w14:textId="77777777" w:rsidTr="00F70C90">
        <w:trPr>
          <w:jc w:val="center"/>
        </w:trPr>
        <w:tc>
          <w:tcPr>
            <w:tcW w:w="963" w:type="dxa"/>
            <w:vMerge w:val="restart"/>
            <w:tcBorders>
              <w:top w:val="single" w:sz="4" w:space="0" w:color="auto"/>
              <w:left w:val="single" w:sz="4" w:space="0" w:color="auto"/>
              <w:bottom w:val="single" w:sz="4" w:space="0" w:color="auto"/>
              <w:right w:val="single" w:sz="4" w:space="0" w:color="auto"/>
            </w:tcBorders>
            <w:hideMark/>
          </w:tcPr>
          <w:p w14:paraId="5E13ABF7" w14:textId="77777777" w:rsidR="0068740D" w:rsidRDefault="0068740D" w:rsidP="00F70C90">
            <w:pPr>
              <w:bidi/>
              <w:spacing w:before="120"/>
              <w:jc w:val="center"/>
              <w:rPr>
                <w:rFonts w:asciiTheme="minorBidi" w:eastAsia="Times New Roman" w:hAnsiTheme="minorBidi" w:cstheme="minorBidi"/>
                <w:b/>
                <w:bCs/>
                <w:sz w:val="20"/>
                <w:szCs w:val="20"/>
              </w:rPr>
            </w:pPr>
            <w:r>
              <w:rPr>
                <w:rFonts w:asciiTheme="minorBidi" w:hAnsiTheme="minorBidi" w:cstheme="minorBidi"/>
                <w:b/>
                <w:bCs/>
                <w:sz w:val="20"/>
                <w:szCs w:val="20"/>
              </w:rPr>
              <w:t>Liver</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3B8FB39" w14:textId="77777777" w:rsidR="0068740D" w:rsidRDefault="0068740D" w:rsidP="00F70C90">
            <w:pPr>
              <w:jc w:val="both"/>
              <w:rPr>
                <w:rFonts w:asciiTheme="minorBidi" w:hAnsiTheme="minorBidi" w:cstheme="minorBidi"/>
                <w:b/>
                <w:bCs/>
                <w:sz w:val="20"/>
                <w:szCs w:val="20"/>
              </w:rPr>
            </w:pPr>
            <w:r>
              <w:rPr>
                <w:rFonts w:asciiTheme="minorBidi" w:hAnsiTheme="minorBidi" w:cstheme="minorBidi"/>
                <w:b/>
                <w:bCs/>
                <w:sz w:val="20"/>
                <w:szCs w:val="20"/>
              </w:rPr>
              <w:t>Control</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A8A810A"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45.11 ±3.40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E85337A"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56.34 ± 3.44</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1496CE"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71.53±4.35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BEA1B40"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8.35 ±0.66</w:t>
            </w:r>
          </w:p>
        </w:tc>
      </w:tr>
      <w:tr w:rsidR="0068740D" w14:paraId="080F43F6" w14:textId="77777777" w:rsidTr="00F70C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ECFB8" w14:textId="77777777" w:rsidR="0068740D" w:rsidRDefault="0068740D" w:rsidP="00F70C90">
            <w:pPr>
              <w:rPr>
                <w:rFonts w:asciiTheme="minorBidi" w:eastAsia="Times New Roman" w:hAnsiTheme="minorBidi" w:cstheme="minorBidi"/>
                <w:b/>
                <w:bCs/>
                <w:sz w:val="20"/>
                <w:szCs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11F3CAC5" w14:textId="77777777" w:rsidR="0068740D" w:rsidRDefault="0068740D" w:rsidP="00F70C90">
            <w:pPr>
              <w:jc w:val="both"/>
              <w:rPr>
                <w:rFonts w:asciiTheme="minorBidi" w:hAnsiTheme="minorBidi" w:cstheme="minorBidi"/>
                <w:b/>
                <w:bCs/>
                <w:sz w:val="20"/>
                <w:szCs w:val="20"/>
              </w:rPr>
            </w:pPr>
            <w:r>
              <w:rPr>
                <w:rFonts w:asciiTheme="minorBidi" w:eastAsia="SimSun" w:hAnsiTheme="minorBidi" w:cstheme="minorBidi"/>
                <w:b/>
                <w:kern w:val="2"/>
                <w:sz w:val="20"/>
                <w:szCs w:val="20"/>
                <w:lang w:eastAsia="zh-CN"/>
              </w:rPr>
              <w:t>Ethephon</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0B6A408"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107.6*±8.09</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9BFB727"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29.21*±1.88</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AE20A65"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40.19*±2.71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CB57325"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4.22*±0.35</w:t>
            </w:r>
          </w:p>
        </w:tc>
      </w:tr>
    </w:tbl>
    <w:p w14:paraId="4CAEEF09" w14:textId="77777777" w:rsidR="0068740D" w:rsidRDefault="0068740D" w:rsidP="0068740D">
      <w:pPr>
        <w:jc w:val="both"/>
        <w:rPr>
          <w:rFonts w:asciiTheme="minorBidi" w:hAnsiTheme="minorBidi" w:cstheme="minorBidi"/>
        </w:rPr>
      </w:pPr>
      <w:r>
        <w:rPr>
          <w:rFonts w:asciiTheme="minorBidi" w:hAnsiTheme="minorBidi" w:cstheme="minorBidi"/>
        </w:rPr>
        <w:t>The data is presented in the form of the mean ± standard error, based on ten observations. * denotes a significant deviation from control at p &lt; 0.01</w:t>
      </w:r>
    </w:p>
    <w:p w14:paraId="6E150EB9" w14:textId="77777777" w:rsidR="0068740D" w:rsidRDefault="0068740D" w:rsidP="000E4A72">
      <w:pPr>
        <w:spacing w:line="360" w:lineRule="auto"/>
        <w:jc w:val="both"/>
        <w:rPr>
          <w:rFonts w:asciiTheme="minorBidi" w:hAnsiTheme="minorBidi" w:cstheme="minorBidi"/>
        </w:rPr>
      </w:pPr>
    </w:p>
    <w:p w14:paraId="38E2C2F9" w14:textId="77777777" w:rsidR="0068740D" w:rsidRPr="000E4A72" w:rsidRDefault="0068740D" w:rsidP="0068740D">
      <w:pPr>
        <w:spacing w:line="360" w:lineRule="auto"/>
        <w:jc w:val="both"/>
        <w:rPr>
          <w:rFonts w:asciiTheme="minorBidi" w:hAnsiTheme="minorBidi" w:cstheme="minorBidi"/>
        </w:rPr>
      </w:pPr>
      <w:r w:rsidRPr="000E4A72">
        <w:rPr>
          <w:rFonts w:asciiTheme="minorBidi" w:hAnsiTheme="minorBidi" w:cstheme="minorBidi"/>
        </w:rPr>
        <w:t xml:space="preserve">These findings are consistent with those reported by </w:t>
      </w:r>
      <w:proofErr w:type="spellStart"/>
      <w:r w:rsidRPr="000E4A72">
        <w:rPr>
          <w:rFonts w:asciiTheme="minorBidi" w:hAnsiTheme="minorBidi" w:cstheme="minorBidi"/>
        </w:rPr>
        <w:t>Alsemeh</w:t>
      </w:r>
      <w:proofErr w:type="spellEnd"/>
      <w:r w:rsidRPr="000E4A72">
        <w:rPr>
          <w:rFonts w:asciiTheme="minorBidi" w:hAnsiTheme="minorBidi" w:cstheme="minorBidi"/>
        </w:rPr>
        <w:t xml:space="preserve"> et al. (2019), who indicated that oxidative stress is a major contributor to PGR-induced hepatotoxicity. The overproduction of reactive oxygen species (ROS) can lead to lipid peroxidation, oxidation of proteins, and damage to DNA within liver cells. Similarly, </w:t>
      </w:r>
      <w:proofErr w:type="spellStart"/>
      <w:r w:rsidRPr="000E4A72">
        <w:rPr>
          <w:rFonts w:asciiTheme="minorBidi" w:hAnsiTheme="minorBidi" w:cstheme="minorBidi"/>
        </w:rPr>
        <w:t>Valko</w:t>
      </w:r>
      <w:proofErr w:type="spellEnd"/>
      <w:r w:rsidRPr="000E4A72">
        <w:rPr>
          <w:rFonts w:asciiTheme="minorBidi" w:hAnsiTheme="minorBidi" w:cstheme="minorBidi"/>
        </w:rPr>
        <w:t xml:space="preserve"> et al. (2007) reported that exposure to high concentrations of plant growth regulators may cause liver injury as a result of oxidative stress and the accumulation of harmful metabolites. </w:t>
      </w:r>
      <w:r w:rsidRPr="000E4A72">
        <w:rPr>
          <w:rFonts w:asciiTheme="minorBidi" w:hAnsiTheme="minorBidi" w:cstheme="minorBidi"/>
          <w:color w:val="000000"/>
        </w:rPr>
        <w:t xml:space="preserve">Our results agree with </w:t>
      </w:r>
      <w:proofErr w:type="spellStart"/>
      <w:r w:rsidRPr="000E4A72">
        <w:rPr>
          <w:rFonts w:asciiTheme="minorBidi" w:hAnsiTheme="minorBidi" w:cstheme="minorBidi"/>
        </w:rPr>
        <w:t>Ozok</w:t>
      </w:r>
      <w:proofErr w:type="spellEnd"/>
      <w:r w:rsidRPr="000E4A72">
        <w:rPr>
          <w:rFonts w:asciiTheme="minorBidi" w:hAnsiTheme="minorBidi" w:cstheme="minorBidi"/>
        </w:rPr>
        <w:t xml:space="preserve"> and </w:t>
      </w:r>
      <w:proofErr w:type="spellStart"/>
      <w:r w:rsidRPr="000E4A72">
        <w:rPr>
          <w:rFonts w:asciiTheme="minorBidi" w:hAnsiTheme="minorBidi" w:cstheme="minorBidi"/>
        </w:rPr>
        <w:t>Celik</w:t>
      </w:r>
      <w:proofErr w:type="spellEnd"/>
      <w:r w:rsidRPr="000E4A72">
        <w:rPr>
          <w:rFonts w:asciiTheme="minorBidi" w:hAnsiTheme="minorBidi" w:cstheme="minorBidi"/>
        </w:rPr>
        <w:t xml:space="preserve"> (2012) who find that PGR induce liver damage and oxidative stress in rats.</w:t>
      </w:r>
    </w:p>
    <w:p w14:paraId="6E5E965B" w14:textId="77777777" w:rsidR="0068740D" w:rsidRDefault="0068740D" w:rsidP="000E4A72">
      <w:pPr>
        <w:spacing w:line="360" w:lineRule="auto"/>
        <w:jc w:val="both"/>
        <w:rPr>
          <w:rFonts w:asciiTheme="minorBidi" w:hAnsiTheme="minorBidi" w:cstheme="minorBidi"/>
        </w:rPr>
      </w:pPr>
      <w:r w:rsidRPr="000E4A72">
        <w:rPr>
          <w:rFonts w:asciiTheme="minorBidi" w:hAnsiTheme="minorBidi" w:cstheme="minorBidi"/>
        </w:rPr>
        <w:t>The kidney is also considered one of the major organs that may be affected by exposure to plant growth regulators, since it is responsible for the filtration and elimination of toxic compounds from the body. In the present study, kidney tissues of the Ethephon-treated group showed a significant elevation in TBARS levels, accompanied by a marked decrease in catalase (CAT), superoxide dismutase (SOD), and glutathione (GSH) compared with the control group</w:t>
      </w:r>
      <w:r>
        <w:rPr>
          <w:rFonts w:asciiTheme="minorBidi" w:hAnsiTheme="minorBidi" w:cstheme="minorBidi"/>
        </w:rPr>
        <w:t xml:space="preserve"> (Table 2)</w:t>
      </w:r>
      <w:r w:rsidRPr="000E4A72">
        <w:rPr>
          <w:rFonts w:asciiTheme="minorBidi" w:hAnsiTheme="minorBidi" w:cstheme="minorBidi"/>
        </w:rPr>
        <w:t>.</w:t>
      </w:r>
    </w:p>
    <w:p w14:paraId="3DBB2156" w14:textId="77777777" w:rsidR="0068740D" w:rsidRDefault="0068740D" w:rsidP="000E4A72">
      <w:pPr>
        <w:spacing w:line="360" w:lineRule="auto"/>
        <w:jc w:val="both"/>
        <w:rPr>
          <w:rFonts w:asciiTheme="minorBidi" w:hAnsiTheme="minorBidi" w:cstheme="minorBidi"/>
        </w:rPr>
      </w:pPr>
    </w:p>
    <w:p w14:paraId="4EFAB8E2" w14:textId="77777777" w:rsidR="0068740D" w:rsidRDefault="0068740D" w:rsidP="0068740D">
      <w:pPr>
        <w:spacing w:after="200" w:line="276" w:lineRule="auto"/>
        <w:jc w:val="both"/>
        <w:rPr>
          <w:rFonts w:asciiTheme="minorBidi" w:eastAsiaTheme="minorHAnsi" w:hAnsiTheme="minorBidi" w:cstheme="minorBidi"/>
          <w:lang w:bidi="ar-EG"/>
        </w:rPr>
      </w:pPr>
      <w:r>
        <w:rPr>
          <w:rFonts w:asciiTheme="minorBidi" w:eastAsiaTheme="minorHAnsi" w:hAnsiTheme="minorBidi" w:cstheme="minorBidi"/>
          <w:b/>
          <w:bCs/>
          <w:lang w:bidi="ar-EG"/>
        </w:rPr>
        <w:t>Table 2</w:t>
      </w:r>
      <w:r>
        <w:rPr>
          <w:rFonts w:asciiTheme="minorBidi" w:eastAsiaTheme="minorHAnsi" w:hAnsiTheme="minorBidi" w:cstheme="minorBidi"/>
          <w:lang w:bidi="ar-EG"/>
        </w:rPr>
        <w:t>: Changes antioxidant parameters (</w:t>
      </w:r>
      <w:r>
        <w:rPr>
          <w:rFonts w:asciiTheme="minorBidi" w:hAnsiTheme="minorBidi" w:cstheme="minorBidi"/>
          <w:lang w:bidi="ar-EG"/>
        </w:rPr>
        <w:t>TBARS</w:t>
      </w:r>
      <w:r>
        <w:rPr>
          <w:rFonts w:asciiTheme="minorBidi" w:eastAsiaTheme="minorHAnsi" w:hAnsiTheme="minorBidi" w:cstheme="minorBidi"/>
          <w:lang w:bidi="ar-EG"/>
        </w:rPr>
        <w:t xml:space="preserve">, SOD, CAT and GSH) levels in kidney tissues in control and </w:t>
      </w:r>
      <w:r>
        <w:rPr>
          <w:rFonts w:asciiTheme="minorBidi" w:eastAsia="SimSun" w:hAnsiTheme="minorBidi" w:cstheme="minorBidi"/>
          <w:bCs/>
          <w:kern w:val="2"/>
          <w:lang w:eastAsia="zh-CN"/>
        </w:rPr>
        <w:t>Ethephon</w:t>
      </w:r>
      <w:r>
        <w:rPr>
          <w:rFonts w:asciiTheme="minorBidi" w:eastAsiaTheme="minorHAnsi" w:hAnsiTheme="minorBidi" w:cstheme="minorBidi"/>
          <w:lang w:bidi="ar-EG"/>
        </w:rPr>
        <w:t xml:space="preserve"> group.</w:t>
      </w:r>
    </w:p>
    <w:tbl>
      <w:tblPr>
        <w:tblStyle w:val="TableGrid"/>
        <w:tblW w:w="8755" w:type="dxa"/>
        <w:jc w:val="center"/>
        <w:tblLook w:val="04A0" w:firstRow="1" w:lastRow="0" w:firstColumn="1" w:lastColumn="0" w:noHBand="0" w:noVBand="1"/>
      </w:tblPr>
      <w:tblGrid>
        <w:gridCol w:w="963"/>
        <w:gridCol w:w="1272"/>
        <w:gridCol w:w="1941"/>
        <w:gridCol w:w="1461"/>
        <w:gridCol w:w="1461"/>
        <w:gridCol w:w="1657"/>
      </w:tblGrid>
      <w:tr w:rsidR="0068740D" w14:paraId="4C5DFC5A" w14:textId="77777777" w:rsidTr="00F70C90">
        <w:trPr>
          <w:jc w:val="center"/>
        </w:trPr>
        <w:tc>
          <w:tcPr>
            <w:tcW w:w="963" w:type="dxa"/>
            <w:tcBorders>
              <w:top w:val="single" w:sz="4" w:space="0" w:color="auto"/>
              <w:left w:val="single" w:sz="4" w:space="0" w:color="auto"/>
              <w:bottom w:val="single" w:sz="4" w:space="0" w:color="auto"/>
              <w:right w:val="single" w:sz="4" w:space="0" w:color="auto"/>
            </w:tcBorders>
          </w:tcPr>
          <w:p w14:paraId="03938B60" w14:textId="77777777" w:rsidR="0068740D" w:rsidRDefault="0068740D" w:rsidP="00F70C90">
            <w:pPr>
              <w:bidi/>
              <w:rPr>
                <w:rFonts w:asciiTheme="minorBidi" w:eastAsia="Times New Roman" w:hAnsiTheme="minorBidi" w:cstheme="minorBidi"/>
                <w:sz w:val="20"/>
                <w:szCs w:val="20"/>
              </w:rPr>
            </w:pPr>
          </w:p>
        </w:tc>
        <w:tc>
          <w:tcPr>
            <w:tcW w:w="1272" w:type="dxa"/>
            <w:tcBorders>
              <w:top w:val="single" w:sz="4" w:space="0" w:color="auto"/>
              <w:left w:val="single" w:sz="4" w:space="0" w:color="auto"/>
              <w:bottom w:val="single" w:sz="4" w:space="0" w:color="auto"/>
              <w:right w:val="single" w:sz="4" w:space="0" w:color="auto"/>
            </w:tcBorders>
          </w:tcPr>
          <w:p w14:paraId="4E568A1C" w14:textId="77777777" w:rsidR="0068740D" w:rsidRDefault="0068740D" w:rsidP="00F70C90">
            <w:pPr>
              <w:bidi/>
              <w:rPr>
                <w:rFonts w:asciiTheme="minorBidi" w:eastAsia="Times New Roman" w:hAnsiTheme="minorBidi" w:cstheme="minorBidi"/>
                <w:sz w:val="20"/>
                <w:szCs w:val="20"/>
              </w:rPr>
            </w:pPr>
          </w:p>
        </w:tc>
        <w:tc>
          <w:tcPr>
            <w:tcW w:w="1941" w:type="dxa"/>
            <w:tcBorders>
              <w:top w:val="single" w:sz="4" w:space="0" w:color="auto"/>
              <w:left w:val="single" w:sz="4" w:space="0" w:color="auto"/>
              <w:bottom w:val="single" w:sz="4" w:space="0" w:color="auto"/>
              <w:right w:val="single" w:sz="4" w:space="0" w:color="auto"/>
            </w:tcBorders>
            <w:vAlign w:val="center"/>
            <w:hideMark/>
          </w:tcPr>
          <w:p w14:paraId="68FD42C4"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b/>
                <w:bCs/>
                <w:sz w:val="20"/>
                <w:szCs w:val="20"/>
                <w:lang w:bidi="ar-EG"/>
              </w:rPr>
              <w:t xml:space="preserve">TBARS </w:t>
            </w:r>
            <w:r>
              <w:rPr>
                <w:rFonts w:asciiTheme="minorBidi" w:hAnsiTheme="minorBidi" w:cstheme="minorBidi"/>
                <w:sz w:val="20"/>
                <w:szCs w:val="20"/>
                <w:lang w:bidi="ar-EG"/>
              </w:rPr>
              <w:t>(</w:t>
            </w:r>
            <w:proofErr w:type="spellStart"/>
            <w:r>
              <w:rPr>
                <w:rFonts w:asciiTheme="minorBidi" w:hAnsiTheme="minorBidi" w:cstheme="minorBidi"/>
                <w:sz w:val="20"/>
                <w:szCs w:val="20"/>
                <w:lang w:bidi="ar-EG"/>
              </w:rPr>
              <w:t>nmole</w:t>
            </w:r>
            <w:proofErr w:type="spellEnd"/>
            <w:r>
              <w:rPr>
                <w:rFonts w:asciiTheme="minorBidi" w:hAnsiTheme="minorBidi" w:cstheme="minorBidi"/>
                <w:sz w:val="20"/>
                <w:szCs w:val="20"/>
                <w:lang w:bidi="ar-EG"/>
              </w:rPr>
              <w:t>/g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6F736F0"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rPr>
              <w:t>SOD</w:t>
            </w:r>
          </w:p>
          <w:p w14:paraId="650377F1"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sz w:val="20"/>
                <w:szCs w:val="20"/>
              </w:rPr>
              <w:t>(U/g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11D41D3"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CAT</w:t>
            </w:r>
          </w:p>
          <w:p w14:paraId="6A731D5B" w14:textId="77777777" w:rsidR="0068740D" w:rsidRDefault="0068740D" w:rsidP="00F70C90">
            <w:pPr>
              <w:bidi/>
              <w:jc w:val="center"/>
              <w:rPr>
                <w:rFonts w:asciiTheme="minorBidi" w:hAnsiTheme="minorBidi" w:cstheme="minorBidi"/>
                <w:sz w:val="20"/>
                <w:szCs w:val="20"/>
              </w:rPr>
            </w:pPr>
            <w:r>
              <w:rPr>
                <w:rFonts w:asciiTheme="minorBidi" w:hAnsiTheme="minorBidi" w:cstheme="minorBidi"/>
                <w:sz w:val="20"/>
                <w:szCs w:val="20"/>
              </w:rPr>
              <w:t>(U/g tissue)</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D3A26DD"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GSH</w:t>
            </w:r>
          </w:p>
          <w:p w14:paraId="1AF1E153"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sz w:val="20"/>
                <w:szCs w:val="20"/>
              </w:rPr>
              <w:t>(mg/g tissue)</w:t>
            </w:r>
          </w:p>
        </w:tc>
      </w:tr>
      <w:tr w:rsidR="0068740D" w14:paraId="2C1D372A" w14:textId="77777777" w:rsidTr="00F70C90">
        <w:trPr>
          <w:jc w:val="center"/>
        </w:trPr>
        <w:tc>
          <w:tcPr>
            <w:tcW w:w="963" w:type="dxa"/>
            <w:vMerge w:val="restart"/>
            <w:tcBorders>
              <w:top w:val="single" w:sz="4" w:space="0" w:color="auto"/>
              <w:left w:val="single" w:sz="4" w:space="0" w:color="auto"/>
              <w:bottom w:val="single" w:sz="4" w:space="0" w:color="auto"/>
              <w:right w:val="single" w:sz="4" w:space="0" w:color="auto"/>
            </w:tcBorders>
            <w:hideMark/>
          </w:tcPr>
          <w:p w14:paraId="4CA6E24F" w14:textId="77777777" w:rsidR="0068740D" w:rsidRDefault="0068740D" w:rsidP="00F70C90">
            <w:pPr>
              <w:bidi/>
              <w:spacing w:before="120"/>
              <w:jc w:val="center"/>
              <w:rPr>
                <w:rFonts w:asciiTheme="minorBidi" w:eastAsia="Times New Roman" w:hAnsiTheme="minorBidi" w:cstheme="minorBidi"/>
                <w:b/>
                <w:bCs/>
                <w:sz w:val="20"/>
                <w:szCs w:val="20"/>
              </w:rPr>
            </w:pPr>
            <w:r>
              <w:rPr>
                <w:rFonts w:asciiTheme="minorBidi" w:hAnsiTheme="minorBidi" w:cstheme="minorBidi"/>
                <w:b/>
                <w:bCs/>
                <w:sz w:val="20"/>
                <w:szCs w:val="20"/>
              </w:rPr>
              <w:t>Kidney</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944D3D5" w14:textId="77777777" w:rsidR="0068740D" w:rsidRDefault="0068740D" w:rsidP="00F70C90">
            <w:pPr>
              <w:jc w:val="both"/>
              <w:rPr>
                <w:rFonts w:asciiTheme="minorBidi" w:hAnsiTheme="minorBidi" w:cstheme="minorBidi"/>
                <w:b/>
                <w:bCs/>
                <w:sz w:val="20"/>
                <w:szCs w:val="20"/>
              </w:rPr>
            </w:pPr>
            <w:r>
              <w:rPr>
                <w:rFonts w:asciiTheme="minorBidi" w:hAnsiTheme="minorBidi" w:cstheme="minorBidi"/>
                <w:b/>
                <w:bCs/>
                <w:sz w:val="20"/>
                <w:szCs w:val="20"/>
              </w:rPr>
              <w:t>Control</w:t>
            </w:r>
          </w:p>
        </w:tc>
        <w:tc>
          <w:tcPr>
            <w:tcW w:w="1941" w:type="dxa"/>
            <w:tcBorders>
              <w:top w:val="single" w:sz="4" w:space="0" w:color="auto"/>
              <w:left w:val="single" w:sz="4" w:space="0" w:color="auto"/>
              <w:bottom w:val="single" w:sz="4" w:space="0" w:color="auto"/>
              <w:right w:val="single" w:sz="4" w:space="0" w:color="auto"/>
            </w:tcBorders>
            <w:hideMark/>
          </w:tcPr>
          <w:p w14:paraId="207F51C5"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19.25</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±1.82</w:t>
            </w:r>
          </w:p>
        </w:tc>
        <w:tc>
          <w:tcPr>
            <w:tcW w:w="1461" w:type="dxa"/>
            <w:tcBorders>
              <w:top w:val="single" w:sz="4" w:space="0" w:color="auto"/>
              <w:left w:val="single" w:sz="4" w:space="0" w:color="auto"/>
              <w:bottom w:val="single" w:sz="4" w:space="0" w:color="auto"/>
              <w:right w:val="single" w:sz="4" w:space="0" w:color="auto"/>
            </w:tcBorders>
            <w:hideMark/>
          </w:tcPr>
          <w:p w14:paraId="4F70BFAB"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21.22</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±1.40</w:t>
            </w:r>
          </w:p>
        </w:tc>
        <w:tc>
          <w:tcPr>
            <w:tcW w:w="1461" w:type="dxa"/>
            <w:tcBorders>
              <w:top w:val="single" w:sz="4" w:space="0" w:color="auto"/>
              <w:left w:val="single" w:sz="4" w:space="0" w:color="auto"/>
              <w:bottom w:val="single" w:sz="4" w:space="0" w:color="auto"/>
              <w:right w:val="single" w:sz="4" w:space="0" w:color="auto"/>
            </w:tcBorders>
            <w:hideMark/>
          </w:tcPr>
          <w:p w14:paraId="3375D971"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28.51</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±1.62</w:t>
            </w:r>
          </w:p>
        </w:tc>
        <w:tc>
          <w:tcPr>
            <w:tcW w:w="1657" w:type="dxa"/>
            <w:tcBorders>
              <w:top w:val="single" w:sz="4" w:space="0" w:color="auto"/>
              <w:left w:val="single" w:sz="4" w:space="0" w:color="auto"/>
              <w:bottom w:val="single" w:sz="4" w:space="0" w:color="auto"/>
              <w:right w:val="single" w:sz="4" w:space="0" w:color="auto"/>
            </w:tcBorders>
            <w:hideMark/>
          </w:tcPr>
          <w:p w14:paraId="4B23811E"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9.15</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±0.48</w:t>
            </w:r>
          </w:p>
        </w:tc>
      </w:tr>
      <w:tr w:rsidR="0068740D" w14:paraId="7005BAE1" w14:textId="77777777" w:rsidTr="00F70C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A02DF" w14:textId="77777777" w:rsidR="0068740D" w:rsidRDefault="0068740D" w:rsidP="00F70C90">
            <w:pPr>
              <w:rPr>
                <w:rFonts w:asciiTheme="minorBidi" w:eastAsia="Times New Roman" w:hAnsiTheme="minorBidi" w:cstheme="minorBidi"/>
                <w:b/>
                <w:bCs/>
                <w:sz w:val="20"/>
                <w:szCs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01AD2332" w14:textId="77777777" w:rsidR="0068740D" w:rsidRDefault="0068740D" w:rsidP="00F70C90">
            <w:pPr>
              <w:jc w:val="both"/>
              <w:rPr>
                <w:rFonts w:asciiTheme="minorBidi" w:hAnsiTheme="minorBidi" w:cstheme="minorBidi"/>
                <w:b/>
                <w:bCs/>
                <w:sz w:val="20"/>
                <w:szCs w:val="20"/>
              </w:rPr>
            </w:pPr>
            <w:r>
              <w:rPr>
                <w:rFonts w:asciiTheme="minorBidi" w:eastAsia="SimSun" w:hAnsiTheme="minorBidi" w:cstheme="minorBidi"/>
                <w:b/>
                <w:kern w:val="2"/>
                <w:sz w:val="20"/>
                <w:szCs w:val="20"/>
                <w:lang w:eastAsia="zh-CN"/>
              </w:rPr>
              <w:t>Ethephon</w:t>
            </w:r>
          </w:p>
        </w:tc>
        <w:tc>
          <w:tcPr>
            <w:tcW w:w="1941" w:type="dxa"/>
            <w:tcBorders>
              <w:top w:val="single" w:sz="4" w:space="0" w:color="auto"/>
              <w:left w:val="single" w:sz="4" w:space="0" w:color="auto"/>
              <w:bottom w:val="single" w:sz="4" w:space="0" w:color="auto"/>
              <w:right w:val="single" w:sz="4" w:space="0" w:color="auto"/>
            </w:tcBorders>
            <w:hideMark/>
          </w:tcPr>
          <w:p w14:paraId="6A2BE424"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41.03</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±2.75</w:t>
            </w:r>
          </w:p>
        </w:tc>
        <w:tc>
          <w:tcPr>
            <w:tcW w:w="1461" w:type="dxa"/>
            <w:tcBorders>
              <w:top w:val="single" w:sz="4" w:space="0" w:color="auto"/>
              <w:left w:val="single" w:sz="4" w:space="0" w:color="auto"/>
              <w:bottom w:val="single" w:sz="4" w:space="0" w:color="auto"/>
              <w:right w:val="single" w:sz="4" w:space="0" w:color="auto"/>
            </w:tcBorders>
            <w:hideMark/>
          </w:tcPr>
          <w:p w14:paraId="30DC3503"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14.59</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±0.92</w:t>
            </w:r>
          </w:p>
        </w:tc>
        <w:tc>
          <w:tcPr>
            <w:tcW w:w="1461" w:type="dxa"/>
            <w:tcBorders>
              <w:top w:val="single" w:sz="4" w:space="0" w:color="auto"/>
              <w:left w:val="single" w:sz="4" w:space="0" w:color="auto"/>
              <w:bottom w:val="single" w:sz="4" w:space="0" w:color="auto"/>
              <w:right w:val="single" w:sz="4" w:space="0" w:color="auto"/>
            </w:tcBorders>
            <w:hideMark/>
          </w:tcPr>
          <w:p w14:paraId="0AEA8F35"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17.06</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±1.01</w:t>
            </w:r>
          </w:p>
        </w:tc>
        <w:tc>
          <w:tcPr>
            <w:tcW w:w="1657" w:type="dxa"/>
            <w:tcBorders>
              <w:top w:val="single" w:sz="4" w:space="0" w:color="auto"/>
              <w:left w:val="single" w:sz="4" w:space="0" w:color="auto"/>
              <w:bottom w:val="single" w:sz="4" w:space="0" w:color="auto"/>
              <w:right w:val="single" w:sz="4" w:space="0" w:color="auto"/>
            </w:tcBorders>
            <w:hideMark/>
          </w:tcPr>
          <w:p w14:paraId="638492EF"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4.49</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±0.71</w:t>
            </w:r>
          </w:p>
        </w:tc>
      </w:tr>
    </w:tbl>
    <w:p w14:paraId="26DF44B3" w14:textId="77777777" w:rsidR="0068740D" w:rsidRDefault="0068740D" w:rsidP="0068740D">
      <w:pPr>
        <w:jc w:val="both"/>
        <w:rPr>
          <w:rFonts w:asciiTheme="minorBidi" w:hAnsiTheme="minorBidi" w:cstheme="minorBidi"/>
        </w:rPr>
      </w:pPr>
      <w:r>
        <w:rPr>
          <w:rFonts w:asciiTheme="minorBidi" w:hAnsiTheme="minorBidi" w:cstheme="minorBidi"/>
        </w:rPr>
        <w:t>The data is presented in the form of the mean ± standard error, based on ten observations. * denotes a significant deviation from control at p &lt; 0.01</w:t>
      </w:r>
    </w:p>
    <w:p w14:paraId="5E5B3D59" w14:textId="77777777" w:rsidR="0068740D" w:rsidRDefault="0068740D" w:rsidP="000E4A72">
      <w:pPr>
        <w:spacing w:line="360" w:lineRule="auto"/>
        <w:jc w:val="both"/>
        <w:rPr>
          <w:rFonts w:asciiTheme="minorBidi" w:hAnsiTheme="minorBidi" w:cstheme="minorBidi"/>
        </w:rPr>
      </w:pPr>
    </w:p>
    <w:p w14:paraId="6D4D739E" w14:textId="77777777" w:rsidR="000E4A72" w:rsidRPr="000E4A72" w:rsidRDefault="000E4A72" w:rsidP="000E4A72">
      <w:pPr>
        <w:spacing w:line="360" w:lineRule="auto"/>
        <w:jc w:val="both"/>
        <w:rPr>
          <w:rFonts w:asciiTheme="minorBidi" w:hAnsiTheme="minorBidi" w:cstheme="minorBidi"/>
        </w:rPr>
      </w:pPr>
      <w:r w:rsidRPr="000E4A72">
        <w:rPr>
          <w:rFonts w:asciiTheme="minorBidi" w:hAnsiTheme="minorBidi" w:cstheme="minorBidi"/>
        </w:rPr>
        <w:t xml:space="preserve">These alterations indicate increased oxidative stress and reduced antioxidant capacity in renal tissues. These results are consistent with those reported by Soliman et al. (2022), who observed that gibberellic acid exposure caused oxidative stress and hepatorenal dysfunction. In addition, </w:t>
      </w:r>
      <w:proofErr w:type="spellStart"/>
      <w:r w:rsidRPr="000E4A72">
        <w:rPr>
          <w:rFonts w:asciiTheme="minorBidi" w:hAnsiTheme="minorBidi" w:cstheme="minorBidi"/>
        </w:rPr>
        <w:t>Tousson</w:t>
      </w:r>
      <w:proofErr w:type="spellEnd"/>
      <w:r w:rsidRPr="000E4A72">
        <w:rPr>
          <w:rFonts w:asciiTheme="minorBidi" w:hAnsiTheme="minorBidi" w:cstheme="minorBidi"/>
        </w:rPr>
        <w:t xml:space="preserve"> et al. (2019) also reported that the plant growth regulator Ethephon can induce renal toxicity in male rats.</w:t>
      </w:r>
    </w:p>
    <w:p w14:paraId="4F597101" w14:textId="77777777" w:rsidR="000E4A72" w:rsidRPr="000E4A72" w:rsidRDefault="000E4A72" w:rsidP="000E4A72">
      <w:pPr>
        <w:spacing w:line="360" w:lineRule="auto"/>
        <w:jc w:val="both"/>
        <w:rPr>
          <w:rFonts w:asciiTheme="minorBidi" w:hAnsiTheme="minorBidi" w:cstheme="minorBidi"/>
        </w:rPr>
      </w:pPr>
      <w:r w:rsidRPr="000E4A72">
        <w:rPr>
          <w:rFonts w:asciiTheme="minorBidi" w:hAnsiTheme="minorBidi" w:cstheme="minorBidi"/>
        </w:rPr>
        <w:t xml:space="preserve">Reproductive toxicity represents another possible adverse effect linked to exposure to plant growth regulators. Several experimental investigations have shown that high concentrations </w:t>
      </w:r>
      <w:r w:rsidRPr="000E4A72">
        <w:rPr>
          <w:rFonts w:asciiTheme="minorBidi" w:hAnsiTheme="minorBidi" w:cstheme="minorBidi"/>
        </w:rPr>
        <w:lastRenderedPageBreak/>
        <w:t>of certain PGRs may disrupt reproductive hormones and impair fertility. In the current study, the testes and heart tissues of the Ethephon-treated group exhibited a significant increase in TBARS levels along with a noticeable reduction in CAT, SOD, and GSH compared with the control group</w:t>
      </w:r>
      <w:r w:rsidR="0068740D">
        <w:rPr>
          <w:rFonts w:asciiTheme="minorBidi" w:hAnsiTheme="minorBidi" w:cstheme="minorBidi"/>
        </w:rPr>
        <w:t xml:space="preserve"> (Table 3)</w:t>
      </w:r>
      <w:r w:rsidRPr="000E4A72">
        <w:rPr>
          <w:rFonts w:asciiTheme="minorBidi" w:hAnsiTheme="minorBidi" w:cstheme="minorBidi"/>
        </w:rPr>
        <w:t>. These findings indicate enhanced oxidative stress and a decline in antioxidant defense mechanisms in testicular tissues.</w:t>
      </w:r>
    </w:p>
    <w:p w14:paraId="35510FE7" w14:textId="77777777" w:rsidR="0068740D" w:rsidRDefault="0068740D" w:rsidP="007430CA">
      <w:pPr>
        <w:spacing w:line="360" w:lineRule="auto"/>
        <w:jc w:val="both"/>
        <w:rPr>
          <w:rFonts w:asciiTheme="minorBidi" w:hAnsiTheme="minorBidi" w:cstheme="minorBidi"/>
        </w:rPr>
      </w:pPr>
    </w:p>
    <w:p w14:paraId="01DBD0E9" w14:textId="77777777" w:rsidR="0068740D" w:rsidRDefault="0068740D" w:rsidP="0068740D">
      <w:pPr>
        <w:spacing w:after="200" w:line="276" w:lineRule="auto"/>
        <w:jc w:val="both"/>
        <w:rPr>
          <w:rFonts w:asciiTheme="minorBidi" w:eastAsiaTheme="minorHAnsi" w:hAnsiTheme="minorBidi" w:cstheme="minorBidi"/>
          <w:lang w:bidi="ar-EG"/>
        </w:rPr>
      </w:pPr>
      <w:r>
        <w:rPr>
          <w:rFonts w:asciiTheme="minorBidi" w:eastAsiaTheme="minorHAnsi" w:hAnsiTheme="minorBidi" w:cstheme="minorBidi"/>
          <w:b/>
          <w:bCs/>
          <w:lang w:bidi="ar-EG"/>
        </w:rPr>
        <w:t>Table 3</w:t>
      </w:r>
      <w:r>
        <w:rPr>
          <w:rFonts w:asciiTheme="minorBidi" w:eastAsiaTheme="minorHAnsi" w:hAnsiTheme="minorBidi" w:cstheme="minorBidi"/>
          <w:lang w:bidi="ar-EG"/>
        </w:rPr>
        <w:t>: Changes antioxidant parameters (</w:t>
      </w:r>
      <w:r>
        <w:rPr>
          <w:rFonts w:asciiTheme="minorBidi" w:hAnsiTheme="minorBidi" w:cstheme="minorBidi"/>
          <w:lang w:bidi="ar-EG"/>
        </w:rPr>
        <w:t>TBARS</w:t>
      </w:r>
      <w:r>
        <w:rPr>
          <w:rFonts w:asciiTheme="minorBidi" w:eastAsiaTheme="minorHAnsi" w:hAnsiTheme="minorBidi" w:cstheme="minorBidi"/>
          <w:lang w:bidi="ar-EG"/>
        </w:rPr>
        <w:t xml:space="preserve">, SOD, CAT and GSH) levels in heart and </w:t>
      </w:r>
      <w:r>
        <w:rPr>
          <w:rFonts w:asciiTheme="minorBidi" w:hAnsiTheme="minorBidi" w:cstheme="minorBidi"/>
        </w:rPr>
        <w:t>Testes</w:t>
      </w:r>
      <w:r>
        <w:rPr>
          <w:rFonts w:asciiTheme="minorBidi" w:eastAsiaTheme="minorHAnsi" w:hAnsiTheme="minorBidi" w:cstheme="minorBidi"/>
          <w:lang w:bidi="ar-EG"/>
        </w:rPr>
        <w:t xml:space="preserve"> tissues in control and </w:t>
      </w:r>
      <w:r>
        <w:rPr>
          <w:rFonts w:asciiTheme="minorBidi" w:eastAsia="SimSun" w:hAnsiTheme="minorBidi" w:cstheme="minorBidi"/>
          <w:bCs/>
          <w:kern w:val="2"/>
          <w:lang w:eastAsia="zh-CN"/>
        </w:rPr>
        <w:t>Ethephon</w:t>
      </w:r>
      <w:r>
        <w:rPr>
          <w:rFonts w:asciiTheme="minorBidi" w:eastAsiaTheme="minorHAnsi" w:hAnsiTheme="minorBidi" w:cstheme="minorBidi"/>
          <w:lang w:bidi="ar-EG"/>
        </w:rPr>
        <w:t xml:space="preserve"> group.</w:t>
      </w:r>
    </w:p>
    <w:tbl>
      <w:tblPr>
        <w:tblStyle w:val="TableGrid"/>
        <w:tblW w:w="8755" w:type="dxa"/>
        <w:jc w:val="center"/>
        <w:tblLook w:val="04A0" w:firstRow="1" w:lastRow="0" w:firstColumn="1" w:lastColumn="0" w:noHBand="0" w:noVBand="1"/>
      </w:tblPr>
      <w:tblGrid>
        <w:gridCol w:w="963"/>
        <w:gridCol w:w="1272"/>
        <w:gridCol w:w="1941"/>
        <w:gridCol w:w="1461"/>
        <w:gridCol w:w="1461"/>
        <w:gridCol w:w="1657"/>
      </w:tblGrid>
      <w:tr w:rsidR="002F3B3E" w14:paraId="169FA6FE" w14:textId="77777777" w:rsidTr="00F70C90">
        <w:trPr>
          <w:jc w:val="center"/>
        </w:trPr>
        <w:tc>
          <w:tcPr>
            <w:tcW w:w="963" w:type="dxa"/>
            <w:tcBorders>
              <w:top w:val="single" w:sz="4" w:space="0" w:color="auto"/>
              <w:left w:val="single" w:sz="4" w:space="0" w:color="auto"/>
              <w:bottom w:val="single" w:sz="4" w:space="0" w:color="auto"/>
              <w:right w:val="single" w:sz="4" w:space="0" w:color="auto"/>
            </w:tcBorders>
          </w:tcPr>
          <w:p w14:paraId="68EA32C3" w14:textId="77777777" w:rsidR="002F3B3E" w:rsidRDefault="002F3B3E" w:rsidP="00F70C90">
            <w:pPr>
              <w:bidi/>
              <w:rPr>
                <w:rFonts w:asciiTheme="minorBidi" w:eastAsia="Times New Roman" w:hAnsiTheme="minorBidi" w:cstheme="minorBidi"/>
                <w:sz w:val="20"/>
                <w:szCs w:val="20"/>
              </w:rPr>
            </w:pPr>
          </w:p>
        </w:tc>
        <w:tc>
          <w:tcPr>
            <w:tcW w:w="1272" w:type="dxa"/>
            <w:tcBorders>
              <w:top w:val="single" w:sz="4" w:space="0" w:color="auto"/>
              <w:left w:val="single" w:sz="4" w:space="0" w:color="auto"/>
              <w:bottom w:val="single" w:sz="4" w:space="0" w:color="auto"/>
              <w:right w:val="single" w:sz="4" w:space="0" w:color="auto"/>
            </w:tcBorders>
          </w:tcPr>
          <w:p w14:paraId="7BAA64EA" w14:textId="77777777" w:rsidR="002F3B3E" w:rsidRDefault="002F3B3E" w:rsidP="00F70C90">
            <w:pPr>
              <w:bidi/>
              <w:rPr>
                <w:rFonts w:asciiTheme="minorBidi" w:eastAsia="Times New Roman" w:hAnsiTheme="minorBidi" w:cstheme="minorBidi"/>
                <w:sz w:val="20"/>
                <w:szCs w:val="20"/>
              </w:rPr>
            </w:pPr>
          </w:p>
        </w:tc>
        <w:tc>
          <w:tcPr>
            <w:tcW w:w="1941" w:type="dxa"/>
            <w:tcBorders>
              <w:top w:val="single" w:sz="4" w:space="0" w:color="auto"/>
              <w:left w:val="single" w:sz="4" w:space="0" w:color="auto"/>
              <w:bottom w:val="single" w:sz="4" w:space="0" w:color="auto"/>
              <w:right w:val="single" w:sz="4" w:space="0" w:color="auto"/>
            </w:tcBorders>
            <w:vAlign w:val="center"/>
            <w:hideMark/>
          </w:tcPr>
          <w:p w14:paraId="52EE6270" w14:textId="77777777" w:rsidR="002F3B3E" w:rsidRDefault="002F3B3E" w:rsidP="00F70C90">
            <w:pPr>
              <w:bidi/>
              <w:jc w:val="center"/>
              <w:rPr>
                <w:rFonts w:asciiTheme="minorBidi" w:hAnsiTheme="minorBidi" w:cstheme="minorBidi"/>
                <w:sz w:val="20"/>
                <w:szCs w:val="20"/>
                <w:lang w:bidi="ar-EG"/>
              </w:rPr>
            </w:pPr>
            <w:r>
              <w:rPr>
                <w:rFonts w:asciiTheme="minorBidi" w:hAnsiTheme="minorBidi" w:cstheme="minorBidi"/>
                <w:b/>
                <w:bCs/>
                <w:sz w:val="20"/>
                <w:szCs w:val="20"/>
                <w:lang w:bidi="ar-EG"/>
              </w:rPr>
              <w:t xml:space="preserve">TBARS </w:t>
            </w:r>
            <w:r>
              <w:rPr>
                <w:rFonts w:asciiTheme="minorBidi" w:hAnsiTheme="minorBidi" w:cstheme="minorBidi"/>
                <w:sz w:val="20"/>
                <w:szCs w:val="20"/>
                <w:lang w:bidi="ar-EG"/>
              </w:rPr>
              <w:t>(</w:t>
            </w:r>
            <w:proofErr w:type="spellStart"/>
            <w:r>
              <w:rPr>
                <w:rFonts w:asciiTheme="minorBidi" w:hAnsiTheme="minorBidi" w:cstheme="minorBidi"/>
                <w:sz w:val="20"/>
                <w:szCs w:val="20"/>
                <w:lang w:bidi="ar-EG"/>
              </w:rPr>
              <w:t>nmole</w:t>
            </w:r>
            <w:proofErr w:type="spellEnd"/>
            <w:r>
              <w:rPr>
                <w:rFonts w:asciiTheme="minorBidi" w:hAnsiTheme="minorBidi" w:cstheme="minorBidi"/>
                <w:sz w:val="20"/>
                <w:szCs w:val="20"/>
                <w:lang w:bidi="ar-EG"/>
              </w:rPr>
              <w:t>/g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E433F3A" w14:textId="77777777" w:rsidR="002F3B3E" w:rsidRDefault="002F3B3E" w:rsidP="00F70C90">
            <w:pPr>
              <w:jc w:val="center"/>
              <w:rPr>
                <w:rFonts w:asciiTheme="minorBidi" w:hAnsiTheme="minorBidi" w:cstheme="minorBidi"/>
                <w:b/>
                <w:bCs/>
                <w:sz w:val="20"/>
                <w:szCs w:val="20"/>
                <w:lang w:bidi="ar-EG"/>
              </w:rPr>
            </w:pPr>
            <w:r>
              <w:rPr>
                <w:rFonts w:asciiTheme="minorBidi" w:hAnsiTheme="minorBidi" w:cstheme="minorBidi"/>
                <w:b/>
                <w:bCs/>
                <w:sz w:val="20"/>
                <w:szCs w:val="20"/>
              </w:rPr>
              <w:t>SOD</w:t>
            </w:r>
          </w:p>
          <w:p w14:paraId="14DD5410" w14:textId="77777777" w:rsidR="002F3B3E" w:rsidRDefault="002F3B3E" w:rsidP="00F70C90">
            <w:pPr>
              <w:bidi/>
              <w:jc w:val="center"/>
              <w:rPr>
                <w:rFonts w:asciiTheme="minorBidi" w:hAnsiTheme="minorBidi" w:cstheme="minorBidi"/>
                <w:sz w:val="20"/>
                <w:szCs w:val="20"/>
                <w:lang w:bidi="ar-EG"/>
              </w:rPr>
            </w:pPr>
            <w:r>
              <w:rPr>
                <w:rFonts w:asciiTheme="minorBidi" w:hAnsiTheme="minorBidi" w:cstheme="minorBidi"/>
                <w:sz w:val="20"/>
                <w:szCs w:val="20"/>
              </w:rPr>
              <w:t>(U/g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9EEA1F0" w14:textId="77777777" w:rsidR="002F3B3E" w:rsidRDefault="002F3B3E"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CAT</w:t>
            </w:r>
          </w:p>
          <w:p w14:paraId="22C7298A" w14:textId="77777777" w:rsidR="002F3B3E" w:rsidRDefault="002F3B3E" w:rsidP="00F70C90">
            <w:pPr>
              <w:bidi/>
              <w:jc w:val="center"/>
              <w:rPr>
                <w:rFonts w:asciiTheme="minorBidi" w:hAnsiTheme="minorBidi" w:cstheme="minorBidi"/>
                <w:sz w:val="20"/>
                <w:szCs w:val="20"/>
              </w:rPr>
            </w:pPr>
            <w:r>
              <w:rPr>
                <w:rFonts w:asciiTheme="minorBidi" w:hAnsiTheme="minorBidi" w:cstheme="minorBidi"/>
                <w:sz w:val="20"/>
                <w:szCs w:val="20"/>
              </w:rPr>
              <w:t>(U/g tissue)</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D915332" w14:textId="77777777" w:rsidR="002F3B3E" w:rsidRDefault="002F3B3E"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GSH</w:t>
            </w:r>
          </w:p>
          <w:p w14:paraId="5B318A9E" w14:textId="77777777" w:rsidR="002F3B3E" w:rsidRDefault="002F3B3E" w:rsidP="00F70C90">
            <w:pPr>
              <w:bidi/>
              <w:jc w:val="center"/>
              <w:rPr>
                <w:rFonts w:asciiTheme="minorBidi" w:hAnsiTheme="minorBidi" w:cstheme="minorBidi"/>
                <w:sz w:val="20"/>
                <w:szCs w:val="20"/>
                <w:lang w:bidi="ar-EG"/>
              </w:rPr>
            </w:pPr>
            <w:r>
              <w:rPr>
                <w:rFonts w:asciiTheme="minorBidi" w:hAnsiTheme="minorBidi" w:cstheme="minorBidi"/>
                <w:sz w:val="20"/>
                <w:szCs w:val="20"/>
              </w:rPr>
              <w:t>(mg/g tissue)</w:t>
            </w:r>
          </w:p>
        </w:tc>
      </w:tr>
      <w:tr w:rsidR="002F3B3E" w14:paraId="505D9B26" w14:textId="77777777" w:rsidTr="00F70C90">
        <w:trPr>
          <w:jc w:val="center"/>
        </w:trPr>
        <w:tc>
          <w:tcPr>
            <w:tcW w:w="963" w:type="dxa"/>
            <w:vMerge w:val="restart"/>
            <w:tcBorders>
              <w:top w:val="single" w:sz="4" w:space="0" w:color="auto"/>
              <w:left w:val="single" w:sz="4" w:space="0" w:color="auto"/>
              <w:bottom w:val="single" w:sz="4" w:space="0" w:color="auto"/>
              <w:right w:val="single" w:sz="4" w:space="0" w:color="auto"/>
            </w:tcBorders>
            <w:hideMark/>
          </w:tcPr>
          <w:p w14:paraId="05D61EB7" w14:textId="77777777" w:rsidR="002F3B3E" w:rsidRDefault="002F3B3E" w:rsidP="00F70C90">
            <w:pPr>
              <w:bidi/>
              <w:spacing w:before="120"/>
              <w:jc w:val="center"/>
              <w:rPr>
                <w:rFonts w:asciiTheme="minorBidi" w:eastAsia="Times New Roman" w:hAnsiTheme="minorBidi" w:cstheme="minorBidi"/>
                <w:b/>
                <w:bCs/>
                <w:sz w:val="20"/>
                <w:szCs w:val="20"/>
              </w:rPr>
            </w:pPr>
            <w:r>
              <w:rPr>
                <w:rFonts w:asciiTheme="minorBidi" w:hAnsiTheme="minorBidi" w:cstheme="minorBidi"/>
                <w:b/>
                <w:bCs/>
                <w:sz w:val="20"/>
                <w:szCs w:val="20"/>
              </w:rPr>
              <w:t>Heart</w:t>
            </w:r>
          </w:p>
        </w:tc>
        <w:tc>
          <w:tcPr>
            <w:tcW w:w="1272" w:type="dxa"/>
            <w:tcBorders>
              <w:top w:val="single" w:sz="4" w:space="0" w:color="auto"/>
              <w:left w:val="single" w:sz="4" w:space="0" w:color="auto"/>
              <w:bottom w:val="single" w:sz="4" w:space="0" w:color="auto"/>
              <w:right w:val="single" w:sz="4" w:space="0" w:color="auto"/>
            </w:tcBorders>
            <w:vAlign w:val="center"/>
            <w:hideMark/>
          </w:tcPr>
          <w:p w14:paraId="02650E0D" w14:textId="77777777" w:rsidR="002F3B3E" w:rsidRDefault="002F3B3E" w:rsidP="00F70C90">
            <w:pPr>
              <w:jc w:val="both"/>
              <w:rPr>
                <w:rFonts w:asciiTheme="minorBidi" w:hAnsiTheme="minorBidi" w:cstheme="minorBidi"/>
                <w:b/>
                <w:bCs/>
                <w:sz w:val="20"/>
                <w:szCs w:val="20"/>
              </w:rPr>
            </w:pPr>
            <w:r>
              <w:rPr>
                <w:rFonts w:asciiTheme="minorBidi" w:hAnsiTheme="minorBidi" w:cstheme="minorBidi"/>
                <w:b/>
                <w:bCs/>
                <w:sz w:val="20"/>
                <w:szCs w:val="20"/>
              </w:rPr>
              <w:t>Control</w:t>
            </w:r>
          </w:p>
        </w:tc>
        <w:tc>
          <w:tcPr>
            <w:tcW w:w="1941" w:type="dxa"/>
            <w:tcBorders>
              <w:top w:val="single" w:sz="4" w:space="0" w:color="auto"/>
              <w:left w:val="single" w:sz="4" w:space="0" w:color="auto"/>
              <w:bottom w:val="single" w:sz="4" w:space="0" w:color="auto"/>
              <w:right w:val="single" w:sz="4" w:space="0" w:color="auto"/>
            </w:tcBorders>
            <w:hideMark/>
          </w:tcPr>
          <w:p w14:paraId="79D8CBB5"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 xml:space="preserve">48.60 </w:t>
            </w:r>
            <w:r>
              <w:rPr>
                <w:rFonts w:asciiTheme="minorBidi" w:hAnsiTheme="minorBidi" w:cstheme="minorBidi"/>
                <w:sz w:val="20"/>
                <w:szCs w:val="20"/>
                <w:lang w:eastAsia="ar-SA"/>
              </w:rPr>
              <w:sym w:font="Symbol" w:char="F0B1"/>
            </w:r>
            <w:r>
              <w:rPr>
                <w:rFonts w:asciiTheme="minorBidi" w:hAnsiTheme="minorBidi" w:cstheme="minorBidi"/>
                <w:sz w:val="20"/>
                <w:szCs w:val="20"/>
              </w:rPr>
              <w:t>2.38</w:t>
            </w:r>
          </w:p>
        </w:tc>
        <w:tc>
          <w:tcPr>
            <w:tcW w:w="1461" w:type="dxa"/>
            <w:tcBorders>
              <w:top w:val="single" w:sz="4" w:space="0" w:color="auto"/>
              <w:left w:val="single" w:sz="4" w:space="0" w:color="auto"/>
              <w:bottom w:val="single" w:sz="4" w:space="0" w:color="auto"/>
              <w:right w:val="single" w:sz="4" w:space="0" w:color="auto"/>
            </w:tcBorders>
            <w:hideMark/>
          </w:tcPr>
          <w:p w14:paraId="0D0BC76F"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21.45</w:t>
            </w:r>
            <w:r>
              <w:rPr>
                <w:rFonts w:asciiTheme="minorBidi" w:hAnsiTheme="minorBidi" w:cstheme="minorBidi"/>
                <w:sz w:val="20"/>
                <w:szCs w:val="20"/>
                <w:lang w:eastAsia="ar-SA"/>
              </w:rPr>
              <w:sym w:font="Symbol" w:char="F0B1"/>
            </w:r>
            <w:r>
              <w:rPr>
                <w:rFonts w:asciiTheme="minorBidi" w:hAnsiTheme="minorBidi" w:cstheme="minorBidi"/>
                <w:sz w:val="20"/>
                <w:szCs w:val="20"/>
              </w:rPr>
              <w:t>1.58</w:t>
            </w:r>
          </w:p>
        </w:tc>
        <w:tc>
          <w:tcPr>
            <w:tcW w:w="1461" w:type="dxa"/>
            <w:tcBorders>
              <w:top w:val="single" w:sz="4" w:space="0" w:color="auto"/>
              <w:left w:val="single" w:sz="4" w:space="0" w:color="auto"/>
              <w:bottom w:val="single" w:sz="4" w:space="0" w:color="auto"/>
              <w:right w:val="single" w:sz="4" w:space="0" w:color="auto"/>
            </w:tcBorders>
            <w:hideMark/>
          </w:tcPr>
          <w:p w14:paraId="17EEAE4A"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lang w:bidi="ar-EG"/>
              </w:rPr>
              <w:t>11.31±0.79</w:t>
            </w:r>
          </w:p>
        </w:tc>
        <w:tc>
          <w:tcPr>
            <w:tcW w:w="1657" w:type="dxa"/>
            <w:tcBorders>
              <w:top w:val="single" w:sz="4" w:space="0" w:color="auto"/>
              <w:left w:val="single" w:sz="4" w:space="0" w:color="auto"/>
              <w:bottom w:val="single" w:sz="4" w:space="0" w:color="auto"/>
              <w:right w:val="single" w:sz="4" w:space="0" w:color="auto"/>
            </w:tcBorders>
            <w:hideMark/>
          </w:tcPr>
          <w:p w14:paraId="3AA112DE"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lang w:bidi="ar-EG"/>
              </w:rPr>
              <w:t>23.32±1.15</w:t>
            </w:r>
          </w:p>
        </w:tc>
      </w:tr>
      <w:tr w:rsidR="002F3B3E" w14:paraId="6B37566C" w14:textId="77777777" w:rsidTr="00F70C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EC1A" w14:textId="77777777" w:rsidR="002F3B3E" w:rsidRDefault="002F3B3E" w:rsidP="00F70C90">
            <w:pPr>
              <w:rPr>
                <w:rFonts w:asciiTheme="minorBidi" w:eastAsia="Times New Roman" w:hAnsiTheme="minorBidi" w:cstheme="minorBidi"/>
                <w:b/>
                <w:bCs/>
                <w:sz w:val="20"/>
                <w:szCs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0E0F7F7C" w14:textId="77777777" w:rsidR="002F3B3E" w:rsidRDefault="002F3B3E" w:rsidP="00F70C90">
            <w:pPr>
              <w:jc w:val="both"/>
              <w:rPr>
                <w:rFonts w:asciiTheme="minorBidi" w:hAnsiTheme="minorBidi" w:cstheme="minorBidi"/>
                <w:b/>
                <w:bCs/>
                <w:sz w:val="20"/>
                <w:szCs w:val="20"/>
              </w:rPr>
            </w:pPr>
            <w:r>
              <w:rPr>
                <w:rFonts w:asciiTheme="minorBidi" w:eastAsia="SimSun" w:hAnsiTheme="minorBidi" w:cstheme="minorBidi"/>
                <w:b/>
                <w:kern w:val="2"/>
                <w:sz w:val="20"/>
                <w:szCs w:val="20"/>
                <w:lang w:eastAsia="zh-CN"/>
              </w:rPr>
              <w:t>Ethephon</w:t>
            </w:r>
          </w:p>
        </w:tc>
        <w:tc>
          <w:tcPr>
            <w:tcW w:w="1941" w:type="dxa"/>
            <w:tcBorders>
              <w:top w:val="single" w:sz="4" w:space="0" w:color="auto"/>
              <w:left w:val="single" w:sz="4" w:space="0" w:color="auto"/>
              <w:bottom w:val="single" w:sz="4" w:space="0" w:color="auto"/>
              <w:right w:val="single" w:sz="4" w:space="0" w:color="auto"/>
            </w:tcBorders>
            <w:hideMark/>
          </w:tcPr>
          <w:p w14:paraId="039A69F4"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71.55</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±5.61</w:t>
            </w:r>
          </w:p>
        </w:tc>
        <w:tc>
          <w:tcPr>
            <w:tcW w:w="1461" w:type="dxa"/>
            <w:tcBorders>
              <w:top w:val="single" w:sz="4" w:space="0" w:color="auto"/>
              <w:left w:val="single" w:sz="4" w:space="0" w:color="auto"/>
              <w:bottom w:val="single" w:sz="4" w:space="0" w:color="auto"/>
              <w:right w:val="single" w:sz="4" w:space="0" w:color="auto"/>
            </w:tcBorders>
            <w:hideMark/>
          </w:tcPr>
          <w:p w14:paraId="55DF6811"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13.17</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±0.80</w:t>
            </w:r>
          </w:p>
        </w:tc>
        <w:tc>
          <w:tcPr>
            <w:tcW w:w="1461" w:type="dxa"/>
            <w:tcBorders>
              <w:top w:val="single" w:sz="4" w:space="0" w:color="auto"/>
              <w:left w:val="single" w:sz="4" w:space="0" w:color="auto"/>
              <w:bottom w:val="single" w:sz="4" w:space="0" w:color="auto"/>
              <w:right w:val="single" w:sz="4" w:space="0" w:color="auto"/>
            </w:tcBorders>
            <w:hideMark/>
          </w:tcPr>
          <w:p w14:paraId="76A83761"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7.28</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±0.43</w:t>
            </w:r>
          </w:p>
        </w:tc>
        <w:tc>
          <w:tcPr>
            <w:tcW w:w="1657" w:type="dxa"/>
            <w:tcBorders>
              <w:top w:val="single" w:sz="4" w:space="0" w:color="auto"/>
              <w:left w:val="single" w:sz="4" w:space="0" w:color="auto"/>
              <w:bottom w:val="single" w:sz="4" w:space="0" w:color="auto"/>
              <w:right w:val="single" w:sz="4" w:space="0" w:color="auto"/>
            </w:tcBorders>
            <w:hideMark/>
          </w:tcPr>
          <w:p w14:paraId="2E6170F6"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9.45</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±0.66</w:t>
            </w:r>
          </w:p>
        </w:tc>
      </w:tr>
      <w:tr w:rsidR="002F3B3E" w14:paraId="3F8896F0" w14:textId="77777777" w:rsidTr="00F70C90">
        <w:trPr>
          <w:jc w:val="center"/>
        </w:trPr>
        <w:tc>
          <w:tcPr>
            <w:tcW w:w="963" w:type="dxa"/>
            <w:vMerge w:val="restart"/>
            <w:tcBorders>
              <w:top w:val="single" w:sz="4" w:space="0" w:color="auto"/>
              <w:left w:val="single" w:sz="4" w:space="0" w:color="auto"/>
              <w:bottom w:val="single" w:sz="4" w:space="0" w:color="auto"/>
              <w:right w:val="single" w:sz="4" w:space="0" w:color="auto"/>
            </w:tcBorders>
            <w:hideMark/>
          </w:tcPr>
          <w:p w14:paraId="44FB4AE5" w14:textId="77777777" w:rsidR="002F3B3E" w:rsidRDefault="002F3B3E" w:rsidP="00F70C90">
            <w:pPr>
              <w:bidi/>
              <w:spacing w:before="120"/>
              <w:jc w:val="center"/>
              <w:rPr>
                <w:rFonts w:asciiTheme="minorBidi" w:eastAsia="Times New Roman" w:hAnsiTheme="minorBidi" w:cstheme="minorBidi"/>
                <w:b/>
                <w:bCs/>
                <w:sz w:val="20"/>
                <w:szCs w:val="20"/>
              </w:rPr>
            </w:pPr>
            <w:r>
              <w:rPr>
                <w:rFonts w:asciiTheme="minorBidi" w:hAnsiTheme="minorBidi" w:cstheme="minorBidi"/>
                <w:b/>
                <w:bCs/>
                <w:sz w:val="20"/>
                <w:szCs w:val="20"/>
              </w:rPr>
              <w:t>Testes</w:t>
            </w:r>
          </w:p>
        </w:tc>
        <w:tc>
          <w:tcPr>
            <w:tcW w:w="1272" w:type="dxa"/>
            <w:tcBorders>
              <w:top w:val="single" w:sz="4" w:space="0" w:color="auto"/>
              <w:left w:val="single" w:sz="4" w:space="0" w:color="auto"/>
              <w:bottom w:val="single" w:sz="4" w:space="0" w:color="auto"/>
              <w:right w:val="single" w:sz="4" w:space="0" w:color="auto"/>
            </w:tcBorders>
            <w:vAlign w:val="center"/>
            <w:hideMark/>
          </w:tcPr>
          <w:p w14:paraId="77750F20" w14:textId="77777777" w:rsidR="002F3B3E" w:rsidRDefault="002F3B3E" w:rsidP="00F70C90">
            <w:pPr>
              <w:jc w:val="both"/>
              <w:rPr>
                <w:rFonts w:asciiTheme="minorBidi" w:hAnsiTheme="minorBidi" w:cstheme="minorBidi"/>
                <w:b/>
                <w:bCs/>
                <w:sz w:val="20"/>
                <w:szCs w:val="20"/>
              </w:rPr>
            </w:pPr>
            <w:r>
              <w:rPr>
                <w:rFonts w:asciiTheme="minorBidi" w:hAnsiTheme="minorBidi" w:cstheme="minorBidi"/>
                <w:b/>
                <w:bCs/>
                <w:sz w:val="20"/>
                <w:szCs w:val="20"/>
              </w:rPr>
              <w:t>Control</w:t>
            </w:r>
          </w:p>
        </w:tc>
        <w:tc>
          <w:tcPr>
            <w:tcW w:w="1941" w:type="dxa"/>
            <w:tcBorders>
              <w:top w:val="single" w:sz="4" w:space="0" w:color="auto"/>
              <w:left w:val="single" w:sz="4" w:space="0" w:color="auto"/>
              <w:bottom w:val="single" w:sz="4" w:space="0" w:color="auto"/>
              <w:right w:val="single" w:sz="4" w:space="0" w:color="auto"/>
            </w:tcBorders>
            <w:hideMark/>
          </w:tcPr>
          <w:p w14:paraId="60D239F5"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20.37±1.1</w:t>
            </w:r>
            <w:r>
              <w:rPr>
                <w:rFonts w:asciiTheme="minorBidi" w:hAnsiTheme="minorBidi" w:cstheme="minorBidi" w:hint="cs"/>
                <w:sz w:val="20"/>
                <w:szCs w:val="20"/>
                <w:rtl/>
              </w:rPr>
              <w:t>9</w:t>
            </w:r>
          </w:p>
        </w:tc>
        <w:tc>
          <w:tcPr>
            <w:tcW w:w="1461" w:type="dxa"/>
            <w:tcBorders>
              <w:top w:val="single" w:sz="4" w:space="0" w:color="auto"/>
              <w:left w:val="single" w:sz="4" w:space="0" w:color="auto"/>
              <w:bottom w:val="single" w:sz="4" w:space="0" w:color="auto"/>
              <w:right w:val="single" w:sz="4" w:space="0" w:color="auto"/>
            </w:tcBorders>
            <w:hideMark/>
          </w:tcPr>
          <w:p w14:paraId="7C06453D"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41.8±2.45</w:t>
            </w:r>
          </w:p>
        </w:tc>
        <w:tc>
          <w:tcPr>
            <w:tcW w:w="1461" w:type="dxa"/>
            <w:tcBorders>
              <w:top w:val="single" w:sz="4" w:space="0" w:color="auto"/>
              <w:left w:val="single" w:sz="4" w:space="0" w:color="auto"/>
              <w:bottom w:val="single" w:sz="4" w:space="0" w:color="auto"/>
              <w:right w:val="single" w:sz="4" w:space="0" w:color="auto"/>
            </w:tcBorders>
            <w:hideMark/>
          </w:tcPr>
          <w:p w14:paraId="179B422E"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27.49</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±1.51</w:t>
            </w:r>
          </w:p>
        </w:tc>
        <w:tc>
          <w:tcPr>
            <w:tcW w:w="1657" w:type="dxa"/>
            <w:tcBorders>
              <w:top w:val="single" w:sz="4" w:space="0" w:color="auto"/>
              <w:left w:val="single" w:sz="4" w:space="0" w:color="auto"/>
              <w:bottom w:val="single" w:sz="4" w:space="0" w:color="auto"/>
              <w:right w:val="single" w:sz="4" w:space="0" w:color="auto"/>
            </w:tcBorders>
            <w:hideMark/>
          </w:tcPr>
          <w:p w14:paraId="3A468C7E"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9.57±0.81</w:t>
            </w:r>
          </w:p>
        </w:tc>
      </w:tr>
      <w:tr w:rsidR="002F3B3E" w14:paraId="636DCFC2" w14:textId="77777777" w:rsidTr="00F70C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354DE" w14:textId="77777777" w:rsidR="002F3B3E" w:rsidRDefault="002F3B3E" w:rsidP="00F70C90">
            <w:pPr>
              <w:rPr>
                <w:rFonts w:asciiTheme="minorBidi" w:eastAsia="Times New Roman" w:hAnsiTheme="minorBidi" w:cstheme="minorBidi"/>
                <w:b/>
                <w:bCs/>
                <w:sz w:val="20"/>
                <w:szCs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5EABC720" w14:textId="77777777" w:rsidR="002F3B3E" w:rsidRDefault="002F3B3E" w:rsidP="00F70C90">
            <w:pPr>
              <w:jc w:val="both"/>
              <w:rPr>
                <w:rFonts w:asciiTheme="minorBidi" w:hAnsiTheme="minorBidi" w:cstheme="minorBidi"/>
                <w:b/>
                <w:bCs/>
                <w:sz w:val="20"/>
                <w:szCs w:val="20"/>
              </w:rPr>
            </w:pPr>
            <w:r>
              <w:rPr>
                <w:rFonts w:asciiTheme="minorBidi" w:eastAsia="SimSun" w:hAnsiTheme="minorBidi" w:cstheme="minorBidi"/>
                <w:b/>
                <w:kern w:val="2"/>
                <w:sz w:val="20"/>
                <w:szCs w:val="20"/>
                <w:lang w:eastAsia="zh-CN"/>
              </w:rPr>
              <w:t>Ethephon</w:t>
            </w:r>
          </w:p>
        </w:tc>
        <w:tc>
          <w:tcPr>
            <w:tcW w:w="1941" w:type="dxa"/>
            <w:tcBorders>
              <w:top w:val="single" w:sz="4" w:space="0" w:color="auto"/>
              <w:left w:val="single" w:sz="4" w:space="0" w:color="auto"/>
              <w:bottom w:val="single" w:sz="4" w:space="0" w:color="auto"/>
              <w:right w:val="single" w:sz="4" w:space="0" w:color="auto"/>
            </w:tcBorders>
            <w:hideMark/>
          </w:tcPr>
          <w:p w14:paraId="7F0307D7"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53.20</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±3.44</w:t>
            </w:r>
          </w:p>
        </w:tc>
        <w:tc>
          <w:tcPr>
            <w:tcW w:w="1461" w:type="dxa"/>
            <w:tcBorders>
              <w:top w:val="single" w:sz="4" w:space="0" w:color="auto"/>
              <w:left w:val="single" w:sz="4" w:space="0" w:color="auto"/>
              <w:bottom w:val="single" w:sz="4" w:space="0" w:color="auto"/>
              <w:right w:val="single" w:sz="4" w:space="0" w:color="auto"/>
            </w:tcBorders>
            <w:hideMark/>
          </w:tcPr>
          <w:p w14:paraId="3250AE8E"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17.86</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±0.90</w:t>
            </w:r>
          </w:p>
        </w:tc>
        <w:tc>
          <w:tcPr>
            <w:tcW w:w="1461" w:type="dxa"/>
            <w:tcBorders>
              <w:top w:val="single" w:sz="4" w:space="0" w:color="auto"/>
              <w:left w:val="single" w:sz="4" w:space="0" w:color="auto"/>
              <w:bottom w:val="single" w:sz="4" w:space="0" w:color="auto"/>
              <w:right w:val="single" w:sz="4" w:space="0" w:color="auto"/>
            </w:tcBorders>
            <w:hideMark/>
          </w:tcPr>
          <w:p w14:paraId="5C454358"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14.57</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±1.23</w:t>
            </w:r>
          </w:p>
        </w:tc>
        <w:tc>
          <w:tcPr>
            <w:tcW w:w="1657" w:type="dxa"/>
            <w:tcBorders>
              <w:top w:val="single" w:sz="4" w:space="0" w:color="auto"/>
              <w:left w:val="single" w:sz="4" w:space="0" w:color="auto"/>
              <w:bottom w:val="single" w:sz="4" w:space="0" w:color="auto"/>
              <w:right w:val="single" w:sz="4" w:space="0" w:color="auto"/>
            </w:tcBorders>
            <w:hideMark/>
          </w:tcPr>
          <w:p w14:paraId="683564ED"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5.01</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±0.38</w:t>
            </w:r>
          </w:p>
        </w:tc>
      </w:tr>
    </w:tbl>
    <w:p w14:paraId="06C82264" w14:textId="77777777" w:rsidR="0068740D" w:rsidRDefault="0068740D" w:rsidP="002F3B3E">
      <w:pPr>
        <w:jc w:val="both"/>
        <w:rPr>
          <w:rFonts w:asciiTheme="minorBidi" w:hAnsiTheme="minorBidi" w:cstheme="minorBidi"/>
        </w:rPr>
      </w:pPr>
      <w:r>
        <w:rPr>
          <w:rFonts w:asciiTheme="minorBidi" w:hAnsiTheme="minorBidi" w:cstheme="minorBidi"/>
        </w:rPr>
        <w:t>The data is presented in the form of the mean ± standard error, based on ten observations. * denotes a significant deviation from control at p &lt; 0.01</w:t>
      </w:r>
    </w:p>
    <w:p w14:paraId="46DC12CC" w14:textId="77777777" w:rsidR="0068740D" w:rsidRDefault="0068740D" w:rsidP="007430CA">
      <w:pPr>
        <w:spacing w:line="360" w:lineRule="auto"/>
        <w:jc w:val="both"/>
        <w:rPr>
          <w:rFonts w:asciiTheme="minorBidi" w:hAnsiTheme="minorBidi" w:cstheme="minorBidi"/>
        </w:rPr>
      </w:pPr>
    </w:p>
    <w:p w14:paraId="03C9E5FE" w14:textId="77777777" w:rsidR="000E4A72" w:rsidRPr="000E4A72" w:rsidRDefault="000E4A72" w:rsidP="007430CA">
      <w:pPr>
        <w:spacing w:line="360" w:lineRule="auto"/>
        <w:jc w:val="both"/>
        <w:rPr>
          <w:rFonts w:asciiTheme="minorBidi" w:hAnsiTheme="minorBidi" w:cstheme="minorBidi"/>
        </w:rPr>
      </w:pPr>
      <w:r w:rsidRPr="000E4A72">
        <w:rPr>
          <w:rFonts w:asciiTheme="minorBidi" w:hAnsiTheme="minorBidi" w:cstheme="minorBidi"/>
        </w:rPr>
        <w:t xml:space="preserve">These observations are consistent with the findings of Wang and Hao (2023), who reported that plant growth regulators can induce toxicity and oxidative stress in both humans and animals. Likewise, </w:t>
      </w:r>
      <w:proofErr w:type="spellStart"/>
      <w:r w:rsidRPr="000E4A72">
        <w:rPr>
          <w:rFonts w:asciiTheme="minorBidi" w:hAnsiTheme="minorBidi" w:cstheme="minorBidi"/>
        </w:rPr>
        <w:t>Valko</w:t>
      </w:r>
      <w:proofErr w:type="spellEnd"/>
      <w:r w:rsidRPr="000E4A72">
        <w:rPr>
          <w:rFonts w:asciiTheme="minorBidi" w:hAnsiTheme="minorBidi" w:cstheme="minorBidi"/>
        </w:rPr>
        <w:t xml:space="preserve"> et al. (2007) demonstrated that </w:t>
      </w:r>
      <w:proofErr w:type="spellStart"/>
      <w:r w:rsidRPr="000E4A72">
        <w:rPr>
          <w:rFonts w:asciiTheme="minorBidi" w:hAnsiTheme="minorBidi" w:cstheme="minorBidi"/>
        </w:rPr>
        <w:t>pachypodol</w:t>
      </w:r>
      <w:proofErr w:type="spellEnd"/>
      <w:r w:rsidRPr="000E4A72">
        <w:rPr>
          <w:rFonts w:asciiTheme="minorBidi" w:hAnsiTheme="minorBidi" w:cstheme="minorBidi"/>
        </w:rPr>
        <w:t xml:space="preserve"> reduces </w:t>
      </w:r>
      <w:proofErr w:type="spellStart"/>
      <w:r w:rsidRPr="000E4A72">
        <w:rPr>
          <w:rFonts w:asciiTheme="minorBidi" w:hAnsiTheme="minorBidi" w:cstheme="minorBidi"/>
        </w:rPr>
        <w:t>perfluorooctane</w:t>
      </w:r>
      <w:proofErr w:type="spellEnd"/>
      <w:r w:rsidRPr="000E4A72">
        <w:rPr>
          <w:rFonts w:asciiTheme="minorBidi" w:hAnsiTheme="minorBidi" w:cstheme="minorBidi"/>
        </w:rPr>
        <w:t xml:space="preserve"> </w:t>
      </w:r>
      <w:proofErr w:type="spellStart"/>
      <w:r w:rsidRPr="000E4A72">
        <w:rPr>
          <w:rFonts w:asciiTheme="minorBidi" w:hAnsiTheme="minorBidi" w:cstheme="minorBidi"/>
        </w:rPr>
        <w:t>sulphonate</w:t>
      </w:r>
      <w:proofErr w:type="spellEnd"/>
      <w:r w:rsidRPr="000E4A72">
        <w:rPr>
          <w:rFonts w:asciiTheme="minorBidi" w:hAnsiTheme="minorBidi" w:cstheme="minorBidi"/>
        </w:rPr>
        <w:t xml:space="preserve">-induced testicular damage by alleviating oxidative stress. In addition, Khalaf et al. (2019) reported that gibberellic acid exposure leads to oxidative stress in the testes of adult rats. The present findings are in line with those of </w:t>
      </w:r>
      <w:proofErr w:type="spellStart"/>
      <w:r w:rsidRPr="000E4A72">
        <w:rPr>
          <w:rFonts w:asciiTheme="minorBidi" w:hAnsiTheme="minorBidi" w:cstheme="minorBidi"/>
        </w:rPr>
        <w:t>Celik</w:t>
      </w:r>
      <w:proofErr w:type="spellEnd"/>
      <w:r w:rsidRPr="000E4A72">
        <w:rPr>
          <w:rFonts w:asciiTheme="minorBidi" w:hAnsiTheme="minorBidi" w:cstheme="minorBidi"/>
        </w:rPr>
        <w:t xml:space="preserve"> et al. (2006), who examined the effects of subacute exposure to several plant growth regulators on serum marker enzymes, antioxidant defense mechanisms, and lipid peroxidation in erythrocytes and tissues of rats. Likewise, </w:t>
      </w:r>
      <w:proofErr w:type="spellStart"/>
      <w:r w:rsidR="007430CA" w:rsidRPr="007430CA">
        <w:rPr>
          <w:rFonts w:asciiTheme="minorBidi" w:hAnsiTheme="minorBidi" w:cstheme="minorBidi"/>
        </w:rPr>
        <w:t>Tousson</w:t>
      </w:r>
      <w:proofErr w:type="spellEnd"/>
      <w:r w:rsidR="007430CA" w:rsidRPr="007430CA">
        <w:rPr>
          <w:rFonts w:asciiTheme="majorBidi" w:hAnsiTheme="majorBidi" w:cstheme="majorBidi"/>
        </w:rPr>
        <w:t xml:space="preserve"> </w:t>
      </w:r>
      <w:r w:rsidRPr="000E4A72">
        <w:rPr>
          <w:rFonts w:asciiTheme="minorBidi" w:hAnsiTheme="minorBidi" w:cstheme="minorBidi"/>
        </w:rPr>
        <w:t xml:space="preserve">et al. (2020) reported that gibberellic acid exposure can trigger oxidative stress in sweet sorghum plants. Additionally, </w:t>
      </w:r>
      <w:proofErr w:type="spellStart"/>
      <w:r w:rsidRPr="000E4A72">
        <w:rPr>
          <w:rFonts w:asciiTheme="minorBidi" w:hAnsiTheme="minorBidi" w:cstheme="minorBidi"/>
        </w:rPr>
        <w:t>Larkindale</w:t>
      </w:r>
      <w:proofErr w:type="spellEnd"/>
      <w:r w:rsidRPr="000E4A72">
        <w:rPr>
          <w:rFonts w:asciiTheme="minorBidi" w:hAnsiTheme="minorBidi" w:cstheme="minorBidi"/>
        </w:rPr>
        <w:t xml:space="preserve"> and Knight (2002) found that signaling molecules such as calcium, abscisic acid, ethylene, and salicylic acid can promote oxidative stress in heart tissues.</w:t>
      </w:r>
    </w:p>
    <w:p w14:paraId="7388F87E" w14:textId="77777777" w:rsidR="00B01FCD" w:rsidRDefault="002F3B3E"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68B1F4F4" w14:textId="77777777" w:rsidR="00790ADA" w:rsidRPr="00FB3A86" w:rsidRDefault="00790ADA" w:rsidP="00441B6F">
      <w:pPr>
        <w:pStyle w:val="ConcHead"/>
        <w:spacing w:after="0"/>
        <w:jc w:val="both"/>
        <w:rPr>
          <w:rFonts w:ascii="Arial" w:hAnsi="Arial" w:cs="Arial"/>
        </w:rPr>
      </w:pPr>
    </w:p>
    <w:p w14:paraId="0E0F2629" w14:textId="77777777" w:rsidR="00790ADA" w:rsidRPr="00FB0B28" w:rsidRDefault="00FB0B28" w:rsidP="00441B6F">
      <w:pPr>
        <w:pStyle w:val="Body"/>
        <w:spacing w:after="0"/>
        <w:rPr>
          <w:rFonts w:asciiTheme="minorBidi" w:hAnsiTheme="minorBidi" w:cstheme="minorBidi"/>
        </w:rPr>
      </w:pPr>
      <w:r w:rsidRPr="00FB0B28">
        <w:rPr>
          <w:rFonts w:asciiTheme="minorBidi" w:hAnsiTheme="minorBidi" w:cstheme="minorBidi"/>
        </w:rPr>
        <w:t>Ethephon exposure induces significant oxidative stress in male albino rats, as indicated by increased TBARS and reduced CAT, SOD, and GSH levels in the liver, kidneys, heart, and testes. These findings suggest that ethephon can cause multi-organ damage through oxidative mechanisms, highlighting the need for careful and controlled use of plant growth regulators to minimize potential health risks.</w:t>
      </w:r>
    </w:p>
    <w:p w14:paraId="7637AD7C" w14:textId="77777777" w:rsidR="00FB0B28" w:rsidRDefault="00FB0B28" w:rsidP="00441B6F">
      <w:pPr>
        <w:pStyle w:val="AcknHead"/>
        <w:spacing w:after="0"/>
        <w:jc w:val="both"/>
        <w:rPr>
          <w:rFonts w:ascii="Arial" w:hAnsi="Arial" w:cs="Arial"/>
        </w:rPr>
      </w:pPr>
    </w:p>
    <w:p w14:paraId="59B075DA" w14:textId="77777777" w:rsidR="001A29D8" w:rsidRPr="00F469F0" w:rsidRDefault="001A29D8" w:rsidP="00441B6F">
      <w:pPr>
        <w:pStyle w:val="ReferHead"/>
        <w:spacing w:after="0"/>
        <w:jc w:val="both"/>
        <w:rPr>
          <w:rFonts w:ascii="Arial" w:hAnsi="Arial" w:cs="Arial"/>
          <w:b w:val="0"/>
          <w:caps w:val="0"/>
          <w:sz w:val="20"/>
          <w:u w:val="single"/>
        </w:rPr>
      </w:pPr>
    </w:p>
    <w:p w14:paraId="61A60582" w14:textId="77777777" w:rsidR="005C784C" w:rsidRDefault="005C784C" w:rsidP="003D1024">
      <w:pPr>
        <w:pStyle w:val="ReferHead"/>
        <w:spacing w:after="0"/>
        <w:jc w:val="both"/>
        <w:rPr>
          <w:rFonts w:ascii="Arial" w:hAnsi="Arial" w:cs="Arial"/>
          <w:bCs/>
        </w:rPr>
      </w:pPr>
      <w:r>
        <w:rPr>
          <w:rFonts w:ascii="Arial" w:hAnsi="Arial" w:cs="Arial"/>
          <w:bCs/>
        </w:rPr>
        <w:t xml:space="preserve">Ethical approval </w:t>
      </w:r>
    </w:p>
    <w:p w14:paraId="392E39D9" w14:textId="77777777" w:rsidR="005C784C" w:rsidRPr="002B685A" w:rsidRDefault="005C784C" w:rsidP="00441B6F">
      <w:pPr>
        <w:pStyle w:val="ReferHead"/>
        <w:spacing w:after="0"/>
        <w:jc w:val="both"/>
        <w:rPr>
          <w:rFonts w:ascii="Arial" w:hAnsi="Arial" w:cs="Arial"/>
          <w:bCs/>
        </w:rPr>
      </w:pPr>
    </w:p>
    <w:p w14:paraId="3D6E09B5" w14:textId="77777777" w:rsidR="0041027F" w:rsidRDefault="003D1024" w:rsidP="003D1024">
      <w:pPr>
        <w:spacing w:line="360" w:lineRule="auto"/>
        <w:jc w:val="both"/>
        <w:rPr>
          <w:rFonts w:asciiTheme="minorBidi" w:eastAsia="Calibri" w:hAnsiTheme="minorBidi" w:cstheme="minorBidi"/>
          <w:lang w:bidi="ar-EG"/>
        </w:rPr>
      </w:pPr>
      <w:r>
        <w:rPr>
          <w:rFonts w:asciiTheme="minorBidi" w:eastAsia="Calibri" w:hAnsiTheme="minorBidi" w:cstheme="minorBidi"/>
          <w:lang w:bidi="ar-EG"/>
        </w:rPr>
        <w:t>All experimental procedures were conducted following the ethical standards approved by the Institutional Animal Care and Use Committee (IACUC) of Tanta University, Faculty of Science (Approval No.: IACUC-SCI-TU-0467.</w:t>
      </w:r>
    </w:p>
    <w:p w14:paraId="57DDAEE6" w14:textId="77777777" w:rsidR="0015038F" w:rsidRPr="003A29C6" w:rsidRDefault="0015038F" w:rsidP="0015038F">
      <w:pPr>
        <w:jc w:val="both"/>
        <w:outlineLvl w:val="0"/>
        <w:rPr>
          <w:rFonts w:ascii="Arial" w:hAnsi="Arial" w:cs="Arial"/>
        </w:rPr>
      </w:pPr>
      <w:r w:rsidRPr="003A29C6">
        <w:rPr>
          <w:rFonts w:ascii="Arial" w:hAnsi="Arial" w:cs="Arial"/>
          <w:b/>
          <w:bCs/>
        </w:rPr>
        <w:t>COMPETING INTERESTS DISCLAIMER:</w:t>
      </w:r>
    </w:p>
    <w:p w14:paraId="6E8B9FAB" w14:textId="77777777" w:rsidR="0015038F" w:rsidRDefault="0015038F" w:rsidP="0015038F">
      <w:r w:rsidRPr="00A10EDE">
        <w:t>Authors have declared that they have no known competing financial interests OR non-financial interests OR personal relationships that could have appeared to influence the work reported in this paper.</w:t>
      </w:r>
    </w:p>
    <w:p w14:paraId="1FA70590" w14:textId="77777777" w:rsidR="0015038F" w:rsidRPr="00F469F0" w:rsidRDefault="0015038F" w:rsidP="003D1024">
      <w:pPr>
        <w:spacing w:line="360" w:lineRule="auto"/>
        <w:jc w:val="both"/>
        <w:rPr>
          <w:rFonts w:ascii="Arial" w:hAnsi="Arial" w:cs="Arial"/>
          <w:b/>
          <w:caps/>
          <w:u w:val="single"/>
        </w:rPr>
      </w:pPr>
    </w:p>
    <w:p w14:paraId="4177305B" w14:textId="77777777" w:rsidR="00860000" w:rsidRDefault="00860000" w:rsidP="00441B6F">
      <w:pPr>
        <w:pStyle w:val="ReferHead"/>
        <w:spacing w:after="0"/>
        <w:jc w:val="both"/>
        <w:rPr>
          <w:rFonts w:ascii="Arial" w:hAnsi="Arial" w:cs="Arial"/>
        </w:rPr>
      </w:pPr>
    </w:p>
    <w:p w14:paraId="1486F777" w14:textId="77777777" w:rsidR="00B01FCD" w:rsidRDefault="00B01FCD" w:rsidP="002F3B3E">
      <w:pPr>
        <w:pStyle w:val="ReferHead"/>
        <w:spacing w:after="0" w:line="360" w:lineRule="auto"/>
        <w:jc w:val="both"/>
        <w:rPr>
          <w:rFonts w:ascii="Arial" w:hAnsi="Arial" w:cs="Arial"/>
        </w:rPr>
      </w:pPr>
      <w:r w:rsidRPr="00FB3A86">
        <w:rPr>
          <w:rFonts w:ascii="Arial" w:hAnsi="Arial" w:cs="Arial"/>
        </w:rPr>
        <w:t>References</w:t>
      </w:r>
    </w:p>
    <w:p w14:paraId="18D052FF" w14:textId="77777777" w:rsidR="003920D1" w:rsidRDefault="003920D1" w:rsidP="002F3B3E">
      <w:pPr>
        <w:spacing w:line="360" w:lineRule="auto"/>
        <w:ind w:left="284" w:right="328" w:hanging="284"/>
        <w:jc w:val="both"/>
        <w:rPr>
          <w:rFonts w:asciiTheme="minorBidi" w:eastAsiaTheme="minorHAnsi" w:hAnsiTheme="minorBidi" w:cstheme="minorBidi"/>
        </w:rPr>
      </w:pPr>
      <w:proofErr w:type="spellStart"/>
      <w:r>
        <w:rPr>
          <w:rFonts w:asciiTheme="minorBidi" w:eastAsiaTheme="minorHAnsi" w:hAnsiTheme="minorBidi" w:cstheme="minorBidi"/>
        </w:rPr>
        <w:t>Abou-zeid</w:t>
      </w:r>
      <w:proofErr w:type="spellEnd"/>
      <w:r>
        <w:rPr>
          <w:rFonts w:asciiTheme="minorBidi" w:eastAsiaTheme="minorHAnsi" w:hAnsiTheme="minorBidi" w:cstheme="minorBidi"/>
        </w:rPr>
        <w:t xml:space="preserve"> S., Allam T., El-</w:t>
      </w:r>
      <w:proofErr w:type="spellStart"/>
      <w:r>
        <w:rPr>
          <w:rFonts w:asciiTheme="minorBidi" w:eastAsiaTheme="minorHAnsi" w:hAnsiTheme="minorBidi" w:cstheme="minorBidi"/>
        </w:rPr>
        <w:t>Bahrawy</w:t>
      </w:r>
      <w:proofErr w:type="spellEnd"/>
      <w:r>
        <w:rPr>
          <w:rFonts w:asciiTheme="minorBidi" w:eastAsiaTheme="minorHAnsi" w:hAnsiTheme="minorBidi" w:cstheme="minorBidi"/>
        </w:rPr>
        <w:t xml:space="preserve"> A. and Mohamed A. (2018): Ameliorating effects of green tea on Ethephon-induced immunotoxicity and oxidative stress in mice. International Journal of Pharma Sciences and Scientific Research, 4(1): 1-9</w:t>
      </w:r>
    </w:p>
    <w:p w14:paraId="0B0CAE0C" w14:textId="77777777" w:rsidR="003920D1" w:rsidRDefault="003920D1" w:rsidP="002F3B3E">
      <w:pPr>
        <w:pStyle w:val="NormalWeb"/>
        <w:spacing w:before="0" w:beforeAutospacing="0" w:after="0" w:afterAutospacing="0" w:line="360" w:lineRule="auto"/>
        <w:ind w:left="284" w:hanging="284"/>
        <w:jc w:val="both"/>
        <w:rPr>
          <w:rFonts w:asciiTheme="minorBidi" w:hAnsiTheme="minorBidi" w:cstheme="minorBidi"/>
          <w:sz w:val="20"/>
          <w:szCs w:val="20"/>
        </w:rPr>
      </w:pPr>
      <w:proofErr w:type="spellStart"/>
      <w:r>
        <w:rPr>
          <w:rFonts w:asciiTheme="minorBidi" w:hAnsiTheme="minorBidi" w:cstheme="minorBidi"/>
          <w:sz w:val="20"/>
          <w:szCs w:val="20"/>
        </w:rPr>
        <w:t>Aktar</w:t>
      </w:r>
      <w:proofErr w:type="spellEnd"/>
      <w:r>
        <w:rPr>
          <w:rFonts w:asciiTheme="minorBidi" w:hAnsiTheme="minorBidi" w:cstheme="minorBidi"/>
          <w:sz w:val="20"/>
          <w:szCs w:val="20"/>
        </w:rPr>
        <w:t xml:space="preserve">, M. W., Sengupta, D., and Chowdhury, A. (2009). Impact of pesticides use in agriculture: Their benefits and hazards. </w:t>
      </w:r>
      <w:r>
        <w:rPr>
          <w:rStyle w:val="Emphasis"/>
          <w:rFonts w:asciiTheme="minorBidi" w:hAnsiTheme="minorBidi" w:cstheme="minorBidi"/>
          <w:sz w:val="20"/>
          <w:szCs w:val="20"/>
        </w:rPr>
        <w:t>Interdisciplinary Toxicology</w:t>
      </w:r>
      <w:r>
        <w:rPr>
          <w:rFonts w:asciiTheme="minorBidi" w:hAnsiTheme="minorBidi" w:cstheme="minorBidi"/>
          <w:sz w:val="20"/>
          <w:szCs w:val="20"/>
        </w:rPr>
        <w:t>, 2(1), 1–12.</w:t>
      </w:r>
    </w:p>
    <w:p w14:paraId="007DB8B0"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Soliman, M.M., Gaber, A., </w:t>
      </w:r>
      <w:proofErr w:type="spellStart"/>
      <w:r>
        <w:rPr>
          <w:rFonts w:asciiTheme="minorBidi" w:hAnsiTheme="minorBidi" w:cstheme="minorBidi"/>
        </w:rPr>
        <w:t>Alsanie</w:t>
      </w:r>
      <w:proofErr w:type="spellEnd"/>
      <w:r>
        <w:rPr>
          <w:rFonts w:asciiTheme="minorBidi" w:hAnsiTheme="minorBidi" w:cstheme="minorBidi"/>
        </w:rPr>
        <w:t xml:space="preserve">, W.F., Mohamed, W.A., </w:t>
      </w:r>
      <w:proofErr w:type="spellStart"/>
      <w:r>
        <w:rPr>
          <w:rFonts w:asciiTheme="minorBidi" w:hAnsiTheme="minorBidi" w:cstheme="minorBidi"/>
        </w:rPr>
        <w:t>Metwally</w:t>
      </w:r>
      <w:proofErr w:type="spellEnd"/>
      <w:r>
        <w:rPr>
          <w:rFonts w:asciiTheme="minorBidi" w:hAnsiTheme="minorBidi" w:cstheme="minorBidi"/>
        </w:rPr>
        <w:t xml:space="preserve">, M.M., </w:t>
      </w:r>
      <w:proofErr w:type="spellStart"/>
      <w:r>
        <w:rPr>
          <w:rFonts w:asciiTheme="minorBidi" w:hAnsiTheme="minorBidi" w:cstheme="minorBidi"/>
        </w:rPr>
        <w:t>Abdelhadi</w:t>
      </w:r>
      <w:proofErr w:type="spellEnd"/>
      <w:r>
        <w:rPr>
          <w:rFonts w:asciiTheme="minorBidi" w:hAnsiTheme="minorBidi" w:cstheme="minorBidi"/>
        </w:rPr>
        <w:t xml:space="preserve">, A.A., </w:t>
      </w:r>
      <w:proofErr w:type="spellStart"/>
      <w:r>
        <w:rPr>
          <w:rFonts w:asciiTheme="minorBidi" w:hAnsiTheme="minorBidi" w:cstheme="minorBidi"/>
        </w:rPr>
        <w:t>Elbadawy</w:t>
      </w:r>
      <w:proofErr w:type="spellEnd"/>
      <w:r>
        <w:rPr>
          <w:rFonts w:asciiTheme="minorBidi" w:hAnsiTheme="minorBidi" w:cstheme="minorBidi"/>
        </w:rPr>
        <w:t xml:space="preserve">, M. and </w:t>
      </w:r>
      <w:proofErr w:type="spellStart"/>
      <w:r>
        <w:rPr>
          <w:rFonts w:asciiTheme="minorBidi" w:hAnsiTheme="minorBidi" w:cstheme="minorBidi"/>
        </w:rPr>
        <w:t>Shukry</w:t>
      </w:r>
      <w:proofErr w:type="spellEnd"/>
      <w:r>
        <w:rPr>
          <w:rFonts w:asciiTheme="minorBidi" w:hAnsiTheme="minorBidi" w:cstheme="minorBidi"/>
        </w:rPr>
        <w:t>, M., 2022. Gibberellic acid</w:t>
      </w:r>
      <w:r>
        <w:rPr>
          <w:rFonts w:ascii="Cambria Math" w:hAnsi="Cambria Math" w:cs="Cambria Math"/>
        </w:rPr>
        <w:t>‐</w:t>
      </w:r>
      <w:r>
        <w:rPr>
          <w:rFonts w:asciiTheme="minorBidi" w:hAnsiTheme="minorBidi" w:cstheme="minorBidi"/>
        </w:rPr>
        <w:t>induced hepatorenal dysfunction and oxidative stress: mitigation by quercetin through modulation of antioxidant, anti</w:t>
      </w:r>
      <w:r>
        <w:rPr>
          <w:rFonts w:ascii="Cambria Math" w:hAnsi="Cambria Math" w:cs="Cambria Math"/>
        </w:rPr>
        <w:t>‐</w:t>
      </w:r>
      <w:r>
        <w:rPr>
          <w:rFonts w:asciiTheme="minorBidi" w:hAnsiTheme="minorBidi" w:cstheme="minorBidi"/>
        </w:rPr>
        <w:t xml:space="preserve">inflammatory, and antiapoptotic activities. </w:t>
      </w:r>
      <w:r>
        <w:rPr>
          <w:rFonts w:asciiTheme="minorBidi" w:hAnsiTheme="minorBidi" w:cstheme="minorBidi"/>
          <w:i/>
          <w:iCs/>
        </w:rPr>
        <w:t>Journal of food biochemistry</w:t>
      </w:r>
      <w:r>
        <w:rPr>
          <w:rFonts w:asciiTheme="minorBidi" w:hAnsiTheme="minorBidi" w:cstheme="minorBidi"/>
        </w:rPr>
        <w:t xml:space="preserve">, </w:t>
      </w:r>
      <w:r>
        <w:rPr>
          <w:rFonts w:asciiTheme="minorBidi" w:hAnsiTheme="minorBidi" w:cstheme="minorBidi"/>
          <w:i/>
          <w:iCs/>
        </w:rPr>
        <w:t>46</w:t>
      </w:r>
      <w:r>
        <w:rPr>
          <w:rFonts w:asciiTheme="minorBidi" w:hAnsiTheme="minorBidi" w:cstheme="minorBidi"/>
        </w:rPr>
        <w:t xml:space="preserve">(2), </w:t>
      </w:r>
      <w:proofErr w:type="gramStart"/>
      <w:r>
        <w:rPr>
          <w:rFonts w:asciiTheme="minorBidi" w:hAnsiTheme="minorBidi" w:cstheme="minorBidi"/>
        </w:rPr>
        <w:t>p.e</w:t>
      </w:r>
      <w:proofErr w:type="gramEnd"/>
      <w:r>
        <w:rPr>
          <w:rFonts w:asciiTheme="minorBidi" w:hAnsiTheme="minorBidi" w:cstheme="minorBidi"/>
        </w:rPr>
        <w:t xml:space="preserve">14069. </w:t>
      </w:r>
    </w:p>
    <w:p w14:paraId="7222DF7F"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Wang X, Hao W. Reproductive and developmental toxicity of plant growth regulators in humans and animals. Pesticide Biochemistry and Physiology. 2023 Nov </w:t>
      </w:r>
      <w:proofErr w:type="gramStart"/>
      <w:r>
        <w:rPr>
          <w:rFonts w:asciiTheme="minorBidi" w:hAnsiTheme="minorBidi" w:cstheme="minorBidi"/>
        </w:rPr>
        <w:t>1;196:105640</w:t>
      </w:r>
      <w:proofErr w:type="gramEnd"/>
      <w:r>
        <w:rPr>
          <w:rFonts w:asciiTheme="minorBidi" w:hAnsiTheme="minorBidi" w:cstheme="minorBidi"/>
        </w:rPr>
        <w:t>.</w:t>
      </w:r>
    </w:p>
    <w:p w14:paraId="3EE507BE"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Khalaf HA, Arafat EA, </w:t>
      </w:r>
      <w:proofErr w:type="spellStart"/>
      <w:r>
        <w:rPr>
          <w:rFonts w:asciiTheme="minorBidi" w:hAnsiTheme="minorBidi" w:cstheme="minorBidi"/>
        </w:rPr>
        <w:t>Ghoneim</w:t>
      </w:r>
      <w:proofErr w:type="spellEnd"/>
      <w:r>
        <w:rPr>
          <w:rFonts w:asciiTheme="minorBidi" w:hAnsiTheme="minorBidi" w:cstheme="minorBidi"/>
        </w:rPr>
        <w:t xml:space="preserve"> FM. A histological, immunohistochemical and biochemical study of the effects of pomegranate peel extracts on gibberellic acid induced oxidative stress in adult rat testes. Biotechnic &amp; Histochemistry. 2019 Nov 17;94(8):569-82.</w:t>
      </w:r>
    </w:p>
    <w:p w14:paraId="7366EC19" w14:textId="77777777" w:rsidR="003920D1" w:rsidRDefault="003920D1" w:rsidP="002F3B3E">
      <w:pPr>
        <w:tabs>
          <w:tab w:val="left" w:pos="1230"/>
        </w:tabs>
        <w:spacing w:line="360" w:lineRule="auto"/>
        <w:ind w:left="284" w:hanging="284"/>
        <w:jc w:val="both"/>
        <w:rPr>
          <w:rFonts w:asciiTheme="minorBidi" w:eastAsiaTheme="minorHAnsi" w:hAnsiTheme="minorBidi" w:cstheme="minorBidi"/>
          <w:shd w:val="clear" w:color="auto" w:fill="FFFFFF"/>
        </w:rPr>
      </w:pPr>
      <w:proofErr w:type="spellStart"/>
      <w:r>
        <w:rPr>
          <w:rFonts w:asciiTheme="minorBidi" w:eastAsiaTheme="minorHAnsi" w:hAnsiTheme="minorBidi" w:cstheme="minorBidi"/>
          <w:shd w:val="clear" w:color="auto" w:fill="FFFFFF"/>
        </w:rPr>
        <w:t>Bayoumy</w:t>
      </w:r>
      <w:proofErr w:type="spellEnd"/>
      <w:r>
        <w:rPr>
          <w:rFonts w:asciiTheme="minorBidi" w:eastAsiaTheme="minorHAnsi" w:hAnsiTheme="minorBidi" w:cstheme="minorBidi"/>
          <w:shd w:val="clear" w:color="auto" w:fill="FFFFFF"/>
        </w:rPr>
        <w:t xml:space="preserve"> A.A., Abd El Salam M.H., Ali A.A.E.R., El </w:t>
      </w:r>
      <w:proofErr w:type="spellStart"/>
      <w:r>
        <w:rPr>
          <w:rFonts w:asciiTheme="minorBidi" w:eastAsiaTheme="minorHAnsi" w:hAnsiTheme="minorBidi" w:cstheme="minorBidi"/>
          <w:shd w:val="clear" w:color="auto" w:fill="FFFFFF"/>
        </w:rPr>
        <w:t>Shenawy</w:t>
      </w:r>
      <w:proofErr w:type="spellEnd"/>
      <w:r>
        <w:rPr>
          <w:rFonts w:asciiTheme="minorBidi" w:eastAsiaTheme="minorHAnsi" w:hAnsiTheme="minorBidi" w:cstheme="minorBidi"/>
          <w:shd w:val="clear" w:color="auto" w:fill="FFFFFF"/>
        </w:rPr>
        <w:t xml:space="preserve"> R.M.E.D., Radwan O.A.E.L.S. and </w:t>
      </w:r>
      <w:proofErr w:type="spellStart"/>
      <w:r>
        <w:rPr>
          <w:rFonts w:asciiTheme="minorBidi" w:eastAsiaTheme="minorHAnsi" w:hAnsiTheme="minorBidi" w:cstheme="minorBidi"/>
          <w:shd w:val="clear" w:color="auto" w:fill="FFFFFF"/>
        </w:rPr>
        <w:t>Magdi</w:t>
      </w:r>
      <w:proofErr w:type="spellEnd"/>
      <w:r>
        <w:rPr>
          <w:rFonts w:asciiTheme="minorBidi" w:eastAsiaTheme="minorHAnsi" w:hAnsiTheme="minorBidi" w:cstheme="minorBidi"/>
          <w:shd w:val="clear" w:color="auto" w:fill="FFFFFF"/>
        </w:rPr>
        <w:t xml:space="preserve"> M.M. (2023): Toxic effects of chronic use of gibberellic acid on liver and kidney and hematological study in male albino rats. </w:t>
      </w:r>
      <w:proofErr w:type="spellStart"/>
      <w:r>
        <w:rPr>
          <w:rFonts w:asciiTheme="minorBidi" w:eastAsiaTheme="minorHAnsi" w:hAnsiTheme="minorBidi" w:cstheme="minorBidi"/>
          <w:shd w:val="clear" w:color="auto" w:fill="FFFFFF"/>
        </w:rPr>
        <w:t>Zagazig</w:t>
      </w:r>
      <w:proofErr w:type="spellEnd"/>
      <w:r>
        <w:rPr>
          <w:rFonts w:asciiTheme="minorBidi" w:eastAsiaTheme="minorHAnsi" w:hAnsiTheme="minorBidi" w:cstheme="minorBidi"/>
          <w:shd w:val="clear" w:color="auto" w:fill="FFFFFF"/>
        </w:rPr>
        <w:t xml:space="preserve"> Journal of Forensic Medicine, 21(1), pp.208-222.</w:t>
      </w:r>
    </w:p>
    <w:p w14:paraId="4E7C6062" w14:textId="77777777" w:rsidR="003920D1" w:rsidRDefault="003920D1" w:rsidP="002F3B3E">
      <w:pPr>
        <w:spacing w:line="360" w:lineRule="auto"/>
        <w:ind w:left="284" w:right="328" w:hanging="284"/>
        <w:jc w:val="both"/>
        <w:rPr>
          <w:rFonts w:asciiTheme="minorBidi" w:hAnsiTheme="minorBidi" w:cstheme="minorBidi"/>
          <w:lang w:bidi="ar-EG"/>
        </w:rPr>
      </w:pPr>
      <w:proofErr w:type="spellStart"/>
      <w:r>
        <w:rPr>
          <w:rFonts w:asciiTheme="minorBidi" w:hAnsiTheme="minorBidi" w:cstheme="minorBidi"/>
        </w:rPr>
        <w:t>Bhadoria</w:t>
      </w:r>
      <w:proofErr w:type="spellEnd"/>
      <w:r>
        <w:rPr>
          <w:rFonts w:asciiTheme="minorBidi" w:hAnsiTheme="minorBidi" w:cstheme="minorBidi"/>
        </w:rPr>
        <w:t xml:space="preserve"> P., Nagar M., </w:t>
      </w:r>
      <w:proofErr w:type="spellStart"/>
      <w:r>
        <w:rPr>
          <w:rFonts w:asciiTheme="minorBidi" w:hAnsiTheme="minorBidi" w:cstheme="minorBidi"/>
        </w:rPr>
        <w:t>Bahri</w:t>
      </w:r>
      <w:r w:rsidR="00EC59E9">
        <w:rPr>
          <w:rFonts w:asciiTheme="minorBidi" w:hAnsiTheme="minorBidi" w:cstheme="minorBidi"/>
        </w:rPr>
        <w:t>oke</w:t>
      </w:r>
      <w:proofErr w:type="spellEnd"/>
      <w:r w:rsidR="00EC59E9">
        <w:rPr>
          <w:rFonts w:asciiTheme="minorBidi" w:hAnsiTheme="minorBidi" w:cstheme="minorBidi"/>
        </w:rPr>
        <w:t xml:space="preserve"> V. and </w:t>
      </w:r>
      <w:proofErr w:type="spellStart"/>
      <w:r w:rsidR="00EC59E9">
        <w:rPr>
          <w:rFonts w:asciiTheme="minorBidi" w:hAnsiTheme="minorBidi" w:cstheme="minorBidi"/>
        </w:rPr>
        <w:t>Bhadoria</w:t>
      </w:r>
      <w:proofErr w:type="spellEnd"/>
      <w:r w:rsidR="00EC59E9">
        <w:rPr>
          <w:rFonts w:asciiTheme="minorBidi" w:hAnsiTheme="minorBidi" w:cstheme="minorBidi"/>
        </w:rPr>
        <w:t xml:space="preserve"> A.S. (2015).</w:t>
      </w:r>
      <w:r>
        <w:rPr>
          <w:rFonts w:asciiTheme="minorBidi" w:hAnsiTheme="minorBidi" w:cstheme="minorBidi"/>
        </w:rPr>
        <w:t xml:space="preserve"> Effect of Ethephon on the Liver in Albino Rats: A </w:t>
      </w:r>
      <w:proofErr w:type="spellStart"/>
      <w:r>
        <w:rPr>
          <w:rFonts w:asciiTheme="minorBidi" w:hAnsiTheme="minorBidi" w:cstheme="minorBidi"/>
        </w:rPr>
        <w:t>histomorphometric</w:t>
      </w:r>
      <w:proofErr w:type="spellEnd"/>
      <w:r>
        <w:rPr>
          <w:rFonts w:asciiTheme="minorBidi" w:hAnsiTheme="minorBidi" w:cstheme="minorBidi"/>
        </w:rPr>
        <w:t xml:space="preserve"> study. Biomedical Journal, 38(5): 421-427.</w:t>
      </w:r>
    </w:p>
    <w:p w14:paraId="148A7F9F" w14:textId="77777777" w:rsidR="003920D1" w:rsidRDefault="00EC59E9" w:rsidP="002F3B3E">
      <w:pPr>
        <w:spacing w:line="360" w:lineRule="auto"/>
        <w:ind w:left="284" w:hanging="284"/>
        <w:jc w:val="both"/>
        <w:rPr>
          <w:rFonts w:asciiTheme="minorBidi" w:hAnsiTheme="minorBidi" w:cstheme="minorBidi"/>
          <w:rtl/>
        </w:rPr>
      </w:pPr>
      <w:proofErr w:type="spellStart"/>
      <w:r>
        <w:t>Alsemeh</w:t>
      </w:r>
      <w:proofErr w:type="spellEnd"/>
      <w:r>
        <w:t xml:space="preserve">, A. E., </w:t>
      </w:r>
      <w:proofErr w:type="spellStart"/>
      <w:r>
        <w:t>Moawad</w:t>
      </w:r>
      <w:proofErr w:type="spellEnd"/>
      <w:r>
        <w:t xml:space="preserve">, R. S., &amp; Abdelfattah, E. R. (2019). Histological and biochemical changes induced by gibberellic acid in the livers of pregnant albino rats and their offspring: ameliorative effect of Nigella sativa. </w:t>
      </w:r>
      <w:r>
        <w:rPr>
          <w:i/>
          <w:iCs/>
        </w:rPr>
        <w:t>Anatomical science international</w:t>
      </w:r>
      <w:r>
        <w:t xml:space="preserve">, </w:t>
      </w:r>
      <w:r>
        <w:rPr>
          <w:i/>
          <w:iCs/>
        </w:rPr>
        <w:t>94</w:t>
      </w:r>
      <w:r>
        <w:t>(4).</w:t>
      </w:r>
    </w:p>
    <w:p w14:paraId="204EBF72" w14:textId="77777777" w:rsidR="00EC59E9" w:rsidRDefault="00EC59E9" w:rsidP="002F3B3E">
      <w:pPr>
        <w:spacing w:line="360" w:lineRule="auto"/>
        <w:ind w:left="284" w:hanging="284"/>
        <w:jc w:val="both"/>
      </w:pPr>
      <w:proofErr w:type="spellStart"/>
      <w:r>
        <w:lastRenderedPageBreak/>
        <w:t>Ozok</w:t>
      </w:r>
      <w:proofErr w:type="spellEnd"/>
      <w:r>
        <w:t xml:space="preserve">, N., &amp; </w:t>
      </w:r>
      <w:proofErr w:type="spellStart"/>
      <w:r>
        <w:t>Celik</w:t>
      </w:r>
      <w:proofErr w:type="spellEnd"/>
      <w:r>
        <w:t xml:space="preserve">, I. (2012). Effects of subacute and </w:t>
      </w:r>
      <w:proofErr w:type="spellStart"/>
      <w:r>
        <w:t>subchronic</w:t>
      </w:r>
      <w:proofErr w:type="spellEnd"/>
      <w:r>
        <w:t xml:space="preserve"> treatment of synthetic plant growth regulators on liver damage serum biomarkers tissue antioxidant defense systems and lipid peroxidation in rats. </w:t>
      </w:r>
      <w:r>
        <w:rPr>
          <w:i/>
          <w:iCs/>
        </w:rPr>
        <w:t>Journal of Drug Metabolism &amp; Toxicology</w:t>
      </w:r>
      <w:r>
        <w:t xml:space="preserve">, </w:t>
      </w:r>
      <w:r>
        <w:rPr>
          <w:i/>
          <w:iCs/>
        </w:rPr>
        <w:t>3</w:t>
      </w:r>
      <w:r>
        <w:t>(4).</w:t>
      </w:r>
    </w:p>
    <w:p w14:paraId="0813333D"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Iqbal, N., Khan, N. A., Ferrante, A., </w:t>
      </w:r>
      <w:proofErr w:type="spellStart"/>
      <w:r>
        <w:rPr>
          <w:rFonts w:asciiTheme="minorBidi" w:hAnsiTheme="minorBidi" w:cstheme="minorBidi"/>
        </w:rPr>
        <w:t>Trivellini</w:t>
      </w:r>
      <w:proofErr w:type="spellEnd"/>
      <w:r>
        <w:rPr>
          <w:rFonts w:asciiTheme="minorBidi" w:hAnsiTheme="minorBidi" w:cstheme="minorBidi"/>
        </w:rPr>
        <w:t xml:space="preserve">, A., </w:t>
      </w:r>
      <w:proofErr w:type="spellStart"/>
      <w:r>
        <w:rPr>
          <w:rFonts w:asciiTheme="minorBidi" w:hAnsiTheme="minorBidi" w:cstheme="minorBidi"/>
        </w:rPr>
        <w:t>Francini</w:t>
      </w:r>
      <w:proofErr w:type="spellEnd"/>
      <w:r>
        <w:rPr>
          <w:rFonts w:asciiTheme="minorBidi" w:hAnsiTheme="minorBidi" w:cstheme="minorBidi"/>
        </w:rPr>
        <w:t xml:space="preserve">, A., and Khan, M. I. R. (2017). Ethylene role in plant growth, development and senescence: Interaction with other phytohormones. </w:t>
      </w:r>
      <w:r>
        <w:rPr>
          <w:rFonts w:asciiTheme="minorBidi" w:hAnsiTheme="minorBidi" w:cstheme="minorBidi"/>
          <w:i/>
          <w:iCs/>
        </w:rPr>
        <w:t>Frontiers in Plant Science</w:t>
      </w:r>
      <w:r>
        <w:rPr>
          <w:rFonts w:asciiTheme="minorBidi" w:hAnsiTheme="minorBidi" w:cstheme="minorBidi"/>
        </w:rPr>
        <w:t>, 8, 475.</w:t>
      </w:r>
    </w:p>
    <w:p w14:paraId="63A14ED3" w14:textId="77777777" w:rsidR="003920D1" w:rsidRDefault="003920D1" w:rsidP="002F3B3E">
      <w:pPr>
        <w:tabs>
          <w:tab w:val="left" w:pos="1230"/>
        </w:tabs>
        <w:spacing w:line="360" w:lineRule="auto"/>
        <w:ind w:left="284" w:hanging="284"/>
        <w:jc w:val="both"/>
        <w:rPr>
          <w:rFonts w:asciiTheme="minorBidi" w:eastAsiaTheme="minorHAnsi" w:hAnsiTheme="minorBidi" w:cstheme="minorBidi"/>
        </w:rPr>
      </w:pPr>
      <w:proofErr w:type="spellStart"/>
      <w:r>
        <w:rPr>
          <w:rFonts w:asciiTheme="minorBidi" w:eastAsiaTheme="minorHAnsi" w:hAnsiTheme="minorBidi" w:cstheme="minorBidi"/>
        </w:rPr>
        <w:t>Iwan</w:t>
      </w:r>
      <w:proofErr w:type="spellEnd"/>
      <w:r>
        <w:rPr>
          <w:rFonts w:asciiTheme="minorBidi" w:eastAsiaTheme="minorHAnsi" w:hAnsiTheme="minorBidi" w:cstheme="minorBidi"/>
        </w:rPr>
        <w:t xml:space="preserve"> P., </w:t>
      </w:r>
      <w:proofErr w:type="spellStart"/>
      <w:r>
        <w:rPr>
          <w:rFonts w:asciiTheme="minorBidi" w:eastAsiaTheme="minorHAnsi" w:hAnsiTheme="minorBidi" w:cstheme="minorBidi"/>
        </w:rPr>
        <w:t>Stepniak</w:t>
      </w:r>
      <w:proofErr w:type="spellEnd"/>
      <w:r>
        <w:rPr>
          <w:rFonts w:asciiTheme="minorBidi" w:eastAsiaTheme="minorHAnsi" w:hAnsiTheme="minorBidi" w:cstheme="minorBidi"/>
        </w:rPr>
        <w:t xml:space="preserve"> J., </w:t>
      </w:r>
      <w:r w:rsidR="00EC59E9">
        <w:rPr>
          <w:rFonts w:asciiTheme="minorBidi" w:eastAsiaTheme="minorHAnsi" w:hAnsiTheme="minorBidi" w:cstheme="minorBidi"/>
        </w:rPr>
        <w:t xml:space="preserve">and </w:t>
      </w:r>
      <w:proofErr w:type="spellStart"/>
      <w:r w:rsidR="00EC59E9">
        <w:rPr>
          <w:rFonts w:asciiTheme="minorBidi" w:eastAsiaTheme="minorHAnsi" w:hAnsiTheme="minorBidi" w:cstheme="minorBidi"/>
        </w:rPr>
        <w:t>KarbownikLewinska</w:t>
      </w:r>
      <w:proofErr w:type="spellEnd"/>
      <w:r w:rsidR="00EC59E9">
        <w:rPr>
          <w:rFonts w:asciiTheme="minorBidi" w:eastAsiaTheme="minorHAnsi" w:hAnsiTheme="minorBidi" w:cstheme="minorBidi"/>
        </w:rPr>
        <w:t xml:space="preserve"> M. (2021).</w:t>
      </w:r>
      <w:r>
        <w:rPr>
          <w:rFonts w:asciiTheme="minorBidi" w:eastAsiaTheme="minorHAnsi" w:hAnsiTheme="minorBidi" w:cstheme="minorBidi"/>
        </w:rPr>
        <w:t xml:space="preserve"> Cumulative Protective Effect of Melatonin and Indole3-Propionic Acid against KIO3—Induced Lipid Peroxidation in Porcine Thyroid. Toxics, 9(5), 89.</w:t>
      </w:r>
    </w:p>
    <w:p w14:paraId="3E59E02D" w14:textId="77777777" w:rsidR="003920D1" w:rsidRDefault="003920D1" w:rsidP="002F3B3E">
      <w:pPr>
        <w:spacing w:line="360" w:lineRule="auto"/>
        <w:ind w:left="284" w:hanging="284"/>
        <w:jc w:val="both"/>
        <w:rPr>
          <w:rFonts w:asciiTheme="minorBidi" w:hAnsiTheme="minorBidi" w:cstheme="minorBidi"/>
        </w:rPr>
      </w:pPr>
      <w:proofErr w:type="spellStart"/>
      <w:r>
        <w:rPr>
          <w:rFonts w:asciiTheme="minorBidi" w:hAnsiTheme="minorBidi" w:cstheme="minorBidi"/>
        </w:rPr>
        <w:t>Lushchak</w:t>
      </w:r>
      <w:proofErr w:type="spellEnd"/>
      <w:r>
        <w:rPr>
          <w:rFonts w:asciiTheme="minorBidi" w:hAnsiTheme="minorBidi" w:cstheme="minorBidi"/>
        </w:rPr>
        <w:t xml:space="preserve">, V. I. (2014). Free radicals, reactive oxygen species, oxidative stress and its classification. </w:t>
      </w:r>
      <w:proofErr w:type="spellStart"/>
      <w:r>
        <w:rPr>
          <w:rFonts w:asciiTheme="minorBidi" w:hAnsiTheme="minorBidi" w:cstheme="minorBidi"/>
          <w:i/>
          <w:iCs/>
        </w:rPr>
        <w:t>Chemico</w:t>
      </w:r>
      <w:proofErr w:type="spellEnd"/>
      <w:r>
        <w:rPr>
          <w:rFonts w:asciiTheme="minorBidi" w:hAnsiTheme="minorBidi" w:cstheme="minorBidi"/>
          <w:i/>
          <w:iCs/>
        </w:rPr>
        <w:t>-Biological Interactions</w:t>
      </w:r>
      <w:r>
        <w:rPr>
          <w:rFonts w:asciiTheme="minorBidi" w:hAnsiTheme="minorBidi" w:cstheme="minorBidi"/>
        </w:rPr>
        <w:t>, 224, 164–175.</w:t>
      </w:r>
    </w:p>
    <w:p w14:paraId="18F9EAED" w14:textId="77777777" w:rsidR="0014684F" w:rsidRDefault="0014684F" w:rsidP="002F3B3E">
      <w:pPr>
        <w:pStyle w:val="NormalWeb"/>
        <w:spacing w:before="0" w:beforeAutospacing="0" w:after="0" w:afterAutospacing="0" w:line="360" w:lineRule="auto"/>
        <w:ind w:left="284" w:hanging="284"/>
        <w:jc w:val="both"/>
      </w:pPr>
      <w:proofErr w:type="spellStart"/>
      <w:r>
        <w:t>Larkindale</w:t>
      </w:r>
      <w:proofErr w:type="spellEnd"/>
      <w:r>
        <w:t xml:space="preserve">, J., &amp; Knight, M. R. (2002). Protection against heat stress-induced oxidative damage in Arabidopsis involves calcium, abscisic acid, ethylene, and salicylic acid. </w:t>
      </w:r>
      <w:r>
        <w:rPr>
          <w:i/>
          <w:iCs/>
        </w:rPr>
        <w:t>Plant physiology</w:t>
      </w:r>
      <w:r>
        <w:t xml:space="preserve">, </w:t>
      </w:r>
      <w:r>
        <w:rPr>
          <w:i/>
          <w:iCs/>
        </w:rPr>
        <w:t>128</w:t>
      </w:r>
      <w:r>
        <w:t>(2), 682.</w:t>
      </w:r>
    </w:p>
    <w:p w14:paraId="46B65200" w14:textId="77777777" w:rsidR="003920D1" w:rsidRDefault="003920D1" w:rsidP="002F3B3E">
      <w:pPr>
        <w:pStyle w:val="NormalWeb"/>
        <w:spacing w:before="0" w:beforeAutospacing="0" w:after="0" w:afterAutospacing="0" w:line="360" w:lineRule="auto"/>
        <w:ind w:left="284" w:hanging="284"/>
        <w:jc w:val="both"/>
        <w:rPr>
          <w:rFonts w:asciiTheme="minorBidi" w:hAnsiTheme="minorBidi" w:cstheme="minorBidi"/>
          <w:sz w:val="20"/>
          <w:szCs w:val="20"/>
        </w:rPr>
      </w:pPr>
      <w:r>
        <w:rPr>
          <w:rFonts w:asciiTheme="minorBidi" w:hAnsiTheme="minorBidi" w:cstheme="minorBidi"/>
          <w:sz w:val="20"/>
          <w:szCs w:val="20"/>
        </w:rPr>
        <w:t xml:space="preserve">Rademacher, W. (2015). Plant growth regulators: Backgrounds and uses in plant production. </w:t>
      </w:r>
      <w:r>
        <w:rPr>
          <w:rStyle w:val="Emphasis"/>
          <w:rFonts w:asciiTheme="minorBidi" w:hAnsiTheme="minorBidi" w:cstheme="minorBidi"/>
          <w:sz w:val="20"/>
          <w:szCs w:val="20"/>
        </w:rPr>
        <w:t>Journal of Plant Growth Regulation</w:t>
      </w:r>
      <w:r>
        <w:rPr>
          <w:rFonts w:asciiTheme="minorBidi" w:hAnsiTheme="minorBidi" w:cstheme="minorBidi"/>
          <w:sz w:val="20"/>
          <w:szCs w:val="20"/>
        </w:rPr>
        <w:t>, 34(4), 845–872.</w:t>
      </w:r>
    </w:p>
    <w:p w14:paraId="5B74A3EA" w14:textId="77777777" w:rsidR="003920D1" w:rsidRDefault="003920D1" w:rsidP="002F3B3E">
      <w:pPr>
        <w:widowControl w:val="0"/>
        <w:kinsoku w:val="0"/>
        <w:overflowPunct w:val="0"/>
        <w:autoSpaceDE w:val="0"/>
        <w:autoSpaceDN w:val="0"/>
        <w:adjustRightInd w:val="0"/>
        <w:spacing w:line="360" w:lineRule="auto"/>
        <w:ind w:left="284" w:right="-193" w:hanging="284"/>
        <w:jc w:val="both"/>
        <w:rPr>
          <w:rFonts w:asciiTheme="minorBidi" w:hAnsiTheme="minorBidi" w:cstheme="minorBidi"/>
        </w:rPr>
      </w:pPr>
      <w:r>
        <w:rPr>
          <w:rFonts w:asciiTheme="minorBidi" w:hAnsiTheme="minorBidi" w:cstheme="minorBidi"/>
        </w:rPr>
        <w:t>Sharma S., Singh V.K., Kum</w:t>
      </w:r>
      <w:r w:rsidR="0014684F">
        <w:rPr>
          <w:rFonts w:asciiTheme="minorBidi" w:hAnsiTheme="minorBidi" w:cstheme="minorBidi"/>
        </w:rPr>
        <w:t xml:space="preserve">ar A. and </w:t>
      </w:r>
      <w:proofErr w:type="spellStart"/>
      <w:r w:rsidR="0014684F">
        <w:rPr>
          <w:rFonts w:asciiTheme="minorBidi" w:hAnsiTheme="minorBidi" w:cstheme="minorBidi"/>
        </w:rPr>
        <w:t>Mallubhotla</w:t>
      </w:r>
      <w:proofErr w:type="spellEnd"/>
      <w:r w:rsidR="0014684F">
        <w:rPr>
          <w:rFonts w:asciiTheme="minorBidi" w:hAnsiTheme="minorBidi" w:cstheme="minorBidi"/>
        </w:rPr>
        <w:t xml:space="preserve"> S. (2019).</w:t>
      </w:r>
      <w:r>
        <w:rPr>
          <w:rFonts w:asciiTheme="minorBidi" w:hAnsiTheme="minorBidi" w:cstheme="minorBidi"/>
        </w:rPr>
        <w:t xml:space="preserve"> Effect of nanoparticles on oxidative damage and antioxidant defense system in plants. Molecular Plant Abiotic Stress: Biology and Biotechnology,</w:t>
      </w:r>
      <w:r>
        <w:rPr>
          <w:rFonts w:asciiTheme="minorBidi" w:hAnsiTheme="minorBidi" w:cstheme="minorBidi"/>
          <w:spacing w:val="-6"/>
        </w:rPr>
        <w:t xml:space="preserve"> </w:t>
      </w:r>
      <w:r>
        <w:rPr>
          <w:rFonts w:asciiTheme="minorBidi" w:hAnsiTheme="minorBidi" w:cstheme="minorBidi"/>
        </w:rPr>
        <w:t>315-333.</w:t>
      </w:r>
    </w:p>
    <w:p w14:paraId="24C120A6"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Sharma, P., Jha, A. B., Dubey, R. S., and </w:t>
      </w:r>
      <w:proofErr w:type="spellStart"/>
      <w:r>
        <w:rPr>
          <w:rFonts w:asciiTheme="minorBidi" w:hAnsiTheme="minorBidi" w:cstheme="minorBidi"/>
        </w:rPr>
        <w:t>Pessarakli</w:t>
      </w:r>
      <w:proofErr w:type="spellEnd"/>
      <w:r>
        <w:rPr>
          <w:rFonts w:asciiTheme="minorBidi" w:hAnsiTheme="minorBidi" w:cstheme="minorBidi"/>
        </w:rPr>
        <w:t xml:space="preserve">, M. (2012). Reactive oxygen species, oxidative damage, and antioxidative defense mechanism in plants. </w:t>
      </w:r>
      <w:r>
        <w:rPr>
          <w:rFonts w:asciiTheme="minorBidi" w:hAnsiTheme="minorBidi" w:cstheme="minorBidi"/>
          <w:i/>
          <w:iCs/>
        </w:rPr>
        <w:t>Journal of Botany</w:t>
      </w:r>
      <w:r>
        <w:rPr>
          <w:rFonts w:asciiTheme="minorBidi" w:hAnsiTheme="minorBidi" w:cstheme="minorBidi"/>
        </w:rPr>
        <w:t>, 2012, 217037.</w:t>
      </w:r>
    </w:p>
    <w:p w14:paraId="200E5593" w14:textId="77777777" w:rsidR="003920D1" w:rsidRDefault="003920D1" w:rsidP="002F3B3E">
      <w:pPr>
        <w:pStyle w:val="NormalWeb"/>
        <w:spacing w:before="0" w:beforeAutospacing="0" w:after="0" w:afterAutospacing="0" w:line="360" w:lineRule="auto"/>
        <w:ind w:left="284" w:hanging="284"/>
        <w:jc w:val="both"/>
        <w:rPr>
          <w:rFonts w:asciiTheme="minorBidi" w:hAnsiTheme="minorBidi" w:cstheme="minorBidi"/>
          <w:sz w:val="20"/>
          <w:szCs w:val="20"/>
        </w:rPr>
      </w:pPr>
      <w:r>
        <w:rPr>
          <w:rFonts w:asciiTheme="minorBidi" w:hAnsiTheme="minorBidi" w:cstheme="minorBidi"/>
          <w:sz w:val="20"/>
          <w:szCs w:val="20"/>
        </w:rPr>
        <w:t xml:space="preserve">Taiz, L., Zeiger, E., </w:t>
      </w:r>
      <w:proofErr w:type="spellStart"/>
      <w:r>
        <w:rPr>
          <w:rFonts w:asciiTheme="minorBidi" w:hAnsiTheme="minorBidi" w:cstheme="minorBidi"/>
          <w:sz w:val="20"/>
          <w:szCs w:val="20"/>
        </w:rPr>
        <w:t>Møller</w:t>
      </w:r>
      <w:proofErr w:type="spellEnd"/>
      <w:r>
        <w:rPr>
          <w:rFonts w:asciiTheme="minorBidi" w:hAnsiTheme="minorBidi" w:cstheme="minorBidi"/>
          <w:sz w:val="20"/>
          <w:szCs w:val="20"/>
        </w:rPr>
        <w:t xml:space="preserve">, I. M., and Murphy, A. (2018). </w:t>
      </w:r>
      <w:r>
        <w:rPr>
          <w:rStyle w:val="Emphasis"/>
          <w:rFonts w:asciiTheme="minorBidi" w:hAnsiTheme="minorBidi" w:cstheme="minorBidi"/>
          <w:sz w:val="20"/>
          <w:szCs w:val="20"/>
        </w:rPr>
        <w:t>Plant Physiology and Development</w:t>
      </w:r>
      <w:r>
        <w:rPr>
          <w:rFonts w:asciiTheme="minorBidi" w:hAnsiTheme="minorBidi" w:cstheme="minorBidi"/>
          <w:sz w:val="20"/>
          <w:szCs w:val="20"/>
        </w:rPr>
        <w:t xml:space="preserve"> (6th ed.). Sinauer Associates.</w:t>
      </w:r>
    </w:p>
    <w:p w14:paraId="60F5B700" w14:textId="77777777" w:rsidR="003920D1" w:rsidRDefault="003920D1" w:rsidP="002F3B3E">
      <w:pPr>
        <w:spacing w:line="360" w:lineRule="auto"/>
        <w:ind w:left="284" w:right="328" w:hanging="284"/>
        <w:jc w:val="both"/>
        <w:rPr>
          <w:rFonts w:asciiTheme="minorBidi" w:eastAsiaTheme="minorHAnsi" w:hAnsiTheme="minorBidi" w:cstheme="minorBidi"/>
        </w:rPr>
      </w:pPr>
      <w:proofErr w:type="spellStart"/>
      <w:r w:rsidRPr="003920D1">
        <w:rPr>
          <w:rFonts w:asciiTheme="minorBidi" w:eastAsiaTheme="minorHAnsi" w:hAnsiTheme="minorBidi" w:cstheme="minorBidi"/>
          <w:lang w:val="en-GB"/>
        </w:rPr>
        <w:t>Uckan</w:t>
      </w:r>
      <w:proofErr w:type="spellEnd"/>
      <w:r w:rsidRPr="003920D1">
        <w:rPr>
          <w:rFonts w:asciiTheme="minorBidi" w:eastAsiaTheme="minorHAnsi" w:hAnsiTheme="minorBidi" w:cstheme="minorBidi"/>
          <w:lang w:val="en-GB"/>
        </w:rPr>
        <w:t xml:space="preserve"> F., </w:t>
      </w:r>
      <w:proofErr w:type="spellStart"/>
      <w:r w:rsidRPr="003920D1">
        <w:rPr>
          <w:rFonts w:asciiTheme="minorBidi" w:eastAsiaTheme="minorHAnsi" w:hAnsiTheme="minorBidi" w:cstheme="minorBidi"/>
          <w:lang w:val="en-GB"/>
        </w:rPr>
        <w:t>Ozbek</w:t>
      </w:r>
      <w:proofErr w:type="spellEnd"/>
      <w:r w:rsidRPr="003920D1">
        <w:rPr>
          <w:rFonts w:asciiTheme="minorBidi" w:eastAsiaTheme="minorHAnsi" w:hAnsiTheme="minorBidi" w:cstheme="minorBidi"/>
          <w:lang w:val="en-GB"/>
        </w:rPr>
        <w:t xml:space="preserve"> R. and </w:t>
      </w:r>
      <w:proofErr w:type="spellStart"/>
      <w:r w:rsidRPr="003920D1">
        <w:rPr>
          <w:rFonts w:asciiTheme="minorBidi" w:eastAsiaTheme="minorHAnsi" w:hAnsiTheme="minorBidi" w:cstheme="minorBidi"/>
          <w:lang w:val="en-GB"/>
        </w:rPr>
        <w:t>Ergin</w:t>
      </w:r>
      <w:proofErr w:type="spellEnd"/>
      <w:r w:rsidRPr="003920D1">
        <w:rPr>
          <w:rFonts w:asciiTheme="minorBidi" w:eastAsiaTheme="minorHAnsi" w:hAnsiTheme="minorBidi" w:cstheme="minorBidi"/>
          <w:lang w:val="en-GB"/>
        </w:rPr>
        <w:t xml:space="preserve"> E. (2015)</w:t>
      </w:r>
      <w:r w:rsidR="0014684F">
        <w:rPr>
          <w:rFonts w:asciiTheme="minorBidi" w:eastAsiaTheme="minorHAnsi" w:hAnsiTheme="minorBidi" w:cstheme="minorBidi"/>
          <w:lang w:val="en-GB"/>
        </w:rPr>
        <w:t>.</w:t>
      </w:r>
      <w:r>
        <w:rPr>
          <w:rFonts w:asciiTheme="minorBidi" w:eastAsiaTheme="minorHAnsi" w:hAnsiTheme="minorBidi" w:cstheme="minorBidi"/>
          <w:b/>
          <w:bCs/>
          <w:lang w:val="en-GB"/>
        </w:rPr>
        <w:t xml:space="preserve"> </w:t>
      </w:r>
      <w:r>
        <w:rPr>
          <w:rFonts w:asciiTheme="minorBidi" w:eastAsiaTheme="minorHAnsi" w:hAnsiTheme="minorBidi" w:cstheme="minorBidi"/>
        </w:rPr>
        <w:t xml:space="preserve">Effects of indol-3-acetic acid on the biology of Galleria </w:t>
      </w:r>
      <w:proofErr w:type="spellStart"/>
      <w:r>
        <w:rPr>
          <w:rFonts w:asciiTheme="minorBidi" w:eastAsiaTheme="minorHAnsi" w:hAnsiTheme="minorBidi" w:cstheme="minorBidi"/>
        </w:rPr>
        <w:t>mellonella</w:t>
      </w:r>
      <w:proofErr w:type="spellEnd"/>
      <w:r>
        <w:rPr>
          <w:rFonts w:asciiTheme="minorBidi" w:eastAsiaTheme="minorHAnsi" w:hAnsiTheme="minorBidi" w:cstheme="minorBidi"/>
        </w:rPr>
        <w:t xml:space="preserve"> and its </w:t>
      </w:r>
      <w:proofErr w:type="spellStart"/>
      <w:r>
        <w:rPr>
          <w:rFonts w:asciiTheme="minorBidi" w:eastAsiaTheme="minorHAnsi" w:hAnsiTheme="minorBidi" w:cstheme="minorBidi"/>
        </w:rPr>
        <w:t>endoparasitoid</w:t>
      </w:r>
      <w:proofErr w:type="spellEnd"/>
      <w:r>
        <w:rPr>
          <w:rFonts w:asciiTheme="minorBidi" w:eastAsiaTheme="minorHAnsi" w:hAnsiTheme="minorBidi" w:cstheme="minorBidi"/>
        </w:rPr>
        <w:t xml:space="preserve"> </w:t>
      </w:r>
      <w:proofErr w:type="spellStart"/>
      <w:r>
        <w:rPr>
          <w:rFonts w:asciiTheme="minorBidi" w:eastAsiaTheme="minorHAnsi" w:hAnsiTheme="minorBidi" w:cstheme="minorBidi"/>
        </w:rPr>
        <w:t>Pimpla</w:t>
      </w:r>
      <w:proofErr w:type="spellEnd"/>
      <w:r>
        <w:rPr>
          <w:rFonts w:asciiTheme="minorBidi" w:eastAsiaTheme="minorHAnsi" w:hAnsiTheme="minorBidi" w:cstheme="minorBidi"/>
        </w:rPr>
        <w:t xml:space="preserve"> </w:t>
      </w:r>
      <w:proofErr w:type="spellStart"/>
      <w:r>
        <w:rPr>
          <w:rFonts w:asciiTheme="minorBidi" w:eastAsiaTheme="minorHAnsi" w:hAnsiTheme="minorBidi" w:cstheme="minorBidi"/>
        </w:rPr>
        <w:t>turionellae</w:t>
      </w:r>
      <w:proofErr w:type="spellEnd"/>
      <w:r>
        <w:rPr>
          <w:rFonts w:asciiTheme="minorBidi" w:eastAsiaTheme="minorHAnsi" w:hAnsiTheme="minorBidi" w:cstheme="minorBidi"/>
        </w:rPr>
        <w:t>. Belgian Journal of Zoology, 145(1): 49-58.</w:t>
      </w:r>
    </w:p>
    <w:p w14:paraId="4D7A6998" w14:textId="77777777" w:rsidR="0014684F" w:rsidRDefault="0014684F" w:rsidP="002F3B3E">
      <w:pPr>
        <w:spacing w:line="360" w:lineRule="auto"/>
        <w:ind w:left="284" w:hanging="284"/>
        <w:jc w:val="both"/>
      </w:pPr>
      <w:r>
        <w:t xml:space="preserve">Jan, S., Singh, R., Bhardwaj, R., Ahmad, P., &amp; Kapoor, D. (2020). Plant growth regulators: a sustainable approach to combat pesticide toxicity. </w:t>
      </w:r>
      <w:r>
        <w:rPr>
          <w:i/>
          <w:iCs/>
        </w:rPr>
        <w:t>3 Biotech</w:t>
      </w:r>
      <w:r>
        <w:t xml:space="preserve">, </w:t>
      </w:r>
      <w:r>
        <w:rPr>
          <w:i/>
          <w:iCs/>
        </w:rPr>
        <w:t>10</w:t>
      </w:r>
      <w:r>
        <w:t>(11), 466.</w:t>
      </w:r>
    </w:p>
    <w:p w14:paraId="6C31C9F4" w14:textId="77777777" w:rsidR="003920D1" w:rsidRDefault="0014684F" w:rsidP="002F3B3E">
      <w:pPr>
        <w:spacing w:line="360" w:lineRule="auto"/>
        <w:ind w:left="284" w:hanging="284"/>
        <w:jc w:val="both"/>
        <w:rPr>
          <w:rFonts w:asciiTheme="minorBidi" w:hAnsiTheme="minorBidi" w:cstheme="minorBidi"/>
        </w:rPr>
      </w:pPr>
      <w:r>
        <w:t xml:space="preserve">Abd </w:t>
      </w:r>
      <w:proofErr w:type="spellStart"/>
      <w:r>
        <w:t>Eldaim</w:t>
      </w:r>
      <w:proofErr w:type="spellEnd"/>
      <w:r>
        <w:t xml:space="preserve">, M. A., </w:t>
      </w:r>
      <w:proofErr w:type="spellStart"/>
      <w:r>
        <w:t>Tousson</w:t>
      </w:r>
      <w:proofErr w:type="spellEnd"/>
      <w:r>
        <w:t xml:space="preserve">, E., El Sayed, I. E. T., &amp; </w:t>
      </w:r>
      <w:proofErr w:type="spellStart"/>
      <w:r>
        <w:t>Awd</w:t>
      </w:r>
      <w:proofErr w:type="spellEnd"/>
      <w:r>
        <w:t xml:space="preserve">, W. M. (2019). Ameliorative effects of </w:t>
      </w:r>
      <w:proofErr w:type="spellStart"/>
      <w:r>
        <w:t>Saussurea</w:t>
      </w:r>
      <w:proofErr w:type="spellEnd"/>
      <w:r>
        <w:t xml:space="preserve"> </w:t>
      </w:r>
      <w:proofErr w:type="spellStart"/>
      <w:r>
        <w:t>lappa</w:t>
      </w:r>
      <w:proofErr w:type="spellEnd"/>
      <w:r>
        <w:t xml:space="preserve"> root aqueous extract against Ethephon</w:t>
      </w:r>
      <w:r>
        <w:rPr>
          <w:rFonts w:ascii="Cambria Math" w:hAnsi="Cambria Math" w:cs="Cambria Math"/>
        </w:rPr>
        <w:t>‐</w:t>
      </w:r>
      <w:r>
        <w:t xml:space="preserve">induced reproductive toxicity in male rats. </w:t>
      </w:r>
      <w:r>
        <w:rPr>
          <w:i/>
          <w:iCs/>
        </w:rPr>
        <w:t>Environmental toxicology</w:t>
      </w:r>
      <w:r>
        <w:t xml:space="preserve">, </w:t>
      </w:r>
      <w:r>
        <w:rPr>
          <w:i/>
          <w:iCs/>
        </w:rPr>
        <w:t>34</w:t>
      </w:r>
      <w:r>
        <w:t>(2), 150-159.</w:t>
      </w:r>
    </w:p>
    <w:p w14:paraId="4D1D7865" w14:textId="77777777" w:rsidR="0014684F" w:rsidRDefault="0014684F" w:rsidP="002F3B3E">
      <w:pPr>
        <w:spacing w:line="360" w:lineRule="auto"/>
        <w:ind w:left="284" w:hanging="284"/>
        <w:jc w:val="both"/>
      </w:pPr>
      <w:proofErr w:type="spellStart"/>
      <w:r>
        <w:t>Tousson</w:t>
      </w:r>
      <w:proofErr w:type="spellEnd"/>
      <w:r>
        <w:t>, E., El-</w:t>
      </w:r>
      <w:proofErr w:type="spellStart"/>
      <w:r>
        <w:t>Atrsh</w:t>
      </w:r>
      <w:proofErr w:type="spellEnd"/>
      <w:r>
        <w:t xml:space="preserve">, A., Mansour, M., &amp; </w:t>
      </w:r>
      <w:proofErr w:type="spellStart"/>
      <w:r>
        <w:t>Assem</w:t>
      </w:r>
      <w:proofErr w:type="spellEnd"/>
      <w:r>
        <w:t xml:space="preserve">, A. (2020). </w:t>
      </w:r>
      <w:proofErr w:type="spellStart"/>
      <w:r>
        <w:t>Costus</w:t>
      </w:r>
      <w:proofErr w:type="spellEnd"/>
      <w:r>
        <w:t xml:space="preserve"> root aqueous extract modulates rat liver toxicity, DNA damage, injury, proliferation alterations induced by plant growth regulator Ethephon. </w:t>
      </w:r>
      <w:r>
        <w:rPr>
          <w:i/>
          <w:iCs/>
        </w:rPr>
        <w:t>Brazilian Journal of Pharmaceutical Sciences</w:t>
      </w:r>
      <w:r>
        <w:t xml:space="preserve">, </w:t>
      </w:r>
      <w:r>
        <w:rPr>
          <w:i/>
          <w:iCs/>
        </w:rPr>
        <w:t>56</w:t>
      </w:r>
      <w:r>
        <w:t>, e18500.</w:t>
      </w:r>
    </w:p>
    <w:p w14:paraId="7EA0A41D" w14:textId="77777777" w:rsidR="0014684F" w:rsidRDefault="0014684F" w:rsidP="002F3B3E">
      <w:pPr>
        <w:spacing w:line="360" w:lineRule="auto"/>
        <w:ind w:left="284" w:hanging="284"/>
        <w:jc w:val="both"/>
      </w:pPr>
      <w:r>
        <w:lastRenderedPageBreak/>
        <w:t xml:space="preserve">Mondal, S., Sarkar, O., Jana, S. K., Chattopadhyay, A., Mandal, S., &amp; Sahoo, P. (2025). Ethephon Contamination in Agricultural Products: Development of a </w:t>
      </w:r>
      <w:proofErr w:type="spellStart"/>
      <w:r>
        <w:t>Nanosensor</w:t>
      </w:r>
      <w:proofErr w:type="spellEnd"/>
      <w:r>
        <w:t xml:space="preserve"> for Quality Control in the Food Industry and Exported Food. </w:t>
      </w:r>
      <w:r>
        <w:rPr>
          <w:i/>
          <w:iCs/>
        </w:rPr>
        <w:t>ACS Sustainable Chemistry &amp; Engineering</w:t>
      </w:r>
      <w:r>
        <w:t xml:space="preserve">, </w:t>
      </w:r>
      <w:r>
        <w:rPr>
          <w:i/>
          <w:iCs/>
        </w:rPr>
        <w:t>13</w:t>
      </w:r>
      <w:r>
        <w:t>(7), 2998-3009.</w:t>
      </w:r>
    </w:p>
    <w:p w14:paraId="73C4DC2D" w14:textId="77777777" w:rsidR="00E15275" w:rsidRDefault="00E15275" w:rsidP="002F3B3E">
      <w:pPr>
        <w:tabs>
          <w:tab w:val="right" w:pos="142"/>
          <w:tab w:val="left" w:pos="284"/>
          <w:tab w:val="left" w:pos="426"/>
          <w:tab w:val="right" w:pos="851"/>
        </w:tabs>
        <w:autoSpaceDE w:val="0"/>
        <w:autoSpaceDN w:val="0"/>
        <w:adjustRightInd w:val="0"/>
        <w:spacing w:line="360" w:lineRule="auto"/>
        <w:ind w:left="284" w:hanging="284"/>
        <w:jc w:val="both"/>
      </w:pPr>
      <w:proofErr w:type="spellStart"/>
      <w:r>
        <w:t>Bhadoria</w:t>
      </w:r>
      <w:proofErr w:type="spellEnd"/>
      <w:r>
        <w:t xml:space="preserve">, P., Nagar, M., </w:t>
      </w:r>
      <w:proofErr w:type="spellStart"/>
      <w:r>
        <w:t>Bharihoke</w:t>
      </w:r>
      <w:proofErr w:type="spellEnd"/>
      <w:r>
        <w:t xml:space="preserve">, V., &amp; </w:t>
      </w:r>
      <w:proofErr w:type="spellStart"/>
      <w:r>
        <w:t>Bhadoria</w:t>
      </w:r>
      <w:proofErr w:type="spellEnd"/>
      <w:r>
        <w:t xml:space="preserve">, A. S. (2018). Ethephon, an </w:t>
      </w:r>
      <w:proofErr w:type="spellStart"/>
      <w:r>
        <w:t>organophosphorous</w:t>
      </w:r>
      <w:proofErr w:type="spellEnd"/>
      <w:r>
        <w:t xml:space="preserve">, a fruit and vegetable </w:t>
      </w:r>
      <w:proofErr w:type="spellStart"/>
      <w:r>
        <w:t>ripener</w:t>
      </w:r>
      <w:proofErr w:type="spellEnd"/>
      <w:r>
        <w:t xml:space="preserve">: has potential hepatotoxic </w:t>
      </w:r>
      <w:proofErr w:type="gramStart"/>
      <w:r>
        <w:t>effects?.</w:t>
      </w:r>
      <w:proofErr w:type="gramEnd"/>
      <w:r>
        <w:t xml:space="preserve"> </w:t>
      </w:r>
      <w:r>
        <w:rPr>
          <w:i/>
          <w:iCs/>
        </w:rPr>
        <w:t>Journal of family medicine and primary care</w:t>
      </w:r>
      <w:r>
        <w:t xml:space="preserve">, </w:t>
      </w:r>
      <w:r>
        <w:rPr>
          <w:i/>
          <w:iCs/>
        </w:rPr>
        <w:t>7</w:t>
      </w:r>
      <w:r>
        <w:t>(1), 179-183.</w:t>
      </w:r>
    </w:p>
    <w:p w14:paraId="623F9D10" w14:textId="77777777" w:rsidR="003920D1" w:rsidRDefault="00E15275" w:rsidP="002F3B3E">
      <w:pPr>
        <w:tabs>
          <w:tab w:val="right" w:pos="142"/>
          <w:tab w:val="right" w:pos="284"/>
        </w:tabs>
        <w:spacing w:line="360" w:lineRule="auto"/>
        <w:ind w:left="284" w:hanging="284"/>
        <w:jc w:val="both"/>
        <w:rPr>
          <w:rFonts w:asciiTheme="minorBidi" w:hAnsiTheme="minorBidi" w:cstheme="minorBidi"/>
        </w:rPr>
      </w:pPr>
      <w:proofErr w:type="spellStart"/>
      <w:r>
        <w:t>Tousson</w:t>
      </w:r>
      <w:proofErr w:type="spellEnd"/>
      <w:r>
        <w:t>, E., El</w:t>
      </w:r>
      <w:r>
        <w:rPr>
          <w:rFonts w:ascii="Cambria Math" w:hAnsi="Cambria Math" w:cs="Cambria Math"/>
        </w:rPr>
        <w:t>‐</w:t>
      </w:r>
      <w:proofErr w:type="spellStart"/>
      <w:r>
        <w:t>Atrsh</w:t>
      </w:r>
      <w:proofErr w:type="spellEnd"/>
      <w:r>
        <w:t xml:space="preserve">, A., Mansour, M., &amp; Abdallah, A. (2019). Modulatory effects of </w:t>
      </w:r>
      <w:proofErr w:type="spellStart"/>
      <w:r>
        <w:t>Saussurea</w:t>
      </w:r>
      <w:proofErr w:type="spellEnd"/>
      <w:r>
        <w:t xml:space="preserve"> </w:t>
      </w:r>
      <w:proofErr w:type="spellStart"/>
      <w:r>
        <w:t>lappa</w:t>
      </w:r>
      <w:proofErr w:type="spellEnd"/>
      <w:r>
        <w:t xml:space="preserve"> root aqueous extract against ethephon</w:t>
      </w:r>
      <w:r>
        <w:rPr>
          <w:rFonts w:ascii="Cambria Math" w:hAnsi="Cambria Math" w:cs="Cambria Math"/>
        </w:rPr>
        <w:t>‐</w:t>
      </w:r>
      <w:r>
        <w:t xml:space="preserve">induced kidney toxicity in male rats. </w:t>
      </w:r>
      <w:r>
        <w:rPr>
          <w:i/>
          <w:iCs/>
        </w:rPr>
        <w:t>Environmental Toxicology</w:t>
      </w:r>
      <w:r>
        <w:t xml:space="preserve">, </w:t>
      </w:r>
      <w:r>
        <w:rPr>
          <w:i/>
          <w:iCs/>
        </w:rPr>
        <w:t>34</w:t>
      </w:r>
      <w:r>
        <w:t>(12), 1277-</w:t>
      </w:r>
      <w:proofErr w:type="gramStart"/>
      <w:r>
        <w:t>1284.</w:t>
      </w:r>
      <w:r w:rsidR="003920D1">
        <w:rPr>
          <w:rFonts w:asciiTheme="minorBidi" w:hAnsiTheme="minorBidi" w:cstheme="minorBidi"/>
        </w:rPr>
        <w:t>.</w:t>
      </w:r>
      <w:proofErr w:type="gramEnd"/>
      <w:r w:rsidR="003920D1">
        <w:rPr>
          <w:rFonts w:asciiTheme="minorBidi" w:hAnsiTheme="minorBidi" w:cstheme="minorBidi"/>
        </w:rPr>
        <w:t xml:space="preserve"> </w:t>
      </w:r>
    </w:p>
    <w:p w14:paraId="3D794C40" w14:textId="77777777" w:rsidR="003920D1" w:rsidRDefault="003920D1" w:rsidP="002F3B3E">
      <w:pPr>
        <w:spacing w:line="360" w:lineRule="auto"/>
        <w:ind w:left="284" w:hanging="284"/>
        <w:jc w:val="both"/>
        <w:rPr>
          <w:rFonts w:asciiTheme="minorBidi" w:hAnsiTheme="minorBidi" w:cstheme="minorBidi"/>
          <w:lang w:bidi="ar-EG"/>
        </w:rPr>
      </w:pPr>
      <w:proofErr w:type="spellStart"/>
      <w:r>
        <w:rPr>
          <w:rFonts w:asciiTheme="minorBidi" w:hAnsiTheme="minorBidi" w:cstheme="minorBidi"/>
        </w:rPr>
        <w:t>Beutler</w:t>
      </w:r>
      <w:proofErr w:type="spellEnd"/>
      <w:r>
        <w:rPr>
          <w:rFonts w:asciiTheme="minorBidi" w:hAnsiTheme="minorBidi" w:cstheme="minorBidi"/>
        </w:rPr>
        <w:t xml:space="preserve"> E, Duron O, Kelly BM</w:t>
      </w:r>
      <w:r>
        <w:rPr>
          <w:rStyle w:val="nlmyear"/>
          <w:rFonts w:asciiTheme="minorBidi" w:hAnsiTheme="minorBidi" w:cstheme="minorBidi"/>
        </w:rPr>
        <w:t xml:space="preserve">. </w:t>
      </w:r>
      <w:r w:rsidR="00E15275">
        <w:rPr>
          <w:rStyle w:val="nlmyear"/>
          <w:rFonts w:asciiTheme="minorBidi" w:hAnsiTheme="minorBidi" w:cstheme="minorBidi"/>
        </w:rPr>
        <w:t>(</w:t>
      </w:r>
      <w:r w:rsidR="00E15275">
        <w:rPr>
          <w:rFonts w:asciiTheme="minorBidi" w:hAnsiTheme="minorBidi" w:cstheme="minorBidi"/>
        </w:rPr>
        <w:t xml:space="preserve">1963). </w:t>
      </w:r>
      <w:r>
        <w:rPr>
          <w:rStyle w:val="nlmarticle-title"/>
          <w:rFonts w:asciiTheme="minorBidi" w:hAnsiTheme="minorBidi" w:cstheme="minorBidi"/>
        </w:rPr>
        <w:t>Improved method for the determination of blood glutathione</w:t>
      </w:r>
      <w:r>
        <w:rPr>
          <w:rFonts w:asciiTheme="minorBidi" w:hAnsiTheme="minorBidi" w:cstheme="minorBidi"/>
        </w:rPr>
        <w:t>. J Lab Clin Med. 61</w:t>
      </w:r>
      <w:r w:rsidR="00E15275">
        <w:rPr>
          <w:rFonts w:asciiTheme="minorBidi" w:hAnsiTheme="minorBidi" w:cstheme="minorBidi"/>
        </w:rPr>
        <w:t>,</w:t>
      </w:r>
      <w:r>
        <w:rPr>
          <w:rFonts w:asciiTheme="minorBidi" w:hAnsiTheme="minorBidi" w:cstheme="minorBidi"/>
        </w:rPr>
        <w:t xml:space="preserve"> </w:t>
      </w:r>
      <w:r>
        <w:rPr>
          <w:rStyle w:val="nlmfpage"/>
          <w:rFonts w:asciiTheme="minorBidi" w:hAnsiTheme="minorBidi" w:cstheme="minorBidi"/>
        </w:rPr>
        <w:t>882</w:t>
      </w:r>
      <w:r>
        <w:rPr>
          <w:rFonts w:asciiTheme="minorBidi" w:hAnsiTheme="minorBidi" w:cstheme="minorBidi"/>
        </w:rPr>
        <w:t>–</w:t>
      </w:r>
      <w:r>
        <w:rPr>
          <w:rStyle w:val="nlmlpage"/>
          <w:rFonts w:asciiTheme="minorBidi" w:hAnsiTheme="minorBidi" w:cstheme="minorBidi"/>
        </w:rPr>
        <w:t>888</w:t>
      </w:r>
      <w:r>
        <w:rPr>
          <w:rStyle w:val="reflink-block"/>
          <w:rFonts w:asciiTheme="minorBidi" w:eastAsiaTheme="majorEastAsia" w:hAnsiTheme="minorBidi" w:cstheme="minorBidi"/>
        </w:rPr>
        <w:t> </w:t>
      </w:r>
    </w:p>
    <w:p w14:paraId="716EFA21" w14:textId="77777777" w:rsidR="00DA34EE" w:rsidRDefault="00DA34EE" w:rsidP="002F3B3E">
      <w:pPr>
        <w:tabs>
          <w:tab w:val="right" w:pos="142"/>
          <w:tab w:val="right" w:pos="851"/>
        </w:tabs>
        <w:autoSpaceDE w:val="0"/>
        <w:autoSpaceDN w:val="0"/>
        <w:adjustRightInd w:val="0"/>
        <w:spacing w:line="360" w:lineRule="auto"/>
        <w:ind w:left="284" w:hanging="284"/>
        <w:jc w:val="both"/>
      </w:pPr>
      <w:proofErr w:type="spellStart"/>
      <w:r>
        <w:t>Saggu</w:t>
      </w:r>
      <w:proofErr w:type="spellEnd"/>
      <w:r>
        <w:t xml:space="preserve">, S., </w:t>
      </w:r>
      <w:proofErr w:type="spellStart"/>
      <w:r>
        <w:t>Sakeran</w:t>
      </w:r>
      <w:proofErr w:type="spellEnd"/>
      <w:r>
        <w:t xml:space="preserve">, M. I., </w:t>
      </w:r>
      <w:proofErr w:type="spellStart"/>
      <w:r>
        <w:t>Zidan</w:t>
      </w:r>
      <w:proofErr w:type="spellEnd"/>
      <w:r>
        <w:t xml:space="preserve">, N., </w:t>
      </w:r>
      <w:proofErr w:type="spellStart"/>
      <w:r>
        <w:t>Tousson</w:t>
      </w:r>
      <w:proofErr w:type="spellEnd"/>
      <w:r>
        <w:t>, E., Mohan, A., &amp; Rehman, H. (2014). Ameliorating effect of chicory (</w:t>
      </w:r>
      <w:proofErr w:type="spellStart"/>
      <w:r>
        <w:t>Chichorium</w:t>
      </w:r>
      <w:proofErr w:type="spellEnd"/>
      <w:r>
        <w:t xml:space="preserve"> </w:t>
      </w:r>
      <w:proofErr w:type="spellStart"/>
      <w:r>
        <w:t>intybus</w:t>
      </w:r>
      <w:proofErr w:type="spellEnd"/>
      <w:r>
        <w:t xml:space="preserve"> L.) fruit extract against 4-tert-octylphenol induced liver injury and oxidative stress in male rats. </w:t>
      </w:r>
      <w:r>
        <w:rPr>
          <w:i/>
          <w:iCs/>
        </w:rPr>
        <w:t>Food and chemical toxicology</w:t>
      </w:r>
      <w:r>
        <w:t xml:space="preserve">, </w:t>
      </w:r>
      <w:r>
        <w:rPr>
          <w:i/>
          <w:iCs/>
        </w:rPr>
        <w:t>72</w:t>
      </w:r>
      <w:r>
        <w:t>, 138-146.</w:t>
      </w:r>
    </w:p>
    <w:p w14:paraId="497EBDBF" w14:textId="77777777" w:rsidR="005B0B41" w:rsidRDefault="005B0B41" w:rsidP="002F3B3E">
      <w:pPr>
        <w:spacing w:line="360" w:lineRule="auto"/>
        <w:ind w:left="284" w:hanging="284"/>
        <w:jc w:val="both"/>
      </w:pPr>
      <w:proofErr w:type="spellStart"/>
      <w:r>
        <w:t>Misra</w:t>
      </w:r>
      <w:proofErr w:type="spellEnd"/>
      <w:r>
        <w:t xml:space="preserve">, H. P., &amp; </w:t>
      </w:r>
      <w:proofErr w:type="spellStart"/>
      <w:r>
        <w:t>Fridovich</w:t>
      </w:r>
      <w:proofErr w:type="spellEnd"/>
      <w:r>
        <w:t xml:space="preserve">, I. (1972). The role of superoxide anion in the autoxidation of epinephrine and a simple assay for superoxide dismutase. </w:t>
      </w:r>
      <w:r>
        <w:rPr>
          <w:i/>
          <w:iCs/>
        </w:rPr>
        <w:t>Journal of Biological chemistry</w:t>
      </w:r>
      <w:r>
        <w:t xml:space="preserve">, </w:t>
      </w:r>
      <w:r>
        <w:rPr>
          <w:i/>
          <w:iCs/>
        </w:rPr>
        <w:t>247</w:t>
      </w:r>
      <w:r>
        <w:t>(10), 3170-3175.</w:t>
      </w:r>
    </w:p>
    <w:p w14:paraId="1E4228AC" w14:textId="77777777" w:rsidR="003920D1" w:rsidRDefault="005B0B41" w:rsidP="002F3B3E">
      <w:pPr>
        <w:spacing w:line="360" w:lineRule="auto"/>
        <w:ind w:left="284" w:hanging="284"/>
        <w:jc w:val="both"/>
        <w:rPr>
          <w:rFonts w:asciiTheme="minorBidi" w:hAnsiTheme="minorBidi" w:cstheme="minorBidi"/>
        </w:rPr>
      </w:pPr>
      <w:proofErr w:type="spellStart"/>
      <w:r>
        <w:t>Bayoumy</w:t>
      </w:r>
      <w:proofErr w:type="spellEnd"/>
      <w:r>
        <w:t xml:space="preserve">, A. A., Abd El Salam, M. H., Ali, A. A. E. R., El </w:t>
      </w:r>
      <w:proofErr w:type="spellStart"/>
      <w:r>
        <w:t>Shenawy</w:t>
      </w:r>
      <w:proofErr w:type="spellEnd"/>
      <w:r>
        <w:t xml:space="preserve">, R. M. E. D., Radwan, O. A. E. L. S., &amp; </w:t>
      </w:r>
      <w:proofErr w:type="spellStart"/>
      <w:r>
        <w:t>Magdi</w:t>
      </w:r>
      <w:proofErr w:type="spellEnd"/>
      <w:r>
        <w:t xml:space="preserve">, M. M. (2023). Toxic effects of chronic use of gibberellic acid on liver and kidney and hematological study in male albino rats. </w:t>
      </w:r>
      <w:proofErr w:type="spellStart"/>
      <w:r>
        <w:rPr>
          <w:i/>
          <w:iCs/>
        </w:rPr>
        <w:t>Zagazig</w:t>
      </w:r>
      <w:proofErr w:type="spellEnd"/>
      <w:r>
        <w:rPr>
          <w:i/>
          <w:iCs/>
        </w:rPr>
        <w:t xml:space="preserve"> Journal of Forensic Medicine and Toxicology</w:t>
      </w:r>
      <w:r>
        <w:t xml:space="preserve">, </w:t>
      </w:r>
      <w:r>
        <w:rPr>
          <w:i/>
          <w:iCs/>
        </w:rPr>
        <w:t>21</w:t>
      </w:r>
      <w:r>
        <w:t>(1), 208-222</w:t>
      </w:r>
      <w:r w:rsidR="003920D1">
        <w:rPr>
          <w:rFonts w:asciiTheme="minorBidi" w:hAnsiTheme="minorBidi" w:cstheme="minorBidi"/>
        </w:rPr>
        <w:t>.</w:t>
      </w:r>
    </w:p>
    <w:p w14:paraId="6B1F119E" w14:textId="77777777" w:rsidR="005B0B41" w:rsidRDefault="005B0B41" w:rsidP="002F3B3E">
      <w:pPr>
        <w:spacing w:line="360" w:lineRule="auto"/>
        <w:ind w:left="284" w:hanging="284"/>
        <w:jc w:val="both"/>
      </w:pPr>
      <w:proofErr w:type="spellStart"/>
      <w:r>
        <w:t>Celik</w:t>
      </w:r>
      <w:proofErr w:type="spellEnd"/>
      <w:r>
        <w:t xml:space="preserve">, I., </w:t>
      </w:r>
      <w:proofErr w:type="spellStart"/>
      <w:r>
        <w:t>Tuluce</w:t>
      </w:r>
      <w:proofErr w:type="spellEnd"/>
      <w:r>
        <w:t xml:space="preserve">, Y., &amp; </w:t>
      </w:r>
      <w:proofErr w:type="spellStart"/>
      <w:r>
        <w:t>Isik</w:t>
      </w:r>
      <w:proofErr w:type="spellEnd"/>
      <w:r>
        <w:t xml:space="preserve">, I. (2006). Influence of subacute treatment of some plant growth regulators on serum marker enzymes and erythrocyte and tissue antioxidant defense and lipid peroxidation in rats. </w:t>
      </w:r>
      <w:r>
        <w:rPr>
          <w:i/>
          <w:iCs/>
        </w:rPr>
        <w:t>Journal of biochemical and molecular toxicology</w:t>
      </w:r>
      <w:r>
        <w:t xml:space="preserve">, </w:t>
      </w:r>
      <w:r>
        <w:rPr>
          <w:i/>
          <w:iCs/>
        </w:rPr>
        <w:t>20</w:t>
      </w:r>
      <w:r>
        <w:t>(4), 174-182.</w:t>
      </w:r>
    </w:p>
    <w:p w14:paraId="21F3D103" w14:textId="77777777" w:rsidR="003920D1" w:rsidRDefault="003920D1" w:rsidP="002F3B3E">
      <w:pPr>
        <w:spacing w:line="360" w:lineRule="auto"/>
        <w:ind w:left="284" w:hanging="284"/>
        <w:jc w:val="both"/>
        <w:rPr>
          <w:rFonts w:asciiTheme="minorBidi" w:hAnsiTheme="minorBidi" w:cstheme="minorBidi"/>
        </w:rPr>
      </w:pPr>
      <w:proofErr w:type="spellStart"/>
      <w:r>
        <w:rPr>
          <w:rFonts w:asciiTheme="minorBidi" w:hAnsiTheme="minorBidi" w:cstheme="minorBidi"/>
        </w:rPr>
        <w:t>Valko</w:t>
      </w:r>
      <w:proofErr w:type="spellEnd"/>
      <w:r>
        <w:rPr>
          <w:rFonts w:asciiTheme="minorBidi" w:hAnsiTheme="minorBidi" w:cstheme="minorBidi"/>
        </w:rPr>
        <w:t xml:space="preserve">, M., </w:t>
      </w:r>
      <w:proofErr w:type="spellStart"/>
      <w:r>
        <w:rPr>
          <w:rFonts w:asciiTheme="minorBidi" w:hAnsiTheme="minorBidi" w:cstheme="minorBidi"/>
        </w:rPr>
        <w:t>Leibfritz</w:t>
      </w:r>
      <w:proofErr w:type="spellEnd"/>
      <w:r>
        <w:rPr>
          <w:rFonts w:asciiTheme="minorBidi" w:hAnsiTheme="minorBidi" w:cstheme="minorBidi"/>
        </w:rPr>
        <w:t xml:space="preserve">, D., </w:t>
      </w:r>
      <w:proofErr w:type="spellStart"/>
      <w:r>
        <w:rPr>
          <w:rFonts w:asciiTheme="minorBidi" w:hAnsiTheme="minorBidi" w:cstheme="minorBidi"/>
        </w:rPr>
        <w:t>Moncol</w:t>
      </w:r>
      <w:proofErr w:type="spellEnd"/>
      <w:r>
        <w:rPr>
          <w:rFonts w:asciiTheme="minorBidi" w:hAnsiTheme="minorBidi" w:cstheme="minorBidi"/>
        </w:rPr>
        <w:t xml:space="preserve">, J., Cronin, M. T., Mazur, M., and </w:t>
      </w:r>
      <w:proofErr w:type="spellStart"/>
      <w:r>
        <w:rPr>
          <w:rFonts w:asciiTheme="minorBidi" w:hAnsiTheme="minorBidi" w:cstheme="minorBidi"/>
        </w:rPr>
        <w:t>Telser</w:t>
      </w:r>
      <w:proofErr w:type="spellEnd"/>
      <w:r>
        <w:rPr>
          <w:rFonts w:asciiTheme="minorBidi" w:hAnsiTheme="minorBidi" w:cstheme="minorBidi"/>
        </w:rPr>
        <w:t xml:space="preserve">, J. (2007). Free radicals and antioxidants in normal physiological functions and human disease. </w:t>
      </w:r>
      <w:r>
        <w:rPr>
          <w:rFonts w:asciiTheme="minorBidi" w:hAnsiTheme="minorBidi" w:cstheme="minorBidi"/>
          <w:i/>
          <w:iCs/>
        </w:rPr>
        <w:t>The International Journal of Biochemistry &amp; Cell Biology</w:t>
      </w:r>
      <w:r>
        <w:rPr>
          <w:rFonts w:asciiTheme="minorBidi" w:hAnsiTheme="minorBidi" w:cstheme="minorBidi"/>
        </w:rPr>
        <w:t>, 39(1), 44–84.</w:t>
      </w:r>
    </w:p>
    <w:p w14:paraId="21A6283F" w14:textId="77777777" w:rsidR="003920D1" w:rsidRDefault="005B0B41" w:rsidP="002F3B3E">
      <w:pPr>
        <w:spacing w:line="360" w:lineRule="auto"/>
        <w:ind w:left="284" w:hanging="284"/>
        <w:jc w:val="both"/>
        <w:rPr>
          <w:rFonts w:asciiTheme="minorBidi" w:eastAsiaTheme="minorHAnsi" w:hAnsiTheme="minorBidi" w:cstheme="minorBidi"/>
          <w:lang w:bidi="ar-EG"/>
        </w:rPr>
      </w:pPr>
      <w:proofErr w:type="spellStart"/>
      <w:r>
        <w:rPr>
          <w:rFonts w:asciiTheme="minorBidi" w:eastAsiaTheme="minorHAnsi" w:hAnsiTheme="minorBidi" w:cstheme="minorBidi"/>
          <w:lang w:bidi="ar-EG"/>
        </w:rPr>
        <w:t>Yazar</w:t>
      </w:r>
      <w:proofErr w:type="spellEnd"/>
      <w:r>
        <w:rPr>
          <w:rFonts w:asciiTheme="minorBidi" w:eastAsiaTheme="minorHAnsi" w:hAnsiTheme="minorBidi" w:cstheme="minorBidi"/>
          <w:lang w:bidi="ar-EG"/>
        </w:rPr>
        <w:t xml:space="preserve"> S. and </w:t>
      </w:r>
      <w:proofErr w:type="spellStart"/>
      <w:r>
        <w:rPr>
          <w:rFonts w:asciiTheme="minorBidi" w:eastAsiaTheme="minorHAnsi" w:hAnsiTheme="minorBidi" w:cstheme="minorBidi"/>
          <w:lang w:bidi="ar-EG"/>
        </w:rPr>
        <w:t>Baydan</w:t>
      </w:r>
      <w:proofErr w:type="spellEnd"/>
      <w:r>
        <w:rPr>
          <w:rFonts w:asciiTheme="minorBidi" w:eastAsiaTheme="minorHAnsi" w:hAnsiTheme="minorBidi" w:cstheme="minorBidi"/>
          <w:lang w:bidi="ar-EG"/>
        </w:rPr>
        <w:t xml:space="preserve"> E. (2008).</w:t>
      </w:r>
      <w:r w:rsidR="003920D1">
        <w:rPr>
          <w:rFonts w:asciiTheme="minorBidi" w:eastAsiaTheme="minorHAnsi" w:hAnsiTheme="minorBidi" w:cstheme="minorBidi"/>
          <w:lang w:bidi="ar-EG"/>
        </w:rPr>
        <w:t xml:space="preserve"> The </w:t>
      </w:r>
      <w:proofErr w:type="spellStart"/>
      <w:r w:rsidR="003920D1">
        <w:rPr>
          <w:rFonts w:asciiTheme="minorBidi" w:eastAsiaTheme="minorHAnsi" w:hAnsiTheme="minorBidi" w:cstheme="minorBidi"/>
          <w:lang w:bidi="ar-EG"/>
        </w:rPr>
        <w:t>subchronic</w:t>
      </w:r>
      <w:proofErr w:type="spellEnd"/>
      <w:r w:rsidR="003920D1">
        <w:rPr>
          <w:rFonts w:asciiTheme="minorBidi" w:eastAsiaTheme="minorHAnsi" w:hAnsiTheme="minorBidi" w:cstheme="minorBidi"/>
          <w:lang w:bidi="ar-EG"/>
        </w:rPr>
        <w:t xml:space="preserve"> toxic effects of plant growth promoters in rat. Ankara University </w:t>
      </w:r>
      <w:proofErr w:type="spellStart"/>
      <w:r w:rsidR="003920D1">
        <w:rPr>
          <w:rFonts w:asciiTheme="minorBidi" w:eastAsiaTheme="minorHAnsi" w:hAnsiTheme="minorBidi" w:cstheme="minorBidi"/>
          <w:lang w:bidi="ar-EG"/>
        </w:rPr>
        <w:t>Veteriner</w:t>
      </w:r>
      <w:proofErr w:type="spellEnd"/>
      <w:r w:rsidR="003920D1">
        <w:rPr>
          <w:rFonts w:asciiTheme="minorBidi" w:eastAsiaTheme="minorHAnsi" w:hAnsiTheme="minorBidi" w:cstheme="minorBidi"/>
          <w:lang w:bidi="ar-EG"/>
        </w:rPr>
        <w:t xml:space="preserve"> </w:t>
      </w:r>
      <w:proofErr w:type="spellStart"/>
      <w:r w:rsidR="003920D1">
        <w:rPr>
          <w:rFonts w:asciiTheme="minorBidi" w:eastAsiaTheme="minorHAnsi" w:hAnsiTheme="minorBidi" w:cstheme="minorBidi"/>
          <w:lang w:bidi="ar-EG"/>
        </w:rPr>
        <w:t>Fakültesi</w:t>
      </w:r>
      <w:proofErr w:type="spellEnd"/>
      <w:r w:rsidR="003920D1">
        <w:rPr>
          <w:rFonts w:asciiTheme="minorBidi" w:eastAsiaTheme="minorHAnsi" w:hAnsiTheme="minorBidi" w:cstheme="minorBidi"/>
          <w:lang w:bidi="ar-EG"/>
        </w:rPr>
        <w:t xml:space="preserve"> </w:t>
      </w:r>
      <w:proofErr w:type="spellStart"/>
      <w:r w:rsidR="003920D1">
        <w:rPr>
          <w:rFonts w:asciiTheme="minorBidi" w:eastAsiaTheme="minorHAnsi" w:hAnsiTheme="minorBidi" w:cstheme="minorBidi"/>
          <w:lang w:bidi="ar-EG"/>
        </w:rPr>
        <w:t>dergisi</w:t>
      </w:r>
      <w:proofErr w:type="spellEnd"/>
      <w:r w:rsidR="003920D1">
        <w:rPr>
          <w:rFonts w:asciiTheme="minorBidi" w:eastAsiaTheme="minorHAnsi" w:hAnsiTheme="minorBidi" w:cstheme="minorBidi"/>
          <w:lang w:bidi="ar-EG"/>
        </w:rPr>
        <w:t xml:space="preserve">, 55: 17-21. </w:t>
      </w:r>
    </w:p>
    <w:p w14:paraId="7E62CFA6" w14:textId="77777777" w:rsidR="003920D1" w:rsidRDefault="003920D1" w:rsidP="002F3B3E">
      <w:pPr>
        <w:spacing w:line="360" w:lineRule="auto"/>
        <w:ind w:left="284" w:hanging="284"/>
        <w:jc w:val="both"/>
        <w:rPr>
          <w:rFonts w:asciiTheme="minorBidi" w:eastAsiaTheme="minorHAnsi" w:hAnsiTheme="minorBidi" w:cstheme="minorBidi"/>
          <w:lang w:bidi="ar-EG"/>
        </w:rPr>
      </w:pPr>
      <w:proofErr w:type="spellStart"/>
      <w:r>
        <w:rPr>
          <w:rFonts w:asciiTheme="minorBidi" w:hAnsiTheme="minorBidi" w:cstheme="minorBidi"/>
        </w:rPr>
        <w:t>Esterbauer</w:t>
      </w:r>
      <w:proofErr w:type="spellEnd"/>
      <w:r>
        <w:rPr>
          <w:rFonts w:asciiTheme="minorBidi" w:hAnsiTheme="minorBidi" w:cstheme="minorBidi"/>
        </w:rPr>
        <w:t xml:space="preserve"> H, Cheeseman KH. (1990)</w:t>
      </w:r>
      <w:r w:rsidR="005B0B41">
        <w:rPr>
          <w:rFonts w:asciiTheme="minorBidi" w:hAnsiTheme="minorBidi" w:cstheme="minorBidi"/>
        </w:rPr>
        <w:t>.</w:t>
      </w:r>
      <w:r>
        <w:rPr>
          <w:rFonts w:asciiTheme="minorBidi" w:hAnsiTheme="minorBidi" w:cstheme="minorBidi"/>
        </w:rPr>
        <w:t xml:space="preserve"> Determination of aldehydic lipid peroxidation products: malonaldehyde and 4-hydroxynonenal. In Methods in enzymology 1990 Jan 1 (Vol. 186, pp. 407-421). Academic Press.</w:t>
      </w:r>
    </w:p>
    <w:p w14:paraId="2FC5208C" w14:textId="77777777" w:rsidR="00790ADA" w:rsidRPr="00FB3A86" w:rsidRDefault="00790ADA" w:rsidP="002F3B3E">
      <w:pPr>
        <w:pStyle w:val="ReferHead"/>
        <w:spacing w:after="0" w:line="360" w:lineRule="auto"/>
        <w:jc w:val="both"/>
        <w:rPr>
          <w:rFonts w:ascii="Arial" w:hAnsi="Arial" w:cs="Arial"/>
        </w:rPr>
      </w:pPr>
    </w:p>
    <w:p w14:paraId="387E5D79" w14:textId="77777777" w:rsidR="004D4277" w:rsidRPr="003920D1" w:rsidRDefault="004D4277" w:rsidP="003920D1">
      <w:pPr>
        <w:pStyle w:val="Body"/>
        <w:spacing w:after="0"/>
        <w:rPr>
          <w:rFonts w:ascii="Arial" w:hAnsi="Arial" w:cs="Arial"/>
        </w:rPr>
        <w:sectPr w:rsidR="004D4277" w:rsidRPr="003920D1" w:rsidSect="002C43A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bookmarkStart w:id="0" w:name="_GoBack"/>
      <w:bookmarkEnd w:id="0"/>
    </w:p>
    <w:p w14:paraId="62D4B0CA" w14:textId="77777777" w:rsidR="00B01FCD" w:rsidRPr="00FB3A86" w:rsidRDefault="00B01FCD" w:rsidP="00441B6F">
      <w:pPr>
        <w:pStyle w:val="Appendix"/>
        <w:spacing w:after="0"/>
        <w:jc w:val="both"/>
        <w:rPr>
          <w:rFonts w:ascii="Arial" w:hAnsi="Arial" w:cs="Arial"/>
          <w:b w:val="0"/>
        </w:rPr>
      </w:pPr>
    </w:p>
    <w:sectPr w:rsidR="00B01FCD" w:rsidRPr="00FB3A86" w:rsidSect="002C43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E15D3" w14:textId="77777777" w:rsidR="004C4687" w:rsidRDefault="004C4687" w:rsidP="00C37E61">
      <w:r>
        <w:separator/>
      </w:r>
    </w:p>
  </w:endnote>
  <w:endnote w:type="continuationSeparator" w:id="0">
    <w:p w14:paraId="0953A683" w14:textId="77777777" w:rsidR="004C4687" w:rsidRDefault="004C46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AdvGulliv-R">
    <w:altName w:val="Times New Roman"/>
    <w:panose1 w:val="00000000000000000000"/>
    <w:charset w:val="B2"/>
    <w:family w:val="auto"/>
    <w:notTrueType/>
    <w:pitch w:val="default"/>
    <w:sig w:usb0="00002000"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5772" w14:textId="77777777" w:rsidR="003D0F13" w:rsidRDefault="003D0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CD38" w14:textId="77777777" w:rsidR="003D0F13" w:rsidRDefault="003D0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44FB" w14:textId="37780F52" w:rsidR="00754C9A" w:rsidRPr="003D0F13" w:rsidRDefault="00754C9A" w:rsidP="003D0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E0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09BDB" w14:textId="77777777" w:rsidR="004C4687" w:rsidRDefault="004C4687" w:rsidP="00C37E61">
      <w:r>
        <w:separator/>
      </w:r>
    </w:p>
  </w:footnote>
  <w:footnote w:type="continuationSeparator" w:id="0">
    <w:p w14:paraId="7AB9E295" w14:textId="77777777" w:rsidR="004C4687" w:rsidRDefault="004C46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EF57E" w14:textId="5C51E4BA" w:rsidR="003D0F13" w:rsidRDefault="003D0F13">
    <w:pPr>
      <w:pStyle w:val="Header"/>
    </w:pPr>
    <w:r>
      <w:rPr>
        <w:noProof/>
      </w:rPr>
      <w:pict w14:anchorId="52212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86E8" w14:textId="6893E788" w:rsidR="003D0F13" w:rsidRDefault="003D0F13">
    <w:pPr>
      <w:pStyle w:val="Header"/>
    </w:pPr>
    <w:r>
      <w:rPr>
        <w:noProof/>
      </w:rPr>
      <w:pict w14:anchorId="69832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180F" w14:textId="53BE45D6" w:rsidR="00296529" w:rsidRPr="00296529" w:rsidRDefault="003D0F13" w:rsidP="00296529">
    <w:pPr>
      <w:ind w:left="2160"/>
      <w:jc w:val="center"/>
      <w:rPr>
        <w:rFonts w:ascii="Times New Roman" w:eastAsia="Calibri" w:hAnsi="Times New Roman"/>
        <w:i/>
        <w:sz w:val="18"/>
        <w:szCs w:val="22"/>
      </w:rPr>
    </w:pPr>
    <w:r>
      <w:rPr>
        <w:noProof/>
      </w:rPr>
      <w:pict w14:anchorId="40714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F4B4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BB27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E142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B083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C40D2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384F6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C46E" w14:textId="2A8586E3" w:rsidR="003D0F13" w:rsidRDefault="003D0F13">
    <w:pPr>
      <w:pStyle w:val="Header"/>
    </w:pPr>
    <w:r>
      <w:rPr>
        <w:noProof/>
      </w:rPr>
      <w:pict w14:anchorId="2A697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B91C" w14:textId="296F2180" w:rsidR="003D0F13" w:rsidRDefault="003D0F13">
    <w:pPr>
      <w:pStyle w:val="Header"/>
    </w:pPr>
    <w:r>
      <w:rPr>
        <w:noProof/>
      </w:rPr>
      <w:pict w14:anchorId="1C209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D48E" w14:textId="19CC061B" w:rsidR="003D0F13" w:rsidRDefault="003D0F13">
    <w:pPr>
      <w:pStyle w:val="Header"/>
    </w:pPr>
    <w:r>
      <w:rPr>
        <w:noProof/>
      </w:rPr>
      <w:pict w14:anchorId="78957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DFA"/>
    <w:rsid w:val="00030174"/>
    <w:rsid w:val="00032BD0"/>
    <w:rsid w:val="0004579C"/>
    <w:rsid w:val="00050CEC"/>
    <w:rsid w:val="000753F5"/>
    <w:rsid w:val="000A47FA"/>
    <w:rsid w:val="000A65D3"/>
    <w:rsid w:val="000B1E33"/>
    <w:rsid w:val="000D689F"/>
    <w:rsid w:val="000E4A72"/>
    <w:rsid w:val="000E7B7B"/>
    <w:rsid w:val="000E7D62"/>
    <w:rsid w:val="00103357"/>
    <w:rsid w:val="00123C9F"/>
    <w:rsid w:val="00126190"/>
    <w:rsid w:val="00130F17"/>
    <w:rsid w:val="001320BF"/>
    <w:rsid w:val="00141E66"/>
    <w:rsid w:val="0014684F"/>
    <w:rsid w:val="0015038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3A5"/>
    <w:rsid w:val="002C57D2"/>
    <w:rsid w:val="002E0D56"/>
    <w:rsid w:val="002F3B3E"/>
    <w:rsid w:val="00315186"/>
    <w:rsid w:val="0033343E"/>
    <w:rsid w:val="003512C2"/>
    <w:rsid w:val="00371FB6"/>
    <w:rsid w:val="003763C1"/>
    <w:rsid w:val="00376BBE"/>
    <w:rsid w:val="003920D1"/>
    <w:rsid w:val="0039224F"/>
    <w:rsid w:val="003A43A4"/>
    <w:rsid w:val="003A7E18"/>
    <w:rsid w:val="003C4C86"/>
    <w:rsid w:val="003C6258"/>
    <w:rsid w:val="003D0F13"/>
    <w:rsid w:val="003D1024"/>
    <w:rsid w:val="003E2904"/>
    <w:rsid w:val="00401927"/>
    <w:rsid w:val="0041027F"/>
    <w:rsid w:val="00412475"/>
    <w:rsid w:val="00416E49"/>
    <w:rsid w:val="00423789"/>
    <w:rsid w:val="00440F43"/>
    <w:rsid w:val="00441B6F"/>
    <w:rsid w:val="00446221"/>
    <w:rsid w:val="00450E62"/>
    <w:rsid w:val="004539DB"/>
    <w:rsid w:val="00467304"/>
    <w:rsid w:val="00471A80"/>
    <w:rsid w:val="004C4687"/>
    <w:rsid w:val="004D305E"/>
    <w:rsid w:val="004D4277"/>
    <w:rsid w:val="004D4790"/>
    <w:rsid w:val="004F66C7"/>
    <w:rsid w:val="00502516"/>
    <w:rsid w:val="00505F06"/>
    <w:rsid w:val="00506828"/>
    <w:rsid w:val="0053056E"/>
    <w:rsid w:val="00554FDA"/>
    <w:rsid w:val="0057171F"/>
    <w:rsid w:val="005A4617"/>
    <w:rsid w:val="005B0B41"/>
    <w:rsid w:val="005C784C"/>
    <w:rsid w:val="005D17F6"/>
    <w:rsid w:val="005E5539"/>
    <w:rsid w:val="00602BF5"/>
    <w:rsid w:val="00617FDD"/>
    <w:rsid w:val="006326A9"/>
    <w:rsid w:val="00633614"/>
    <w:rsid w:val="00633F68"/>
    <w:rsid w:val="00636EB2"/>
    <w:rsid w:val="006375B8"/>
    <w:rsid w:val="0066510A"/>
    <w:rsid w:val="00673F9F"/>
    <w:rsid w:val="00684A0A"/>
    <w:rsid w:val="00686953"/>
    <w:rsid w:val="0068740D"/>
    <w:rsid w:val="00687DEA"/>
    <w:rsid w:val="00687E67"/>
    <w:rsid w:val="006967F7"/>
    <w:rsid w:val="006A250C"/>
    <w:rsid w:val="006B21D3"/>
    <w:rsid w:val="006B57D0"/>
    <w:rsid w:val="006D30FF"/>
    <w:rsid w:val="006D6940"/>
    <w:rsid w:val="006D7F93"/>
    <w:rsid w:val="006F11EC"/>
    <w:rsid w:val="0070082C"/>
    <w:rsid w:val="00704305"/>
    <w:rsid w:val="007369E6"/>
    <w:rsid w:val="007430CA"/>
    <w:rsid w:val="00746E59"/>
    <w:rsid w:val="00754C9A"/>
    <w:rsid w:val="0075599A"/>
    <w:rsid w:val="00761D52"/>
    <w:rsid w:val="0077749E"/>
    <w:rsid w:val="00787EC1"/>
    <w:rsid w:val="00790ADA"/>
    <w:rsid w:val="007B58CE"/>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1A2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5B4"/>
    <w:rsid w:val="00A24E7E"/>
    <w:rsid w:val="00A258C3"/>
    <w:rsid w:val="00A347C0"/>
    <w:rsid w:val="00A37B6F"/>
    <w:rsid w:val="00A51431"/>
    <w:rsid w:val="00A539AD"/>
    <w:rsid w:val="00A94063"/>
    <w:rsid w:val="00AA6219"/>
    <w:rsid w:val="00AA74E0"/>
    <w:rsid w:val="00AB703F"/>
    <w:rsid w:val="00AC6BB8"/>
    <w:rsid w:val="00AE008F"/>
    <w:rsid w:val="00B01FCD"/>
    <w:rsid w:val="00B1776C"/>
    <w:rsid w:val="00B52583"/>
    <w:rsid w:val="00B52896"/>
    <w:rsid w:val="00B857D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0F35"/>
    <w:rsid w:val="00C70F1B"/>
    <w:rsid w:val="00C71A47"/>
    <w:rsid w:val="00C7464C"/>
    <w:rsid w:val="00C85588"/>
    <w:rsid w:val="00CB060F"/>
    <w:rsid w:val="00CD6755"/>
    <w:rsid w:val="00CD6856"/>
    <w:rsid w:val="00CE0089"/>
    <w:rsid w:val="00CE793C"/>
    <w:rsid w:val="00CF193C"/>
    <w:rsid w:val="00D173F1"/>
    <w:rsid w:val="00D201BB"/>
    <w:rsid w:val="00D74CB0"/>
    <w:rsid w:val="00D8295D"/>
    <w:rsid w:val="00D83D03"/>
    <w:rsid w:val="00DA34EE"/>
    <w:rsid w:val="00DC2A65"/>
    <w:rsid w:val="00DE15F0"/>
    <w:rsid w:val="00DE5663"/>
    <w:rsid w:val="00DE78AA"/>
    <w:rsid w:val="00E02901"/>
    <w:rsid w:val="00E053D0"/>
    <w:rsid w:val="00E15275"/>
    <w:rsid w:val="00E15994"/>
    <w:rsid w:val="00E3114E"/>
    <w:rsid w:val="00E31A70"/>
    <w:rsid w:val="00E35942"/>
    <w:rsid w:val="00E35B02"/>
    <w:rsid w:val="00E66496"/>
    <w:rsid w:val="00E66B35"/>
    <w:rsid w:val="00E66E10"/>
    <w:rsid w:val="00E769F6"/>
    <w:rsid w:val="00E8407C"/>
    <w:rsid w:val="00E84F3C"/>
    <w:rsid w:val="00EA012C"/>
    <w:rsid w:val="00EC59E9"/>
    <w:rsid w:val="00EC6A55"/>
    <w:rsid w:val="00ED0288"/>
    <w:rsid w:val="00EE52CB"/>
    <w:rsid w:val="00EF581D"/>
    <w:rsid w:val="00EF7FD8"/>
    <w:rsid w:val="00F06F59"/>
    <w:rsid w:val="00F16802"/>
    <w:rsid w:val="00F17988"/>
    <w:rsid w:val="00F469F0"/>
    <w:rsid w:val="00F53273"/>
    <w:rsid w:val="00F70C90"/>
    <w:rsid w:val="00F755E4"/>
    <w:rsid w:val="00F77D02"/>
    <w:rsid w:val="00FA037F"/>
    <w:rsid w:val="00FB0B2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82C6C8"/>
  <w15:docId w15:val="{1F9DA445-7BA8-4F20-9F15-053D1210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gkelc">
    <w:name w:val="hgkelc"/>
    <w:rsid w:val="006326A9"/>
  </w:style>
  <w:style w:type="paragraph" w:styleId="NormalWeb">
    <w:name w:val="Normal (Web)"/>
    <w:basedOn w:val="Normal"/>
    <w:uiPriority w:val="99"/>
    <w:semiHidden/>
    <w:unhideWhenUsed/>
    <w:rsid w:val="00032BD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A4617"/>
    <w:rPr>
      <w:b/>
      <w:bCs/>
    </w:rPr>
  </w:style>
  <w:style w:type="character" w:customStyle="1" w:styleId="nlmarticle-title">
    <w:name w:val="nlm_article-title"/>
    <w:basedOn w:val="DefaultParagraphFont"/>
    <w:rsid w:val="003920D1"/>
  </w:style>
  <w:style w:type="character" w:customStyle="1" w:styleId="nlmyear">
    <w:name w:val="nlm_year"/>
    <w:basedOn w:val="DefaultParagraphFont"/>
    <w:rsid w:val="003920D1"/>
  </w:style>
  <w:style w:type="character" w:customStyle="1" w:styleId="nlmfpage">
    <w:name w:val="nlm_fpage"/>
    <w:basedOn w:val="DefaultParagraphFont"/>
    <w:rsid w:val="003920D1"/>
  </w:style>
  <w:style w:type="character" w:customStyle="1" w:styleId="reflink-block">
    <w:name w:val="reflink-block"/>
    <w:basedOn w:val="DefaultParagraphFont"/>
    <w:rsid w:val="003920D1"/>
  </w:style>
  <w:style w:type="character" w:customStyle="1" w:styleId="nlmlpage">
    <w:name w:val="nlm_lpage"/>
    <w:basedOn w:val="DefaultParagraphFont"/>
    <w:rsid w:val="0039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78073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8977659">
      <w:bodyDiv w:val="1"/>
      <w:marLeft w:val="0"/>
      <w:marRight w:val="0"/>
      <w:marTop w:val="0"/>
      <w:marBottom w:val="0"/>
      <w:divBdr>
        <w:top w:val="none" w:sz="0" w:space="0" w:color="auto"/>
        <w:left w:val="none" w:sz="0" w:space="0" w:color="auto"/>
        <w:bottom w:val="none" w:sz="0" w:space="0" w:color="auto"/>
        <w:right w:val="none" w:sz="0" w:space="0" w:color="auto"/>
      </w:divBdr>
    </w:div>
    <w:div w:id="9170615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20022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9661102">
      <w:bodyDiv w:val="1"/>
      <w:marLeft w:val="0"/>
      <w:marRight w:val="0"/>
      <w:marTop w:val="0"/>
      <w:marBottom w:val="0"/>
      <w:divBdr>
        <w:top w:val="none" w:sz="0" w:space="0" w:color="auto"/>
        <w:left w:val="none" w:sz="0" w:space="0" w:color="auto"/>
        <w:bottom w:val="none" w:sz="0" w:space="0" w:color="auto"/>
        <w:right w:val="none" w:sz="0" w:space="0" w:color="auto"/>
      </w:divBdr>
    </w:div>
    <w:div w:id="191720143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491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0FDB6-F5C0-4C9A-82CB-0DBAE03D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3319</Words>
  <Characters>18920</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Template</vt:lpstr>
      <vt:lpstr>Plant Growth Regulators Ethephon-Induced Oxidative Stress and Its Impact on Live</vt:lpstr>
      <vt:lpstr>        2.3. Experimental design and sample collection</vt:lpstr>
    </vt:vector>
  </TitlesOfParts>
  <Company>aaaa</Company>
  <LinksUpToDate>false</LinksUpToDate>
  <CharactersWithSpaces>22195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13</cp:revision>
  <cp:lastPrinted>1999-07-06T11:00:00Z</cp:lastPrinted>
  <dcterms:created xsi:type="dcterms:W3CDTF">2026-03-22T13:24:00Z</dcterms:created>
  <dcterms:modified xsi:type="dcterms:W3CDTF">2026-03-23T11:18:00Z</dcterms:modified>
</cp:coreProperties>
</file>