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F988681" w14:textId="03EC4A70" w:rsidR="00C23E09" w:rsidRDefault="00C23E09" w:rsidP="003A775B">
      <w:pPr>
        <w:spacing w:line="240" w:lineRule="auto"/>
        <w:jc w:val="center"/>
        <w:rPr>
          <w:rFonts w:ascii="Times New Roman" w:eastAsia="Times New Roman" w:hAnsi="Times New Roman" w:cs="Times New Roman"/>
          <w:b/>
          <w:bCs/>
          <w:sz w:val="24"/>
          <w:szCs w:val="24"/>
        </w:rPr>
      </w:pPr>
      <w:r w:rsidRPr="00C23E09">
        <w:rPr>
          <w:rFonts w:ascii="Times New Roman" w:eastAsia="Times New Roman" w:hAnsi="Times New Roman" w:cs="Times New Roman"/>
          <w:b/>
          <w:bCs/>
          <w:sz w:val="24"/>
          <w:szCs w:val="24"/>
        </w:rPr>
        <w:t>Self-Medication: Perceived Severity and Practices Among Old Adults in a Selected Municipality in Iloilo</w:t>
      </w:r>
    </w:p>
    <w:p w14:paraId="289ACAAD" w14:textId="77777777" w:rsidR="00C23E09" w:rsidRDefault="00C23E09" w:rsidP="003A775B">
      <w:pPr>
        <w:spacing w:line="240" w:lineRule="auto"/>
        <w:jc w:val="center"/>
        <w:rPr>
          <w:rFonts w:ascii="Times New Roman" w:eastAsia="Times New Roman" w:hAnsi="Times New Roman" w:cs="Times New Roman"/>
          <w:b/>
          <w:bCs/>
          <w:sz w:val="24"/>
          <w:szCs w:val="24"/>
        </w:rPr>
      </w:pPr>
    </w:p>
    <w:p w14:paraId="58496FA3" w14:textId="77777777" w:rsidR="001E4AAC" w:rsidRDefault="001E4AAC" w:rsidP="003A775B">
      <w:pPr>
        <w:spacing w:line="240" w:lineRule="auto"/>
        <w:jc w:val="center"/>
        <w:rPr>
          <w:rFonts w:ascii="Times New Roman" w:eastAsia="Times New Roman" w:hAnsi="Times New Roman" w:cs="Times New Roman"/>
          <w:b/>
          <w:bCs/>
          <w:sz w:val="24"/>
          <w:szCs w:val="24"/>
        </w:rPr>
      </w:pPr>
      <w:bookmarkStart w:id="0" w:name="_GoBack"/>
      <w:bookmarkEnd w:id="0"/>
    </w:p>
    <w:p w14:paraId="5B376BD1" w14:textId="77777777" w:rsidR="001E4AAC" w:rsidRDefault="001E4AAC" w:rsidP="003A775B">
      <w:pPr>
        <w:spacing w:line="240" w:lineRule="auto"/>
        <w:jc w:val="center"/>
        <w:rPr>
          <w:rFonts w:ascii="Times New Roman" w:eastAsia="Times New Roman" w:hAnsi="Times New Roman" w:cs="Times New Roman"/>
          <w:b/>
          <w:bCs/>
          <w:sz w:val="24"/>
          <w:szCs w:val="24"/>
        </w:rPr>
      </w:pPr>
    </w:p>
    <w:p w14:paraId="659E386F" w14:textId="77777777" w:rsidR="001E4AAC" w:rsidRDefault="001E4AAC" w:rsidP="003A775B">
      <w:pPr>
        <w:spacing w:line="240" w:lineRule="auto"/>
        <w:jc w:val="center"/>
        <w:rPr>
          <w:rFonts w:ascii="Times New Roman" w:eastAsia="Times New Roman" w:hAnsi="Times New Roman" w:cs="Times New Roman"/>
          <w:b/>
          <w:bCs/>
          <w:sz w:val="24"/>
          <w:szCs w:val="24"/>
        </w:rPr>
      </w:pPr>
    </w:p>
    <w:p w14:paraId="5F468084" w14:textId="77777777" w:rsidR="001E4AAC" w:rsidRDefault="001E4AAC" w:rsidP="003A775B">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2EBD314E" w14:textId="77777777" w:rsidR="001E4AAC" w:rsidRDefault="001E4AAC"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Self-medication remains to be a major challenge in the healthcare setting and often considered as self-care for most adults. These old adults often turn to self-medication to cope with the combined effects of several factors including physiologic and cognitive factors. This study aimed to determine the relationship between perceived severity and self-medication practices of old adults in a selected municipality in Iloilo. A quantitative descriptive-correlational design with survey approach as an instrument to gather data was utilized involving 186 old adults. This study underwent an ethical review process before collecting any data and was granted an ethical clearance. Findings revealed that the level of perceived severity of self-medication among the respondents was high, indicating that they are aware of the potential risks and serious effects associated with self-medication. In contrast, the level of self-medication practices was low, which suggests that old adults in this study generally do not engage in such behaviors.  In conclusion, these findings indicate that perceived severity plays an important role in influencing self-medication practices, which means that the greater awareness of the consequences, the lower the engagement in self-medication among the old adults. These findings highlighted the importance of enhancing the healthcare system towards utilization of self-medication which will be of great benefit to the elderly population. It is recommended that providers develop accessible health education campaigns focused on risks and consequences involving self-medication and expand the scope to include diverse geographical locations and larger populations.</w:t>
      </w:r>
    </w:p>
    <w:p w14:paraId="2B193FA6" w14:textId="77777777" w:rsidR="001E4AAC" w:rsidRDefault="001E4AAC" w:rsidP="003A775B">
      <w:pPr>
        <w:spacing w:line="240" w:lineRule="auto"/>
        <w:ind w:firstLine="720"/>
        <w:rPr>
          <w:rFonts w:ascii="Times New Roman" w:eastAsia="Times New Roman" w:hAnsi="Times New Roman" w:cs="Times New Roman"/>
          <w:sz w:val="24"/>
          <w:szCs w:val="24"/>
        </w:rPr>
      </w:pPr>
    </w:p>
    <w:p w14:paraId="02AB93A2" w14:textId="77777777" w:rsidR="001E4AAC" w:rsidRDefault="001E4AAC" w:rsidP="003A775B">
      <w:pPr>
        <w:spacing w:line="240" w:lineRule="auto"/>
        <w:rPr>
          <w:rFonts w:ascii="Times New Roman" w:eastAsia="Times New Roman" w:hAnsi="Times New Roman" w:cs="Times New Roman"/>
          <w:sz w:val="24"/>
          <w:szCs w:val="24"/>
        </w:rPr>
        <w:sectPr w:rsidR="001E4AAC" w:rsidSect="001E4AAC">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2160" w:header="720" w:footer="720" w:gutter="0"/>
          <w:cols w:space="720"/>
        </w:sectPr>
      </w:pPr>
      <w:r>
        <w:rPr>
          <w:rFonts w:ascii="Times New Roman" w:eastAsia="Times New Roman" w:hAnsi="Times New Roman" w:cs="Times New Roman"/>
          <w:sz w:val="24"/>
          <w:szCs w:val="24"/>
        </w:rPr>
        <w:t>Keywords: Self-medication, Self-medication practices, Old adults</w:t>
      </w:r>
    </w:p>
    <w:p w14:paraId="3943F895" w14:textId="77777777" w:rsidR="001E4AAC" w:rsidRDefault="001E4AAC" w:rsidP="003A775B">
      <w:pPr>
        <w:spacing w:line="240" w:lineRule="auto"/>
        <w:jc w:val="center"/>
        <w:rPr>
          <w:rFonts w:ascii="Times New Roman" w:eastAsia="Times New Roman" w:hAnsi="Times New Roman" w:cs="Times New Roman"/>
          <w:b/>
          <w:bCs/>
          <w:sz w:val="24"/>
          <w:szCs w:val="24"/>
        </w:rPr>
      </w:pPr>
    </w:p>
    <w:p w14:paraId="25FAD55F" w14:textId="77777777" w:rsidR="00C23E09" w:rsidRDefault="00C23E09" w:rsidP="003A775B">
      <w:pPr>
        <w:spacing w:line="240" w:lineRule="auto"/>
        <w:jc w:val="center"/>
        <w:rPr>
          <w:rFonts w:ascii="Times New Roman" w:eastAsia="Times New Roman" w:hAnsi="Times New Roman" w:cs="Times New Roman"/>
          <w:b/>
          <w:bCs/>
          <w:sz w:val="24"/>
          <w:szCs w:val="24"/>
        </w:rPr>
      </w:pPr>
    </w:p>
    <w:p w14:paraId="17295DA8" w14:textId="65584B4E" w:rsidR="004204FF" w:rsidRDefault="004E35BA" w:rsidP="003A775B">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28FAC5D5"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Background of the Study</w:t>
      </w:r>
    </w:p>
    <w:p w14:paraId="37844104"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Aging is experienced by every living organism that is considered as a natural biological process. In the Philippine setting, the old adults are considered to be the most vulnerable group in the society.  The elderly people often turn to medication as a form of self-care to cope with the combined effects of their cognitive and physiologic factors. Most elderly tend to use over-the-counter (OTC) medications as their primary source of medicine due to several factors such as financial constraints, limited access to healthcare facilities, and even the influence of their belief. People may self-medicate due to socioeconomic factors like lifestyle, drug availability, or financial hardship. Individuals who cannot afford the cost of a doctor's visit or clinical services can self-medicate because it is a less expensive option (Waqar, et al., 2023). Factors like incorrect dosage, missed diagnosis, inappropriate treatment, adverse drug effects, and drug-resistance can also be a leading consequence of self-medication without proper medical guidance (Rathod et al., 2023; Rashid et al., 2020). </w:t>
      </w:r>
    </w:p>
    <w:p w14:paraId="67BEF89D" w14:textId="77777777" w:rsidR="004204FF" w:rsidRDefault="004E35BA" w:rsidP="003A775B">
      <w:pPr>
        <w:spacing w:line="240" w:lineRule="auto"/>
        <w:ind w:firstLine="720"/>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sz w:val="24"/>
          <w:szCs w:val="24"/>
        </w:rPr>
        <w:t xml:space="preserve"> ‎Self-medication is the practice of taking medications without a physician’s advice that is used as treatment for a disease and it became more common in developing nations (</w:t>
      </w:r>
      <w:proofErr w:type="spellStart"/>
      <w:r>
        <w:rPr>
          <w:rFonts w:ascii="Times New Roman" w:eastAsia="Times New Roman" w:hAnsi="Times New Roman" w:cs="Times New Roman"/>
          <w:sz w:val="24"/>
          <w:szCs w:val="24"/>
        </w:rPr>
        <w:t>Thenmozhi</w:t>
      </w:r>
      <w:proofErr w:type="spellEnd"/>
      <w:r>
        <w:rPr>
          <w:rFonts w:ascii="Times New Roman" w:eastAsia="Times New Roman" w:hAnsi="Times New Roman" w:cs="Times New Roman"/>
          <w:sz w:val="24"/>
          <w:szCs w:val="24"/>
        </w:rPr>
        <w:t xml:space="preserve"> et al., 2023; </w:t>
      </w:r>
      <w:proofErr w:type="spellStart"/>
      <w:r>
        <w:rPr>
          <w:rFonts w:ascii="Times New Roman" w:eastAsia="Times New Roman" w:hAnsi="Times New Roman" w:cs="Times New Roman"/>
          <w:sz w:val="24"/>
          <w:szCs w:val="24"/>
        </w:rPr>
        <w:t>Rafati</w:t>
      </w:r>
      <w:proofErr w:type="spellEnd"/>
      <w:r>
        <w:rPr>
          <w:rFonts w:ascii="Times New Roman" w:eastAsia="Times New Roman" w:hAnsi="Times New Roman" w:cs="Times New Roman"/>
          <w:sz w:val="24"/>
          <w:szCs w:val="24"/>
        </w:rPr>
        <w:t xml:space="preserve"> et al., 2023). The Universal Healthcare Movement and Sustainable Development Goals reinforced an internationally recognized global goal of achieving healthcare access for all (Dawkins et al., 2021).  Along with this, it is emphasized in the Sustainable Development Goals (SDG) as the number three goal to ensure good health and well-being for all at all ages. Specifically, goal 3.8 includes access to quality essential health-care services and access to safe, effective, quality and affordable essential medicines for all (COA, 2025). Moreover, access to essential healthcare remained to be a major problem worldwide (UN, 2023). This led to the vulnerable people like old adults to self-medicate. However, these benefits were known to be completely unsafe practices especially for old adults who have already decreased physiologic functions (</w:t>
      </w:r>
      <w:proofErr w:type="spellStart"/>
      <w:r>
        <w:rPr>
          <w:rFonts w:ascii="Times New Roman" w:eastAsia="Times New Roman" w:hAnsi="Times New Roman" w:cs="Times New Roman"/>
          <w:sz w:val="24"/>
          <w:szCs w:val="24"/>
        </w:rPr>
        <w:t>Thenmozhi</w:t>
      </w:r>
      <w:proofErr w:type="spellEnd"/>
      <w:r>
        <w:rPr>
          <w:rFonts w:ascii="Times New Roman" w:eastAsia="Times New Roman" w:hAnsi="Times New Roman" w:cs="Times New Roman"/>
          <w:sz w:val="24"/>
          <w:szCs w:val="24"/>
        </w:rPr>
        <w:t xml:space="preserve"> et al., 2023). These decreased functions involve absorption, distribution, metabolism, and elimination that affects the physical functional system of old adults (</w:t>
      </w:r>
      <w:proofErr w:type="spellStart"/>
      <w:r>
        <w:rPr>
          <w:rFonts w:ascii="Times New Roman" w:eastAsia="Times New Roman" w:hAnsi="Times New Roman" w:cs="Times New Roman"/>
          <w:sz w:val="24"/>
          <w:szCs w:val="24"/>
        </w:rPr>
        <w:t>Brand</w:t>
      </w:r>
      <w:r>
        <w:rPr>
          <w:rFonts w:ascii="Times New Roman" w:eastAsia="Times New Roman" w:hAnsi="Times New Roman" w:cs="Times New Roman"/>
          <w:color w:val="0A0A0A"/>
          <w:sz w:val="24"/>
          <w:szCs w:val="24"/>
          <w:highlight w:val="white"/>
        </w:rPr>
        <w:t>ão</w:t>
      </w:r>
      <w:proofErr w:type="spellEnd"/>
      <w:r>
        <w:rPr>
          <w:rFonts w:ascii="Times New Roman" w:eastAsia="Times New Roman" w:hAnsi="Times New Roman" w:cs="Times New Roman"/>
          <w:color w:val="0A0A0A"/>
          <w:sz w:val="24"/>
          <w:szCs w:val="24"/>
          <w:highlight w:val="white"/>
        </w:rPr>
        <w:t>, et al., 2020).</w:t>
      </w:r>
    </w:p>
    <w:p w14:paraId="245487C9"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there is also a most common factor in relation to self-medication practices of the elderly people. The old adults frequently prioritized personal beliefs when practicing self-medication. This could be a serious factor that should not be neglected. Evidence implies that the additional years of life are in poor health (WHO, 2025). A number of considerations influenced the old adults’ decision on how to manage symptoms, including perceived severity of the condition, availability and perceived effectiveness of treatment, cost, and advice from trusted sources of health information (</w:t>
      </w:r>
      <w:proofErr w:type="spellStart"/>
      <w:r>
        <w:rPr>
          <w:rFonts w:ascii="Times New Roman" w:eastAsia="Times New Roman" w:hAnsi="Times New Roman" w:cs="Times New Roman"/>
          <w:sz w:val="24"/>
          <w:szCs w:val="24"/>
        </w:rPr>
        <w:t>Loreche</w:t>
      </w:r>
      <w:proofErr w:type="spellEnd"/>
      <w:r>
        <w:rPr>
          <w:rFonts w:ascii="Times New Roman" w:eastAsia="Times New Roman" w:hAnsi="Times New Roman" w:cs="Times New Roman"/>
          <w:sz w:val="24"/>
          <w:szCs w:val="24"/>
        </w:rPr>
        <w:t xml:space="preserve"> et al., 2023). The health-related beliefs of the elderly are aligned with the Health Belief Model that was originally formulated by Rosenstock which characterizes these behaviors as primary illness behavior where it drives a person to understand his or her state of health and discover suitable remedy. </w:t>
      </w:r>
    </w:p>
    <w:p w14:paraId="59EA014F" w14:textId="77777777" w:rsidR="004204FF" w:rsidRDefault="004E35BA" w:rsidP="003A775B">
      <w:pPr>
        <w:spacing w:line="240" w:lineRule="auto"/>
        <w:ind w:firstLine="720"/>
        <w:rPr>
          <w:rFonts w:ascii="Times New Roman" w:eastAsia="Times New Roman" w:hAnsi="Times New Roman" w:cs="Times New Roman"/>
          <w:color w:val="040C28"/>
          <w:sz w:val="24"/>
          <w:szCs w:val="24"/>
          <w:highlight w:val="white"/>
        </w:rPr>
      </w:pPr>
      <w:r>
        <w:rPr>
          <w:rFonts w:ascii="Times New Roman" w:eastAsia="Times New Roman" w:hAnsi="Times New Roman" w:cs="Times New Roman"/>
          <w:sz w:val="24"/>
          <w:szCs w:val="24"/>
        </w:rPr>
        <w:t xml:space="preserve">Self-medication, while sometimes perceived as a convenient solution for minor ailments, carries potential risks for people who consume it continuously. Moreover, current trends show that unsafe practices of self-medication are evolving and potentially </w:t>
      </w:r>
      <w:r>
        <w:rPr>
          <w:rFonts w:ascii="Times New Roman" w:eastAsia="Times New Roman" w:hAnsi="Times New Roman" w:cs="Times New Roman"/>
          <w:sz w:val="24"/>
          <w:szCs w:val="24"/>
        </w:rPr>
        <w:lastRenderedPageBreak/>
        <w:t>causing a higher risk among old adults. These practices revolve on availability of medication, previous experience on the disease and medication, and saving time or money (Alfonso et al., 2020). Meanwhile, existing research has explored the prevalence of self-medication practices across the population, but there remains a critical gap in understanding about their perceptions about the severity and potential risks that came along with self-medication practices and how these perceptions influenced their self-medication behaviors that has not been fully examined. Different studies make it difficult to address this problem from a theoretical perspective (Baracaldo-</w:t>
      </w:r>
      <w:proofErr w:type="spellStart"/>
      <w:r>
        <w:rPr>
          <w:rFonts w:ascii="Times New Roman" w:eastAsia="Times New Roman" w:hAnsi="Times New Roman" w:cs="Times New Roman"/>
          <w:sz w:val="24"/>
          <w:szCs w:val="24"/>
        </w:rPr>
        <w:t>Santamar</w:t>
      </w:r>
      <w:r>
        <w:rPr>
          <w:rFonts w:ascii="Times New Roman" w:eastAsia="Times New Roman" w:hAnsi="Times New Roman" w:cs="Times New Roman"/>
          <w:color w:val="040C28"/>
          <w:sz w:val="24"/>
          <w:szCs w:val="24"/>
          <w:highlight w:val="white"/>
        </w:rPr>
        <w:t>ía</w:t>
      </w:r>
      <w:proofErr w:type="spellEnd"/>
      <w:r>
        <w:rPr>
          <w:rFonts w:ascii="Times New Roman" w:eastAsia="Times New Roman" w:hAnsi="Times New Roman" w:cs="Times New Roman"/>
          <w:color w:val="040C28"/>
          <w:sz w:val="24"/>
          <w:szCs w:val="24"/>
          <w:highlight w:val="white"/>
        </w:rPr>
        <w:t xml:space="preserve"> et al., 2022). </w:t>
      </w:r>
    </w:p>
    <w:p w14:paraId="014124FF" w14:textId="77777777" w:rsidR="004204FF" w:rsidRDefault="004E35BA" w:rsidP="003A775B">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color w:val="040C28"/>
          <w:sz w:val="24"/>
          <w:szCs w:val="24"/>
          <w:highlight w:val="white"/>
        </w:rPr>
        <w:t xml:space="preserve">Furthermore, the selected municipality in Iloilo was known to be one of those </w:t>
      </w:r>
      <w:r>
        <w:rPr>
          <w:rFonts w:ascii="Times New Roman" w:eastAsia="Times New Roman" w:hAnsi="Times New Roman" w:cs="Times New Roman"/>
          <w:sz w:val="24"/>
          <w:szCs w:val="24"/>
        </w:rPr>
        <w:t xml:space="preserve">vulnerable groups of old adults to practice self-medication due to the limited time of the healthcare professionals to make scheduled visits in the community and conduct random general check-ups. This led to old adults residing in this selected municipality to practice </w:t>
      </w:r>
    </w:p>
    <w:p w14:paraId="3B34F054" w14:textId="77777777" w:rsidR="004204FF" w:rsidRDefault="004E35BA" w:rsidP="003A775B">
      <w:pPr>
        <w:spacing w:line="240" w:lineRule="auto"/>
        <w:rPr>
          <w:rFonts w:ascii="Times New Roman" w:eastAsia="Times New Roman" w:hAnsi="Times New Roman" w:cs="Times New Roman"/>
          <w:color w:val="040C28"/>
          <w:sz w:val="24"/>
          <w:szCs w:val="24"/>
          <w:highlight w:val="white"/>
        </w:rPr>
      </w:pPr>
      <w:r>
        <w:rPr>
          <w:rFonts w:ascii="Times New Roman" w:eastAsia="Times New Roman" w:hAnsi="Times New Roman" w:cs="Times New Roman"/>
          <w:sz w:val="24"/>
          <w:szCs w:val="24"/>
        </w:rPr>
        <w:t>self-medication, considering that this community has several pharmacies nearby which makes it convenient</w:t>
      </w:r>
      <w:r>
        <w:rPr>
          <w:rFonts w:ascii="Times New Roman" w:eastAsia="Times New Roman" w:hAnsi="Times New Roman" w:cs="Times New Roman"/>
          <w:color w:val="040C28"/>
          <w:sz w:val="24"/>
          <w:szCs w:val="24"/>
          <w:highlight w:val="white"/>
        </w:rPr>
        <w:t xml:space="preserve"> for them to just rely on this habit. This practice became a growing public health concern that needs to be addressed to prevent the complications brought about by self-medication, especially to vulnerable individuals such as the old adults who have already altered physiologic functions. </w:t>
      </w:r>
    </w:p>
    <w:p w14:paraId="78F48800"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among the 348 old adults aged 60 years and above, listed under their community’s Senior Citizen </w:t>
      </w:r>
      <w:proofErr w:type="gramStart"/>
      <w:r>
        <w:rPr>
          <w:rFonts w:ascii="Times New Roman" w:eastAsia="Times New Roman" w:hAnsi="Times New Roman" w:cs="Times New Roman"/>
          <w:sz w:val="24"/>
          <w:szCs w:val="24"/>
        </w:rPr>
        <w:t>Chapter,  a</w:t>
      </w:r>
      <w:proofErr w:type="gramEnd"/>
      <w:r>
        <w:rPr>
          <w:rFonts w:ascii="Times New Roman" w:eastAsia="Times New Roman" w:hAnsi="Times New Roman" w:cs="Times New Roman"/>
          <w:sz w:val="24"/>
          <w:szCs w:val="24"/>
        </w:rPr>
        <w:t xml:space="preserve"> specific number of respondents was chosen by the researchers and examined as suitable individuals to be part of this study which aims to explore and determine the relationship between perceived severity and self-medication practices of old adults in a selected municipality in Iloilo.</w:t>
      </w:r>
    </w:p>
    <w:p w14:paraId="58126A39" w14:textId="77777777" w:rsidR="004204FF" w:rsidRDefault="004204FF" w:rsidP="003A775B">
      <w:pPr>
        <w:spacing w:line="240" w:lineRule="auto"/>
        <w:ind w:firstLine="720"/>
        <w:rPr>
          <w:rFonts w:ascii="Times New Roman" w:eastAsia="Times New Roman" w:hAnsi="Times New Roman" w:cs="Times New Roman"/>
          <w:sz w:val="24"/>
          <w:szCs w:val="24"/>
        </w:rPr>
      </w:pPr>
    </w:p>
    <w:p w14:paraId="55820138"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Statement of the Problem</w:t>
      </w:r>
    </w:p>
    <w:p w14:paraId="7775AC7D"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aimed to determine the relationship between perceived severity and </w:t>
      </w:r>
      <w:proofErr w:type="spellStart"/>
      <w:r>
        <w:rPr>
          <w:rFonts w:ascii="Times New Roman" w:eastAsia="Times New Roman" w:hAnsi="Times New Roman" w:cs="Times New Roman"/>
          <w:sz w:val="24"/>
          <w:szCs w:val="24"/>
        </w:rPr>
        <w:t>self medication</w:t>
      </w:r>
      <w:proofErr w:type="spellEnd"/>
      <w:r>
        <w:rPr>
          <w:rFonts w:ascii="Times New Roman" w:eastAsia="Times New Roman" w:hAnsi="Times New Roman" w:cs="Times New Roman"/>
          <w:sz w:val="24"/>
          <w:szCs w:val="24"/>
        </w:rPr>
        <w:t xml:space="preserve"> practices of old adults in a selected municipality of Iloilo.</w:t>
      </w:r>
    </w:p>
    <w:p w14:paraId="78672DDE"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Specifically, this study aims to answer the following questions: </w:t>
      </w:r>
    </w:p>
    <w:p w14:paraId="2957A499" w14:textId="77777777" w:rsidR="004204FF" w:rsidRDefault="004E35BA" w:rsidP="003A775B">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profile of the respondents in terms of:</w:t>
      </w:r>
    </w:p>
    <w:p w14:paraId="22523A4E" w14:textId="77777777" w:rsidR="004204FF" w:rsidRDefault="004E35BA" w:rsidP="003A775B">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p w14:paraId="47938911" w14:textId="77777777" w:rsidR="004204FF" w:rsidRDefault="004E35BA" w:rsidP="003A775B">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Sex</w:t>
      </w:r>
    </w:p>
    <w:p w14:paraId="01FE3D00" w14:textId="77777777" w:rsidR="004204FF" w:rsidRDefault="004E35BA" w:rsidP="003A775B">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Civil Status</w:t>
      </w:r>
    </w:p>
    <w:p w14:paraId="1176EB17" w14:textId="77777777" w:rsidR="004204FF" w:rsidRDefault="004E35BA" w:rsidP="003A775B">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Attainment</w:t>
      </w:r>
    </w:p>
    <w:p w14:paraId="1A258CC7" w14:textId="77777777" w:rsidR="004204FF" w:rsidRDefault="004E35BA" w:rsidP="003A775B">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w:t>
      </w:r>
    </w:p>
    <w:p w14:paraId="2D967A59" w14:textId="77777777" w:rsidR="004204FF" w:rsidRDefault="004E35BA" w:rsidP="003A775B">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Monthly family income</w:t>
      </w:r>
    </w:p>
    <w:p w14:paraId="00E069D3" w14:textId="77777777" w:rsidR="004204FF" w:rsidRDefault="004E35BA" w:rsidP="003A775B">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level of perceived severity of self-medication among old adults?</w:t>
      </w:r>
    </w:p>
    <w:p w14:paraId="3C486DB0" w14:textId="77777777" w:rsidR="004204FF" w:rsidRDefault="004E35BA" w:rsidP="003A775B">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level of self-medication practices among the old adults?</w:t>
      </w:r>
    </w:p>
    <w:p w14:paraId="41A4CEF5" w14:textId="77777777" w:rsidR="004204FF" w:rsidRDefault="004E35BA" w:rsidP="003A775B">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there a significant relationship between the level of perceived severity and level of self-medication practices among old adults?  </w:t>
      </w:r>
    </w:p>
    <w:p w14:paraId="6AA46006" w14:textId="77777777" w:rsidR="004204FF" w:rsidRDefault="004204FF" w:rsidP="003A775B">
      <w:pPr>
        <w:spacing w:line="240" w:lineRule="auto"/>
        <w:rPr>
          <w:rFonts w:ascii="Times New Roman" w:eastAsia="Times New Roman" w:hAnsi="Times New Roman" w:cs="Times New Roman"/>
          <w:sz w:val="24"/>
          <w:szCs w:val="24"/>
        </w:rPr>
      </w:pPr>
    </w:p>
    <w:p w14:paraId="3F04A9E9"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Hypothesis</w:t>
      </w:r>
    </w:p>
    <w:p w14:paraId="30F7206B" w14:textId="77777777" w:rsidR="004204FF" w:rsidRDefault="004E35BA" w:rsidP="003A775B">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no significant relationship between the perceived severity and self-medication practices among old adults.</w:t>
      </w:r>
    </w:p>
    <w:p w14:paraId="13A37B5F" w14:textId="77777777" w:rsidR="004204FF" w:rsidRDefault="004204FF" w:rsidP="003A775B">
      <w:pPr>
        <w:spacing w:line="240" w:lineRule="auto"/>
        <w:ind w:left="1080" w:hanging="360"/>
        <w:rPr>
          <w:rFonts w:ascii="Times New Roman" w:eastAsia="Times New Roman" w:hAnsi="Times New Roman" w:cs="Times New Roman"/>
          <w:sz w:val="24"/>
          <w:szCs w:val="24"/>
        </w:rPr>
      </w:pPr>
    </w:p>
    <w:p w14:paraId="01C09E78"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Theoretical Framework</w:t>
      </w:r>
    </w:p>
    <w:p w14:paraId="558C027C"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This study is based on the Health Belief Model (HBM) developed by Irwin M. Rosenstock and </w:t>
      </w:r>
      <w:proofErr w:type="spellStart"/>
      <w:r>
        <w:rPr>
          <w:rFonts w:ascii="Times New Roman" w:eastAsia="Times New Roman" w:hAnsi="Times New Roman" w:cs="Times New Roman"/>
          <w:sz w:val="24"/>
          <w:szCs w:val="24"/>
        </w:rPr>
        <w:t>Hochbaum</w:t>
      </w:r>
      <w:proofErr w:type="spellEnd"/>
      <w:r>
        <w:rPr>
          <w:rFonts w:ascii="Times New Roman" w:eastAsia="Times New Roman" w:hAnsi="Times New Roman" w:cs="Times New Roman"/>
          <w:sz w:val="24"/>
          <w:szCs w:val="24"/>
        </w:rPr>
        <w:t xml:space="preserve"> (1950) that was originally conceptualized to explain and help understand (preventive) health behavior (</w:t>
      </w:r>
      <w:proofErr w:type="spellStart"/>
      <w:r>
        <w:rPr>
          <w:rFonts w:ascii="Times New Roman" w:eastAsia="Times New Roman" w:hAnsi="Times New Roman" w:cs="Times New Roman"/>
          <w:sz w:val="24"/>
          <w:szCs w:val="24"/>
        </w:rPr>
        <w:t>Anees</w:t>
      </w:r>
      <w:proofErr w:type="spellEnd"/>
      <w:r>
        <w:rPr>
          <w:rFonts w:ascii="Times New Roman" w:eastAsia="Times New Roman" w:hAnsi="Times New Roman" w:cs="Times New Roman"/>
          <w:sz w:val="24"/>
          <w:szCs w:val="24"/>
        </w:rPr>
        <w:t xml:space="preserve">, 2024). This model served as a widely recognized theoretical framework for understanding and predicting health-related behaviors by looking at individuals' perceptions of risks, benefits, and barriers to action. Central to the Health Belief Model were the concepts of perceived susceptibility and perceived severity, which played a key role in shaping individuals’ decisions to engage in the prevention of their livelihood of developing a particular health condition, ranging from feelings of invulnerability to heightened awareness of personal risk. Meanwhile, perceived severity reflects an individual’s perception of how serious a disease was. </w:t>
      </w:r>
    </w:p>
    <w:p w14:paraId="77484548"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included both the medical consequences and the social </w:t>
      </w:r>
      <w:proofErr w:type="spellStart"/>
      <w:proofErr w:type="gramStart"/>
      <w:r>
        <w:rPr>
          <w:rFonts w:ascii="Times New Roman" w:eastAsia="Times New Roman" w:hAnsi="Times New Roman" w:cs="Times New Roman"/>
          <w:sz w:val="24"/>
          <w:szCs w:val="24"/>
        </w:rPr>
        <w:t>effect.The</w:t>
      </w:r>
      <w:proofErr w:type="spellEnd"/>
      <w:proofErr w:type="gramEnd"/>
      <w:r>
        <w:rPr>
          <w:rFonts w:ascii="Times New Roman" w:eastAsia="Times New Roman" w:hAnsi="Times New Roman" w:cs="Times New Roman"/>
          <w:sz w:val="24"/>
          <w:szCs w:val="24"/>
        </w:rPr>
        <w:t xml:space="preserve"> relationship between perceived susceptibility and perceived severity significantly influenced an individual’s motivation to undertake protective behaviors, such as vaccination, lifestyle modifications, or early disease screening. The article explored the role of these two constructs in shaping health behaviors, drawing on empirical research and theoretical perspectives to demonstrate their impact. It also examined how these perceptions related to other components of the Health Belief Model, including perceived benefits, perceived barriers, cues to action, and </w:t>
      </w:r>
      <w:proofErr w:type="spellStart"/>
      <w:r>
        <w:rPr>
          <w:rFonts w:ascii="Times New Roman" w:eastAsia="Times New Roman" w:hAnsi="Times New Roman" w:cs="Times New Roman"/>
          <w:sz w:val="24"/>
          <w:szCs w:val="24"/>
        </w:rPr>
        <w:t>self efficacy</w:t>
      </w:r>
      <w:proofErr w:type="spellEnd"/>
      <w:r>
        <w:rPr>
          <w:rFonts w:ascii="Times New Roman" w:eastAsia="Times New Roman" w:hAnsi="Times New Roman" w:cs="Times New Roman"/>
          <w:sz w:val="24"/>
          <w:szCs w:val="24"/>
        </w:rPr>
        <w:t xml:space="preserve"> through recognizing various psychological and sociocultural factors that influenced these practices. The study highlighted the complexities of health decision-making and the ways in which perception affected health outcomes (Peter, 2020).</w:t>
      </w:r>
    </w:p>
    <w:p w14:paraId="2A96E420"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the study incorporated statistical analyses to demonstrate the real-world application of the Health Belief Model in diverse health settings. </w:t>
      </w:r>
    </w:p>
    <w:p w14:paraId="79BA7AF6" w14:textId="77777777" w:rsidR="004204FF" w:rsidRDefault="004E35BA" w:rsidP="003A775B">
      <w:pPr>
        <w:spacing w:line="240" w:lineRule="auto"/>
        <w:ind w:firstLine="72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It specifically investigated adults’ perceptions of the severity of self-medication practices. </w:t>
      </w:r>
    </w:p>
    <w:p w14:paraId="020C1952" w14:textId="77777777" w:rsidR="004204FF" w:rsidRDefault="004204FF" w:rsidP="003A775B">
      <w:pPr>
        <w:spacing w:line="240" w:lineRule="auto"/>
        <w:rPr>
          <w:rFonts w:ascii="Times New Roman" w:eastAsia="Times New Roman" w:hAnsi="Times New Roman" w:cs="Times New Roman"/>
          <w:sz w:val="24"/>
          <w:szCs w:val="24"/>
        </w:rPr>
      </w:pPr>
    </w:p>
    <w:p w14:paraId="25340C46" w14:textId="77777777" w:rsidR="004204FF" w:rsidRDefault="004E35BA" w:rsidP="003A775B">
      <w:pPr>
        <w:spacing w:line="240"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 xml:space="preserve">Conceptual Framework </w:t>
      </w:r>
    </w:p>
    <w:p w14:paraId="58C796B9"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the Health Belief Model (HBM) developed by Rosenstock and </w:t>
      </w:r>
      <w:proofErr w:type="spellStart"/>
      <w:r>
        <w:rPr>
          <w:rFonts w:ascii="Times New Roman" w:eastAsia="Times New Roman" w:hAnsi="Times New Roman" w:cs="Times New Roman"/>
          <w:sz w:val="24"/>
          <w:szCs w:val="24"/>
        </w:rPr>
        <w:t>Hochbaum</w:t>
      </w:r>
      <w:proofErr w:type="spellEnd"/>
      <w:r>
        <w:rPr>
          <w:rFonts w:ascii="Times New Roman" w:eastAsia="Times New Roman" w:hAnsi="Times New Roman" w:cs="Times New Roman"/>
          <w:sz w:val="24"/>
          <w:szCs w:val="24"/>
        </w:rPr>
        <w:t xml:space="preserve"> in the 1950s explained that individuals’ health behaviors were influenced by their perceptions of threat, particularly perceived severity, which referred to how serious a person believed a health condition and its potential consequences (Fang et al., 2025).</w:t>
      </w:r>
    </w:p>
    <w:p w14:paraId="7BEE1803"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researchers aimed to identify the link between perceived severity and the self-medication practices of old adults in Iloilo. The study understood that the perceptions of older persons regarding the severity of their conditions had a direct bearing on how they practiced self-medication. The paradigm further took into consideration the determinants influencing this relationship, such as socioeconomic status including healthcare access and income, knowledge, attitudes, and health beliefs, as well as awareness of the risks and benefits associated with self-medication. These factors promoted safe practices, discouraged harmful behaviors, or made self-medication an accessible option where access to healthcare was constrained.</w:t>
      </w:r>
    </w:p>
    <w:p w14:paraId="781C1F00"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Self-medication behavior often arose in contexts where access to healthcare services was limited and disease prevalence was high, leading individuals to rely on self-treatment as an immediate coping mechanism. This finding supported the assumption that when individuals perceived their illness as severe yet faced barriers to healthcare access, their perceived threat encouraged self-medication practices. Conversely, those with higher health literacy and awareness of the potential risks of inappropriate self-</w:t>
      </w:r>
      <w:r>
        <w:rPr>
          <w:rFonts w:ascii="Times New Roman" w:eastAsia="Times New Roman" w:hAnsi="Times New Roman" w:cs="Times New Roman"/>
          <w:sz w:val="24"/>
          <w:szCs w:val="24"/>
        </w:rPr>
        <w:lastRenderedPageBreak/>
        <w:t>medication were less likely to engage in unsafe drug use. Therefore, the interaction between perceived severity, health literacy, and socioeconomic factors helped explain the variations in self-medication behaviors among old adults (</w:t>
      </w:r>
      <w:proofErr w:type="spellStart"/>
      <w:r>
        <w:rPr>
          <w:rFonts w:ascii="Times New Roman" w:eastAsia="Times New Roman" w:hAnsi="Times New Roman" w:cs="Times New Roman"/>
          <w:sz w:val="24"/>
          <w:szCs w:val="24"/>
        </w:rPr>
        <w:t>Alqarni</w:t>
      </w:r>
      <w:proofErr w:type="spellEnd"/>
      <w:r>
        <w:rPr>
          <w:rFonts w:ascii="Times New Roman" w:eastAsia="Times New Roman" w:hAnsi="Times New Roman" w:cs="Times New Roman"/>
          <w:sz w:val="24"/>
          <w:szCs w:val="24"/>
        </w:rPr>
        <w:t xml:space="preserve"> et al., 2024).</w:t>
      </w:r>
    </w:p>
    <w:p w14:paraId="69DE4333"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1.  </w:t>
      </w:r>
    </w:p>
    <w:p w14:paraId="0EC4F3A4" w14:textId="77777777" w:rsidR="004204FF" w:rsidRDefault="004E35BA" w:rsidP="003A775B">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Relationship of variables under study</w:t>
      </w:r>
      <w:r>
        <w:rPr>
          <w:noProof/>
        </w:rPr>
        <mc:AlternateContent>
          <mc:Choice Requires="wps">
            <w:drawing>
              <wp:anchor distT="114300" distB="114300" distL="114300" distR="114300" simplePos="0" relativeHeight="251658240" behindDoc="0" locked="0" layoutInCell="1" hidden="0" allowOverlap="1" wp14:anchorId="452ADACA" wp14:editId="18184829">
                <wp:simplePos x="0" y="0"/>
                <wp:positionH relativeFrom="column">
                  <wp:posOffset>-66674</wp:posOffset>
                </wp:positionH>
                <wp:positionV relativeFrom="paragraph">
                  <wp:posOffset>447675</wp:posOffset>
                </wp:positionV>
                <wp:extent cx="3514725" cy="904875"/>
                <wp:effectExtent l="0" t="0" r="0" b="0"/>
                <wp:wrapTopAndBottom distT="114300" distB="114300"/>
                <wp:docPr id="1" name="Text Box 1"/>
                <wp:cNvGraphicFramePr/>
                <a:graphic xmlns:a="http://schemas.openxmlformats.org/drawingml/2006/main">
                  <a:graphicData uri="http://schemas.microsoft.com/office/word/2010/wordprocessingShape">
                    <wps:wsp>
                      <wps:cNvSpPr txBox="1"/>
                      <wps:spPr>
                        <a:xfrm>
                          <a:off x="412425" y="453325"/>
                          <a:ext cx="3497100" cy="889800"/>
                        </a:xfrm>
                        <a:prstGeom prst="rect">
                          <a:avLst/>
                        </a:prstGeom>
                        <a:noFill/>
                        <a:ln>
                          <a:noFill/>
                        </a:ln>
                      </wps:spPr>
                      <wps:txbx>
                        <w:txbxContent>
                          <w:p w14:paraId="7D6E8268" w14:textId="77777777" w:rsidR="004204FF" w:rsidRDefault="004E35BA">
                            <w:pPr>
                              <w:spacing w:line="240" w:lineRule="auto"/>
                              <w:textDirection w:val="btLr"/>
                            </w:pPr>
                            <w:r>
                              <w:rPr>
                                <w:rFonts w:ascii="Times New Roman" w:eastAsia="Times New Roman" w:hAnsi="Times New Roman" w:cs="Times New Roman"/>
                                <w:b/>
                                <w:color w:val="000000"/>
                                <w:sz w:val="24"/>
                              </w:rPr>
                              <w:t>INDEPENDENT VARIABLE</w:t>
                            </w:r>
                          </w:p>
                        </w:txbxContent>
                      </wps:txbx>
                      <wps:bodyPr spcFirstLastPara="1" wrap="square" lIns="91425" tIns="91425" rIns="91425" bIns="91425" anchor="t" anchorCtr="0">
                        <a:noAutofit/>
                      </wps:bodyPr>
                    </wps:wsp>
                  </a:graphicData>
                </a:graphic>
              </wp:anchor>
            </w:drawing>
          </mc:Choice>
          <mc:Fallback>
            <w:pict>
              <v:shapetype w14:anchorId="452ADACA" id="_x0000_t202" coordsize="21600,21600" o:spt="202" path="m,l,21600r21600,l21600,xe">
                <v:stroke joinstyle="miter"/>
                <v:path gradientshapeok="t" o:connecttype="rect"/>
              </v:shapetype>
              <v:shape id="Text Box 1" o:spid="_x0000_s1026" type="#_x0000_t202" style="position:absolute;margin-left:-5.25pt;margin-top:35.25pt;width:276.75pt;height:71.25pt;z-index:25165824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" filled="f" stroked="f">
                <v:textbox inset="2.53958mm,2.53958mm,2.53958mm,2.53958mm">
                  <w:txbxContent>
                    <w:p w14:paraId="7D6E8268" w14:textId="77777777" w:rsidR="004204FF" w:rsidRDefault="004E35BA">
                      <w:pPr>
                        <w:spacing w:line="240" w:lineRule="auto"/>
                        <w:textDirection w:val="btLr"/>
                      </w:pPr>
                      <w:r>
                        <w:rPr>
                          <w:rFonts w:ascii="Times New Roman" w:eastAsia="Times New Roman" w:hAnsi="Times New Roman" w:cs="Times New Roman"/>
                          <w:b/>
                          <w:color w:val="000000"/>
                          <w:sz w:val="24"/>
                        </w:rPr>
                        <w:t>INDEPENDENT VARIABLE</w:t>
                      </w:r>
                    </w:p>
                  </w:txbxContent>
                </v:textbox>
                <w10:wrap type="topAndBottom"/>
              </v:shape>
            </w:pict>
          </mc:Fallback>
        </mc:AlternateContent>
      </w:r>
      <w:r>
        <w:rPr>
          <w:noProof/>
        </w:rPr>
        <mc:AlternateContent>
          <mc:Choice Requires="wps">
            <w:drawing>
              <wp:anchor distT="114300" distB="114300" distL="114300" distR="114300" simplePos="0" relativeHeight="251659264" behindDoc="0" locked="0" layoutInCell="1" hidden="0" allowOverlap="1" wp14:anchorId="7694F906" wp14:editId="4C225ADB">
                <wp:simplePos x="0" y="0"/>
                <wp:positionH relativeFrom="column">
                  <wp:posOffset>3705225</wp:posOffset>
                </wp:positionH>
                <wp:positionV relativeFrom="paragraph">
                  <wp:posOffset>447675</wp:posOffset>
                </wp:positionV>
                <wp:extent cx="3681413" cy="638175"/>
                <wp:effectExtent l="0" t="0" r="0" b="0"/>
                <wp:wrapNone/>
                <wp:docPr id="2" name="Text Box 2"/>
                <wp:cNvGraphicFramePr/>
                <a:graphic xmlns:a="http://schemas.openxmlformats.org/drawingml/2006/main">
                  <a:graphicData uri="http://schemas.microsoft.com/office/word/2010/wordprocessingShape">
                    <wps:wsp>
                      <wps:cNvSpPr txBox="1"/>
                      <wps:spPr>
                        <a:xfrm>
                          <a:off x="473800" y="565825"/>
                          <a:ext cx="3773400" cy="623700"/>
                        </a:xfrm>
                        <a:prstGeom prst="rect">
                          <a:avLst/>
                        </a:prstGeom>
                        <a:noFill/>
                        <a:ln>
                          <a:noFill/>
                        </a:ln>
                      </wps:spPr>
                      <wps:txbx>
                        <w:txbxContent>
                          <w:p w14:paraId="4200AD43" w14:textId="77777777" w:rsidR="004204FF" w:rsidRDefault="004E35BA">
                            <w:pPr>
                              <w:spacing w:line="240" w:lineRule="auto"/>
                              <w:textDirection w:val="btLr"/>
                            </w:pPr>
                            <w:r>
                              <w:rPr>
                                <w:rFonts w:ascii="Times New Roman" w:eastAsia="Times New Roman" w:hAnsi="Times New Roman" w:cs="Times New Roman"/>
                                <w:b/>
                                <w:color w:val="000000"/>
                                <w:sz w:val="24"/>
                              </w:rPr>
                              <w:t>DEPENDENT VARIABLE</w:t>
                            </w:r>
                          </w:p>
                        </w:txbxContent>
                      </wps:txbx>
                      <wps:bodyPr spcFirstLastPara="1" wrap="square" lIns="91425" tIns="91425" rIns="91425" bIns="91425" anchor="t" anchorCtr="0">
                        <a:noAutofit/>
                      </wps:bodyPr>
                    </wps:wsp>
                  </a:graphicData>
                </a:graphic>
              </wp:anchor>
            </w:drawing>
          </mc:Choice>
          <mc:Fallback>
            <w:pict>
              <v:shape w14:anchorId="7694F906" id="Text Box 2" o:spid="_x0000_s1027" type="#_x0000_t202" style="position:absolute;margin-left:291.75pt;margin-top:35.25pt;width:289.9pt;height:50.25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" filled="f" stroked="f">
                <v:textbox inset="2.53958mm,2.53958mm,2.53958mm,2.53958mm">
                  <w:txbxContent>
                    <w:p w14:paraId="4200AD43" w14:textId="77777777" w:rsidR="004204FF" w:rsidRDefault="004E35BA">
                      <w:pPr>
                        <w:spacing w:line="240" w:lineRule="auto"/>
                        <w:textDirection w:val="btLr"/>
                      </w:pPr>
                      <w:r>
                        <w:rPr>
                          <w:rFonts w:ascii="Times New Roman" w:eastAsia="Times New Roman" w:hAnsi="Times New Roman" w:cs="Times New Roman"/>
                          <w:b/>
                          <w:color w:val="000000"/>
                          <w:sz w:val="24"/>
                        </w:rPr>
                        <w:t>DEPENDENT VARIABLE</w:t>
                      </w:r>
                    </w:p>
                  </w:txbxContent>
                </v:textbox>
              </v:shape>
            </w:pict>
          </mc:Fallback>
        </mc:AlternateContent>
      </w:r>
    </w:p>
    <w:tbl>
      <w:tblPr>
        <w:tblStyle w:val="a"/>
        <w:tblpPr w:leftFromText="180" w:rightFromText="180" w:topFromText="180" w:bottomFromText="180" w:vertAnchor="text"/>
        <w:tblW w:w="24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0"/>
        <w:gridCol w:w="2180"/>
      </w:tblGrid>
      <w:tr w:rsidR="004204FF" w14:paraId="5F9F685A" w14:textId="77777777">
        <w:trPr>
          <w:trHeight w:val="200"/>
        </w:trPr>
        <w:tc>
          <w:tcPr>
            <w:tcW w:w="40" w:type="dxa"/>
            <w:tcBorders>
              <w:top w:val="nil"/>
              <w:left w:val="nil"/>
              <w:bottom w:val="nil"/>
              <w:right w:val="nil"/>
            </w:tcBorders>
          </w:tcPr>
          <w:p w14:paraId="34C39493" w14:textId="77777777" w:rsidR="004204FF" w:rsidRDefault="004204FF" w:rsidP="003A775B">
            <w:pPr>
              <w:spacing w:line="240" w:lineRule="auto"/>
              <w:rPr>
                <w:rFonts w:ascii="Times New Roman" w:eastAsia="Times New Roman" w:hAnsi="Times New Roman" w:cs="Times New Roman"/>
                <w:sz w:val="24"/>
                <w:szCs w:val="24"/>
                <w:shd w:val="clear" w:color="auto" w:fill="999999"/>
              </w:rPr>
            </w:pPr>
          </w:p>
        </w:tc>
        <w:tc>
          <w:tcPr>
            <w:tcW w:w="2360" w:type="dxa"/>
            <w:tcBorders>
              <w:left w:val="nil"/>
              <w:bottom w:val="nil"/>
            </w:tcBorders>
          </w:tcPr>
          <w:p w14:paraId="4E279582" w14:textId="77777777" w:rsidR="004204FF" w:rsidRDefault="004204FF" w:rsidP="003A775B">
            <w:pPr>
              <w:spacing w:line="240" w:lineRule="auto"/>
              <w:rPr>
                <w:rFonts w:ascii="Times New Roman" w:eastAsia="Times New Roman" w:hAnsi="Times New Roman" w:cs="Times New Roman"/>
                <w:sz w:val="24"/>
                <w:szCs w:val="24"/>
                <w:shd w:val="clear" w:color="auto" w:fill="999999"/>
              </w:rPr>
            </w:pPr>
          </w:p>
        </w:tc>
      </w:tr>
      <w:tr w:rsidR="004204FF" w14:paraId="08FD7CD5" w14:textId="77777777">
        <w:trPr>
          <w:trHeight w:val="2240"/>
        </w:trPr>
        <w:tc>
          <w:tcPr>
            <w:tcW w:w="40" w:type="dxa"/>
            <w:tcBorders>
              <w:top w:val="nil"/>
              <w:left w:val="nil"/>
              <w:bottom w:val="nil"/>
              <w:right w:val="nil"/>
            </w:tcBorders>
          </w:tcPr>
          <w:p w14:paraId="01733385" w14:textId="77777777" w:rsidR="004204FF" w:rsidRDefault="004204FF" w:rsidP="003A775B">
            <w:pPr>
              <w:spacing w:line="240" w:lineRule="auto"/>
              <w:rPr>
                <w:rFonts w:ascii="Times New Roman" w:eastAsia="Times New Roman" w:hAnsi="Times New Roman" w:cs="Times New Roman"/>
                <w:sz w:val="24"/>
                <w:szCs w:val="24"/>
                <w:shd w:val="clear" w:color="auto" w:fill="999999"/>
              </w:rPr>
            </w:pPr>
          </w:p>
        </w:tc>
        <w:tc>
          <w:tcPr>
            <w:tcW w:w="2360" w:type="dxa"/>
            <w:tcBorders>
              <w:top w:val="nil"/>
              <w:left w:val="nil"/>
              <w:bottom w:val="nil"/>
              <w:right w:val="nil"/>
            </w:tcBorders>
          </w:tcPr>
          <w:p w14:paraId="3B8C1B3B" w14:textId="19572F28" w:rsidR="004204FF" w:rsidRDefault="00A32567" w:rsidP="003A775B">
            <w:pPr>
              <w:spacing w:line="240" w:lineRule="auto"/>
              <w:rPr>
                <w:rFonts w:ascii="Times New Roman" w:eastAsia="Times New Roman" w:hAnsi="Times New Roman" w:cs="Times New Roman"/>
                <w:sz w:val="24"/>
                <w:szCs w:val="24"/>
                <w:shd w:val="clear" w:color="auto" w:fill="999999"/>
              </w:rPr>
            </w:pPr>
            <w:r>
              <w:rPr>
                <w:rFonts w:ascii="Times New Roman" w:eastAsia="Times New Roman" w:hAnsi="Times New Roman" w:cs="Times New Roman"/>
                <w:b/>
                <w:bCs/>
                <w:noProof/>
                <w:sz w:val="24"/>
                <w:szCs w:val="24"/>
                <w:shd w:val="clear" w:color="auto" w:fill="999999"/>
              </w:rPr>
              <w:drawing>
                <wp:anchor distT="114300" distB="114300" distL="114300" distR="114300" simplePos="0" relativeHeight="251660288" behindDoc="0" locked="0" layoutInCell="1" hidden="0" allowOverlap="1" wp14:anchorId="5D04712D" wp14:editId="594A9A2B">
                  <wp:simplePos x="0" y="0"/>
                  <wp:positionH relativeFrom="page">
                    <wp:posOffset>-206375</wp:posOffset>
                  </wp:positionH>
                  <wp:positionV relativeFrom="page">
                    <wp:posOffset>291229</wp:posOffset>
                  </wp:positionV>
                  <wp:extent cx="5619750" cy="1533525"/>
                  <wp:effectExtent l="0" t="0" r="0" b="0"/>
                  <wp:wrapNone/>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t="2767" b="2767"/>
                          <a:stretch>
                            <a:fillRect/>
                          </a:stretch>
                        </pic:blipFill>
                        <pic:spPr>
                          <a:xfrm>
                            <a:off x="0" y="0"/>
                            <a:ext cx="5619750" cy="1533525"/>
                          </a:xfrm>
                          <a:prstGeom prst="rect">
                            <a:avLst/>
                          </a:prstGeom>
                          <a:ln/>
                        </pic:spPr>
                      </pic:pic>
                    </a:graphicData>
                  </a:graphic>
                </wp:anchor>
              </w:drawing>
            </w:r>
          </w:p>
        </w:tc>
      </w:tr>
    </w:tbl>
    <w:p w14:paraId="7FAAA083" w14:textId="0759C13E" w:rsidR="004204FF" w:rsidRDefault="004204FF" w:rsidP="003A775B">
      <w:pPr>
        <w:spacing w:line="240" w:lineRule="auto"/>
        <w:rPr>
          <w:rFonts w:ascii="Times New Roman" w:eastAsia="Times New Roman" w:hAnsi="Times New Roman" w:cs="Times New Roman"/>
          <w:b/>
          <w:bCs/>
          <w:sz w:val="24"/>
          <w:szCs w:val="24"/>
          <w:shd w:val="clear" w:color="auto" w:fill="999999"/>
        </w:rPr>
      </w:pPr>
    </w:p>
    <w:p w14:paraId="4FDCB714" w14:textId="77777777" w:rsidR="004204FF" w:rsidRDefault="004204FF" w:rsidP="003A775B">
      <w:pPr>
        <w:spacing w:line="240" w:lineRule="auto"/>
        <w:rPr>
          <w:rFonts w:ascii="Times New Roman" w:eastAsia="Times New Roman" w:hAnsi="Times New Roman" w:cs="Times New Roman"/>
          <w:b/>
          <w:bCs/>
          <w:sz w:val="24"/>
          <w:szCs w:val="24"/>
        </w:rPr>
      </w:pPr>
    </w:p>
    <w:p w14:paraId="61684CE9" w14:textId="77777777" w:rsidR="004204FF" w:rsidRDefault="004204FF" w:rsidP="003A775B">
      <w:pPr>
        <w:spacing w:line="240" w:lineRule="auto"/>
        <w:rPr>
          <w:rFonts w:ascii="Times New Roman" w:eastAsia="Times New Roman" w:hAnsi="Times New Roman" w:cs="Times New Roman"/>
          <w:b/>
          <w:bCs/>
          <w:sz w:val="24"/>
          <w:szCs w:val="24"/>
        </w:rPr>
      </w:pPr>
    </w:p>
    <w:p w14:paraId="795B6DE4" w14:textId="77777777" w:rsidR="004204FF" w:rsidRDefault="004204FF" w:rsidP="003A775B">
      <w:pPr>
        <w:spacing w:line="240" w:lineRule="auto"/>
        <w:rPr>
          <w:rFonts w:ascii="Times New Roman" w:eastAsia="Times New Roman" w:hAnsi="Times New Roman" w:cs="Times New Roman"/>
          <w:b/>
          <w:bCs/>
          <w:sz w:val="24"/>
          <w:szCs w:val="24"/>
        </w:rPr>
      </w:pPr>
    </w:p>
    <w:p w14:paraId="4393CF92"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Definition of Terms</w:t>
      </w:r>
    </w:p>
    <w:p w14:paraId="188EE4BD"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the following terms was defined for better understanding:</w:t>
      </w:r>
    </w:p>
    <w:p w14:paraId="3CE9F230"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i/>
          <w:iCs/>
          <w:sz w:val="24"/>
          <w:szCs w:val="24"/>
        </w:rPr>
        <w:t>Perceived severity</w:t>
      </w:r>
      <w:r>
        <w:rPr>
          <w:rFonts w:ascii="Times New Roman" w:eastAsia="Times New Roman" w:hAnsi="Times New Roman" w:cs="Times New Roman"/>
          <w:sz w:val="24"/>
          <w:szCs w:val="24"/>
        </w:rPr>
        <w:t xml:space="preserve"> or also called perceived seriousness, refers to the belief in the degree of harm from an acquired disease or harmful state as a result of a particular behavior (</w:t>
      </w:r>
      <w:proofErr w:type="spellStart"/>
      <w:r>
        <w:rPr>
          <w:rFonts w:ascii="Times New Roman" w:eastAsia="Times New Roman" w:hAnsi="Times New Roman" w:cs="Times New Roman"/>
          <w:sz w:val="24"/>
          <w:szCs w:val="24"/>
        </w:rPr>
        <w:t>Sukeri</w:t>
      </w:r>
      <w:proofErr w:type="spellEnd"/>
      <w:r>
        <w:rPr>
          <w:rFonts w:ascii="Times New Roman" w:eastAsia="Times New Roman" w:hAnsi="Times New Roman" w:cs="Times New Roman"/>
          <w:sz w:val="24"/>
          <w:szCs w:val="24"/>
        </w:rPr>
        <w:t xml:space="preserve"> et al., 2020). In this study, perceived severity was used as the measurement on how the individuals view the potential consequences of their behavior.  It was measured through a 10-item questionnaire which was answerable in a Likert Scale of 1-5. It was categorized as: Low, Average, and High.</w:t>
      </w:r>
    </w:p>
    <w:p w14:paraId="75FCF8DF"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Self-medication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practices</w:t>
      </w:r>
      <w:r>
        <w:rPr>
          <w:rFonts w:ascii="Times New Roman" w:eastAsia="Times New Roman" w:hAnsi="Times New Roman" w:cs="Times New Roman"/>
          <w:sz w:val="24"/>
          <w:szCs w:val="24"/>
        </w:rPr>
        <w:t xml:space="preserve"> is a fairly common practice, involving, as defined by the World Health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(WHO), the use of medicines without professional supervision, often to treat minor ailments (</w:t>
      </w:r>
      <w:proofErr w:type="spellStart"/>
      <w:r>
        <w:rPr>
          <w:rFonts w:ascii="Times New Roman" w:eastAsia="Times New Roman" w:hAnsi="Times New Roman" w:cs="Times New Roman"/>
          <w:sz w:val="24"/>
          <w:szCs w:val="24"/>
        </w:rPr>
        <w:t>Cotobal</w:t>
      </w:r>
      <w:proofErr w:type="spellEnd"/>
      <w:r>
        <w:rPr>
          <w:rFonts w:ascii="Times New Roman" w:eastAsia="Times New Roman" w:hAnsi="Times New Roman" w:cs="Times New Roman"/>
          <w:sz w:val="24"/>
          <w:szCs w:val="24"/>
        </w:rPr>
        <w:t>-Calvo, 2025). In this study, self-medication practice was defined as the routine consumption of unprescribed drugs in order to treat mild to moderate signs and symptoms. It was measured through a 10-item questionnaire which was answerable in a Likert Scale of 1-5. It was categorized as: Low, Average, and High.</w:t>
      </w:r>
    </w:p>
    <w:p w14:paraId="04E47043" w14:textId="77777777" w:rsidR="004204FF" w:rsidRDefault="004204FF" w:rsidP="003A775B">
      <w:pPr>
        <w:spacing w:line="240" w:lineRule="auto"/>
        <w:ind w:firstLine="720"/>
        <w:rPr>
          <w:rFonts w:ascii="Times New Roman" w:eastAsia="Times New Roman" w:hAnsi="Times New Roman" w:cs="Times New Roman"/>
          <w:sz w:val="24"/>
          <w:szCs w:val="24"/>
        </w:rPr>
      </w:pPr>
    </w:p>
    <w:p w14:paraId="4AB36785"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Significance of the Study</w:t>
      </w:r>
    </w:p>
    <w:p w14:paraId="5F974776"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the study are of great benefit to the following:</w:t>
      </w:r>
    </w:p>
    <w:p w14:paraId="499D5428"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Old Adults.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This study is highly beneficial to old adults as it seeks to identify the risks and patterns, address gaps in elderly medication use, and promote evidence-based education on the safe and rational use of medicines, ultimately contributing to improved health outcomes in this vulnerable population.</w:t>
      </w:r>
    </w:p>
    <w:p w14:paraId="33B257A7"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Families and Caregivers.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This study benefits families and caregivers by guiding them in monitoring and supporting the medication practices of their elderly members ensuring safer health medications at home.</w:t>
      </w:r>
    </w:p>
    <w:p w14:paraId="5BD96254" w14:textId="77777777" w:rsidR="004204FF" w:rsidRDefault="004E35BA" w:rsidP="003A775B">
      <w:pPr>
        <w:spacing w:line="240" w:lineRule="auto"/>
        <w:ind w:firstLine="72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Healthcare Providers. </w:t>
      </w:r>
      <w:r>
        <w:rPr>
          <w:rFonts w:ascii="Times New Roman" w:eastAsia="Times New Roman" w:hAnsi="Times New Roman" w:cs="Times New Roman"/>
        </w:rPr>
        <w:t xml:space="preserve">This study aids nurses, doctors, and </w:t>
      </w:r>
      <w:proofErr w:type="gramStart"/>
      <w:r>
        <w:rPr>
          <w:rFonts w:ascii="Times New Roman" w:eastAsia="Times New Roman" w:hAnsi="Times New Roman" w:cs="Times New Roman"/>
        </w:rPr>
        <w:t>pharmacists  in</w:t>
      </w:r>
      <w:proofErr w:type="gramEnd"/>
      <w:r>
        <w:rPr>
          <w:rFonts w:ascii="Times New Roman" w:eastAsia="Times New Roman" w:hAnsi="Times New Roman" w:cs="Times New Roman"/>
        </w:rPr>
        <w:t xml:space="preserve"> gaining a clearer perspective on the factors that contribute to </w:t>
      </w:r>
      <w:proofErr w:type="spellStart"/>
      <w:r>
        <w:rPr>
          <w:rFonts w:ascii="Times New Roman" w:eastAsia="Times New Roman" w:hAnsi="Times New Roman" w:cs="Times New Roman"/>
        </w:rPr>
        <w:t>self medication</w:t>
      </w:r>
      <w:proofErr w:type="spellEnd"/>
      <w:r>
        <w:rPr>
          <w:rFonts w:ascii="Times New Roman" w:eastAsia="Times New Roman" w:hAnsi="Times New Roman" w:cs="Times New Roman"/>
        </w:rPr>
        <w:t>, allowing them to implement well-directed health education programs for elderly.</w:t>
      </w:r>
    </w:p>
    <w:p w14:paraId="3D9E275A" w14:textId="77777777" w:rsidR="004204FF" w:rsidRDefault="004E35BA" w:rsidP="003A775B">
      <w:pPr>
        <w:spacing w:line="240" w:lineRule="auto"/>
        <w:ind w:firstLine="720"/>
        <w:rPr>
          <w:rFonts w:ascii="Times New Roman" w:eastAsia="Times New Roman" w:hAnsi="Times New Roman" w:cs="Times New Roman"/>
          <w:color w:val="FF0000"/>
          <w:sz w:val="24"/>
          <w:szCs w:val="24"/>
        </w:rPr>
      </w:pPr>
      <w:r>
        <w:rPr>
          <w:rFonts w:ascii="Times New Roman" w:eastAsia="Times New Roman" w:hAnsi="Times New Roman" w:cs="Times New Roman"/>
          <w:b/>
          <w:bCs/>
          <w:i/>
          <w:iCs/>
          <w:sz w:val="24"/>
          <w:szCs w:val="24"/>
        </w:rPr>
        <w:lastRenderedPageBreak/>
        <w:t xml:space="preserve">Future Researchers.  </w:t>
      </w:r>
      <w:r>
        <w:rPr>
          <w:rFonts w:ascii="Times New Roman" w:eastAsia="Times New Roman" w:hAnsi="Times New Roman" w:cs="Times New Roman"/>
          <w:sz w:val="24"/>
          <w:szCs w:val="24"/>
        </w:rPr>
        <w:t xml:space="preserve">The study offers a baseline information that can guide future research on self-medication and health-seeking behaviors among older adults in similar local settings. </w:t>
      </w:r>
    </w:p>
    <w:p w14:paraId="775884AE"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Scope and Limitations. </w:t>
      </w:r>
      <w:r>
        <w:rPr>
          <w:rFonts w:ascii="Times New Roman" w:eastAsia="Times New Roman" w:hAnsi="Times New Roman" w:cs="Times New Roman"/>
          <w:sz w:val="24"/>
          <w:szCs w:val="24"/>
        </w:rPr>
        <w:t xml:space="preserve">With an emphasis on old adults and self-medication.    This study aimed to better understand how individuals aged 60 and above perceived the seriousness of their health conditions and how these perceptions influenced their decision to self-medicate rather than seek professional medical care. The researchers recognized that old adults often rely </w:t>
      </w:r>
      <w:proofErr w:type="gramStart"/>
      <w:r>
        <w:rPr>
          <w:rFonts w:ascii="Times New Roman" w:eastAsia="Times New Roman" w:hAnsi="Times New Roman" w:cs="Times New Roman"/>
          <w:sz w:val="24"/>
          <w:szCs w:val="24"/>
        </w:rPr>
        <w:t>on  influence</w:t>
      </w:r>
      <w:proofErr w:type="gramEnd"/>
      <w:r>
        <w:rPr>
          <w:rFonts w:ascii="Times New Roman" w:eastAsia="Times New Roman" w:hAnsi="Times New Roman" w:cs="Times New Roman"/>
          <w:sz w:val="24"/>
          <w:szCs w:val="24"/>
        </w:rPr>
        <w:t xml:space="preserve"> from family or friends, personal experience, accessibility, and practical considerations when managing their health, making it important to explore the beliefs behind these choices. The study was conducted among residents aged 60 years and above in a selected barangay in Iloilo. The researcher-made questionnaire utilized a 5-point Likert scale that was used to gather data on two main aspects: (1) perceived severity in relation to self-medication and (2) various factors affecting self-medication practices. Demographic data including age, gender, civil status, education level and occupation was gathered to contextualize findings. </w:t>
      </w:r>
    </w:p>
    <w:p w14:paraId="19E6F103"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While this study provided valuable insight into the perceptions and behaviors related to self-medication among the elderly, it was not intended to determine causal relationships between perceived severity and actual health outcomes.</w:t>
      </w:r>
      <w:r>
        <w:rPr>
          <w:rFonts w:ascii="Times New Roman" w:eastAsia="Times New Roman" w:hAnsi="Times New Roman" w:cs="Times New Roman"/>
          <w:sz w:val="24"/>
          <w:szCs w:val="24"/>
          <w:highlight w:val="white"/>
        </w:rPr>
        <w:t xml:space="preserve"> The results were interpreted within the confines of a descriptive and correlational research design and were conducted from January to March 2026. </w:t>
      </w:r>
      <w:r>
        <w:rPr>
          <w:rFonts w:ascii="Times New Roman" w:eastAsia="Times New Roman" w:hAnsi="Times New Roman" w:cs="Times New Roman"/>
          <w:sz w:val="24"/>
          <w:szCs w:val="24"/>
        </w:rPr>
        <w:t>Furthermore, since the respondents are limited to selected barangays in Iloilo, the findings cannot be generalized to all old adults across the province or nationwide.</w:t>
      </w:r>
    </w:p>
    <w:p w14:paraId="4BB8C5D9" w14:textId="77777777" w:rsidR="004204FF" w:rsidRDefault="004204FF" w:rsidP="003A775B">
      <w:pPr>
        <w:spacing w:line="240" w:lineRule="auto"/>
        <w:rPr>
          <w:rFonts w:ascii="Times New Roman" w:eastAsia="Times New Roman" w:hAnsi="Times New Roman" w:cs="Times New Roman"/>
          <w:sz w:val="24"/>
          <w:szCs w:val="24"/>
        </w:rPr>
      </w:pPr>
    </w:p>
    <w:p w14:paraId="0A8AF3CC" w14:textId="77777777" w:rsidR="004204FF" w:rsidRDefault="004204FF" w:rsidP="003A775B">
      <w:pPr>
        <w:spacing w:line="240" w:lineRule="auto"/>
        <w:rPr>
          <w:rFonts w:ascii="Times New Roman" w:eastAsia="Times New Roman" w:hAnsi="Times New Roman" w:cs="Times New Roman"/>
          <w:sz w:val="24"/>
          <w:szCs w:val="24"/>
        </w:rPr>
      </w:pPr>
    </w:p>
    <w:p w14:paraId="0FB7840C" w14:textId="77777777" w:rsidR="004204FF" w:rsidRDefault="004204FF" w:rsidP="003A775B">
      <w:pPr>
        <w:spacing w:line="240" w:lineRule="auto"/>
        <w:rPr>
          <w:rFonts w:ascii="Times New Roman" w:eastAsia="Times New Roman" w:hAnsi="Times New Roman" w:cs="Times New Roman"/>
          <w:sz w:val="24"/>
          <w:szCs w:val="24"/>
        </w:rPr>
      </w:pPr>
    </w:p>
    <w:p w14:paraId="0E5176E9" w14:textId="77777777" w:rsidR="004204FF" w:rsidRDefault="004204FF" w:rsidP="003A775B">
      <w:pPr>
        <w:spacing w:line="240" w:lineRule="auto"/>
        <w:rPr>
          <w:rFonts w:ascii="Times New Roman" w:eastAsia="Times New Roman" w:hAnsi="Times New Roman" w:cs="Times New Roman"/>
          <w:sz w:val="24"/>
          <w:szCs w:val="24"/>
        </w:rPr>
      </w:pPr>
    </w:p>
    <w:p w14:paraId="664B851C" w14:textId="77777777" w:rsidR="004204FF" w:rsidRDefault="004204FF" w:rsidP="003A775B">
      <w:pPr>
        <w:spacing w:line="240" w:lineRule="auto"/>
        <w:rPr>
          <w:rFonts w:ascii="Times New Roman" w:eastAsia="Times New Roman" w:hAnsi="Times New Roman" w:cs="Times New Roman"/>
          <w:sz w:val="24"/>
          <w:szCs w:val="24"/>
        </w:rPr>
      </w:pPr>
    </w:p>
    <w:p w14:paraId="7A3E7369" w14:textId="77777777" w:rsidR="004204FF" w:rsidRDefault="004204FF" w:rsidP="003A775B">
      <w:pPr>
        <w:spacing w:line="240" w:lineRule="auto"/>
        <w:rPr>
          <w:rFonts w:ascii="Times New Roman" w:eastAsia="Times New Roman" w:hAnsi="Times New Roman" w:cs="Times New Roman"/>
          <w:sz w:val="24"/>
          <w:szCs w:val="24"/>
        </w:rPr>
      </w:pPr>
    </w:p>
    <w:p w14:paraId="48DE8718" w14:textId="77777777" w:rsidR="004204FF" w:rsidRDefault="004204FF" w:rsidP="003A775B">
      <w:pPr>
        <w:spacing w:line="240" w:lineRule="auto"/>
        <w:jc w:val="center"/>
        <w:rPr>
          <w:rFonts w:ascii="Times New Roman" w:eastAsia="Times New Roman" w:hAnsi="Times New Roman" w:cs="Times New Roman"/>
          <w:b/>
          <w:bCs/>
          <w:sz w:val="24"/>
          <w:szCs w:val="24"/>
        </w:rPr>
      </w:pPr>
    </w:p>
    <w:p w14:paraId="1BF1789D" w14:textId="77777777" w:rsidR="004204FF" w:rsidRDefault="004204FF" w:rsidP="003A775B">
      <w:pPr>
        <w:spacing w:line="240" w:lineRule="auto"/>
        <w:jc w:val="center"/>
        <w:rPr>
          <w:rFonts w:ascii="Times New Roman" w:eastAsia="Times New Roman" w:hAnsi="Times New Roman" w:cs="Times New Roman"/>
          <w:b/>
          <w:bCs/>
          <w:sz w:val="24"/>
          <w:szCs w:val="24"/>
        </w:rPr>
      </w:pPr>
    </w:p>
    <w:p w14:paraId="19ACF129" w14:textId="77777777" w:rsidR="004204FF" w:rsidRDefault="004204FF" w:rsidP="003A775B">
      <w:pPr>
        <w:spacing w:line="240" w:lineRule="auto"/>
        <w:rPr>
          <w:rFonts w:ascii="Times New Roman" w:eastAsia="Times New Roman" w:hAnsi="Times New Roman" w:cs="Times New Roman"/>
          <w:b/>
          <w:bCs/>
          <w:sz w:val="24"/>
          <w:szCs w:val="24"/>
        </w:rPr>
      </w:pPr>
    </w:p>
    <w:p w14:paraId="632CBA02" w14:textId="77777777" w:rsidR="004204FF" w:rsidRDefault="004E35BA" w:rsidP="003A775B">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Review of Related Literature</w:t>
      </w:r>
    </w:p>
    <w:p w14:paraId="45E8D317"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This chapter is divided into two (2) parts: a review of related concepts and a review of related studies.</w:t>
      </w:r>
    </w:p>
    <w:p w14:paraId="0FF6F692" w14:textId="77777777" w:rsidR="004204FF" w:rsidRDefault="004204FF" w:rsidP="003A775B">
      <w:pPr>
        <w:spacing w:line="240" w:lineRule="auto"/>
        <w:rPr>
          <w:rFonts w:ascii="Times New Roman" w:eastAsia="Times New Roman" w:hAnsi="Times New Roman" w:cs="Times New Roman"/>
          <w:sz w:val="24"/>
          <w:szCs w:val="24"/>
        </w:rPr>
      </w:pPr>
    </w:p>
    <w:p w14:paraId="105DF105" w14:textId="77777777" w:rsidR="004204FF" w:rsidRDefault="004E35BA" w:rsidP="003A775B">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Related Concepts  </w:t>
      </w:r>
    </w:p>
    <w:p w14:paraId="7EF40635"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Perceived Severity of Self-Medication</w:t>
      </w:r>
    </w:p>
    <w:p w14:paraId="729F24B3"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Perceived severity meant how serious a person thought the results would be if they use medicine without a doctor. This idea shaped how people judged the chances of side effects, mixing drugs, delays in treatment, and wrong diagnoses. When people thought the risks were small, they are more likely to take medicine on their own and might overlook the possible harm of using medicine the wrong way (Akande-</w:t>
      </w:r>
      <w:proofErr w:type="spellStart"/>
      <w:r>
        <w:rPr>
          <w:rFonts w:ascii="Times New Roman" w:eastAsia="Times New Roman" w:hAnsi="Times New Roman" w:cs="Times New Roman"/>
          <w:sz w:val="24"/>
          <w:szCs w:val="24"/>
        </w:rPr>
        <w:t>Sholabi</w:t>
      </w:r>
      <w:proofErr w:type="spellEnd"/>
      <w:r>
        <w:rPr>
          <w:rFonts w:ascii="Times New Roman" w:eastAsia="Times New Roman" w:hAnsi="Times New Roman" w:cs="Times New Roman"/>
          <w:sz w:val="24"/>
          <w:szCs w:val="24"/>
        </w:rPr>
        <w:t xml:space="preserve"> et al., 2021). </w:t>
      </w:r>
    </w:p>
    <w:p w14:paraId="5E4FD432"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healthcare students did not see self-medication as a serious issue. Although they had basic knowledge about medicines, they often felt confident enough to manage minor illnesses on their own. This belief led to mistakes like obtaining the wrong amount, </w:t>
      </w:r>
      <w:r>
        <w:rPr>
          <w:rFonts w:ascii="Times New Roman" w:eastAsia="Times New Roman" w:hAnsi="Times New Roman" w:cs="Times New Roman"/>
          <w:sz w:val="24"/>
          <w:szCs w:val="24"/>
        </w:rPr>
        <w:lastRenderedPageBreak/>
        <w:t>using drugs the wrong way, or not storing or throwing away medicine properly. These actions showed how self-medication seriously contributed to risky habits more common (Akande-</w:t>
      </w:r>
      <w:proofErr w:type="spellStart"/>
      <w:r>
        <w:rPr>
          <w:rFonts w:ascii="Times New Roman" w:eastAsia="Times New Roman" w:hAnsi="Times New Roman" w:cs="Times New Roman"/>
          <w:sz w:val="24"/>
          <w:szCs w:val="24"/>
        </w:rPr>
        <w:t>Sholabi</w:t>
      </w:r>
      <w:proofErr w:type="spellEnd"/>
      <w:r>
        <w:rPr>
          <w:rFonts w:ascii="Times New Roman" w:eastAsia="Times New Roman" w:hAnsi="Times New Roman" w:cs="Times New Roman"/>
          <w:sz w:val="24"/>
          <w:szCs w:val="24"/>
        </w:rPr>
        <w:t xml:space="preserve"> et al., 2021).</w:t>
      </w:r>
    </w:p>
    <w:p w14:paraId="378C7508"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many nations, including Iran, self-medication and drug abuse continued as major public health and socioeconomic issues. Despite proven dangers such as adverse drug responses, problems, drug interactions, misdiagnosis, and antibiotic resistance, many medical students still believed self-medication was safe. Lack of time, not taking symptoms seriously, and trust in their pharmacology knowledge all contributed to this low perceived severity, increasing the chance of continued self-medication behaviors (</w:t>
      </w:r>
      <w:proofErr w:type="spellStart"/>
      <w:r>
        <w:rPr>
          <w:rFonts w:ascii="Times New Roman" w:eastAsia="Times New Roman" w:hAnsi="Times New Roman" w:cs="Times New Roman"/>
          <w:sz w:val="24"/>
          <w:szCs w:val="24"/>
        </w:rPr>
        <w:t>Khatony</w:t>
      </w:r>
      <w:proofErr w:type="spellEnd"/>
      <w:r>
        <w:rPr>
          <w:rFonts w:ascii="Times New Roman" w:eastAsia="Times New Roman" w:hAnsi="Times New Roman" w:cs="Times New Roman"/>
          <w:sz w:val="24"/>
          <w:szCs w:val="24"/>
        </w:rPr>
        <w:t xml:space="preserve"> et al., 2020).</w:t>
      </w:r>
    </w:p>
    <w:p w14:paraId="227278D8"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Self-Medication Practices</w:t>
      </w:r>
    </w:p>
    <w:p w14:paraId="1C92AE25"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researchers conducted a comprehensive review of 26 studies on self-care practices for acute conditions among the general population and indigenous peoples in the Philippines.  The study revealed that Filipinos use a variety of health-related approaches, including both prescribed and non-prescribed medications, proper and improper use of antibiotics, medicinal plants, and traditional or alternative therapies. Furthermore, individuals participated in recreational and health-promoting activities and sought assistance from either traditional </w:t>
      </w:r>
      <w:proofErr w:type="gramStart"/>
      <w:r>
        <w:rPr>
          <w:rFonts w:ascii="Times New Roman" w:eastAsia="Times New Roman" w:hAnsi="Times New Roman" w:cs="Times New Roman"/>
          <w:sz w:val="24"/>
          <w:szCs w:val="24"/>
        </w:rPr>
        <w:t>healers</w:t>
      </w:r>
      <w:proofErr w:type="gramEnd"/>
      <w:r>
        <w:rPr>
          <w:rFonts w:ascii="Times New Roman" w:eastAsia="Times New Roman" w:hAnsi="Times New Roman" w:cs="Times New Roman"/>
          <w:sz w:val="24"/>
          <w:szCs w:val="24"/>
        </w:rPr>
        <w:t xml:space="preserve"> (albularyo or </w:t>
      </w:r>
      <w:proofErr w:type="spellStart"/>
      <w:r>
        <w:rPr>
          <w:rFonts w:ascii="Times New Roman" w:eastAsia="Times New Roman" w:hAnsi="Times New Roman" w:cs="Times New Roman"/>
          <w:sz w:val="24"/>
          <w:szCs w:val="24"/>
        </w:rPr>
        <w:t>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gagamot</w:t>
      </w:r>
      <w:proofErr w:type="spellEnd"/>
      <w:r>
        <w:rPr>
          <w:rFonts w:ascii="Times New Roman" w:eastAsia="Times New Roman" w:hAnsi="Times New Roman" w:cs="Times New Roman"/>
          <w:sz w:val="24"/>
          <w:szCs w:val="24"/>
        </w:rPr>
        <w:t>) or healthcare professionals (</w:t>
      </w:r>
      <w:proofErr w:type="spellStart"/>
      <w:r>
        <w:rPr>
          <w:rFonts w:ascii="Times New Roman" w:eastAsia="Times New Roman" w:hAnsi="Times New Roman" w:cs="Times New Roman"/>
          <w:sz w:val="24"/>
          <w:szCs w:val="24"/>
        </w:rPr>
        <w:t>Loreche</w:t>
      </w:r>
      <w:proofErr w:type="spellEnd"/>
      <w:r>
        <w:rPr>
          <w:rFonts w:ascii="Times New Roman" w:eastAsia="Times New Roman" w:hAnsi="Times New Roman" w:cs="Times New Roman"/>
          <w:sz w:val="24"/>
          <w:szCs w:val="24"/>
        </w:rPr>
        <w:t xml:space="preserve">, Pepito, and </w:t>
      </w:r>
      <w:proofErr w:type="spellStart"/>
      <w:r>
        <w:rPr>
          <w:rFonts w:ascii="Times New Roman" w:eastAsia="Times New Roman" w:hAnsi="Times New Roman" w:cs="Times New Roman"/>
          <w:sz w:val="24"/>
          <w:szCs w:val="24"/>
        </w:rPr>
        <w:t>Dayrit</w:t>
      </w:r>
      <w:proofErr w:type="spellEnd"/>
      <w:r>
        <w:rPr>
          <w:rFonts w:ascii="Times New Roman" w:eastAsia="Times New Roman" w:hAnsi="Times New Roman" w:cs="Times New Roman"/>
          <w:sz w:val="24"/>
          <w:szCs w:val="24"/>
        </w:rPr>
        <w:t xml:space="preserve"> 2023).</w:t>
      </w:r>
    </w:p>
    <w:p w14:paraId="422F7358"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Philippines, many people experiencing symptoms such as cough often associated with pneumonia, reportedly bought medications without a prescription.     They usually chose brands that had been previously recommended by a doctor or suggested pharmacists and pharmacy staff. These findings highlight how self-medication has become a usual and accepted way of managing health concerns in the country (</w:t>
      </w:r>
      <w:proofErr w:type="spellStart"/>
      <w:r>
        <w:rPr>
          <w:rFonts w:ascii="Times New Roman" w:eastAsia="Times New Roman" w:hAnsi="Times New Roman" w:cs="Times New Roman"/>
          <w:sz w:val="24"/>
          <w:szCs w:val="24"/>
        </w:rPr>
        <w:t>Loreche</w:t>
      </w:r>
      <w:proofErr w:type="spellEnd"/>
      <w:r>
        <w:rPr>
          <w:rFonts w:ascii="Times New Roman" w:eastAsia="Times New Roman" w:hAnsi="Times New Roman" w:cs="Times New Roman"/>
          <w:sz w:val="24"/>
          <w:szCs w:val="24"/>
        </w:rPr>
        <w:t xml:space="preserve">, Pepito, &amp; </w:t>
      </w:r>
      <w:proofErr w:type="spellStart"/>
      <w:r>
        <w:rPr>
          <w:rFonts w:ascii="Times New Roman" w:eastAsia="Times New Roman" w:hAnsi="Times New Roman" w:cs="Times New Roman"/>
          <w:sz w:val="24"/>
          <w:szCs w:val="24"/>
        </w:rPr>
        <w:t>Dayrit</w:t>
      </w:r>
      <w:proofErr w:type="spellEnd"/>
      <w:r>
        <w:rPr>
          <w:rFonts w:ascii="Times New Roman" w:eastAsia="Times New Roman" w:hAnsi="Times New Roman" w:cs="Times New Roman"/>
          <w:sz w:val="24"/>
          <w:szCs w:val="24"/>
        </w:rPr>
        <w:t>, 2023).</w:t>
      </w:r>
    </w:p>
    <w:p w14:paraId="3168CFC3"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However, researchers also emphasized that this practice may pose several health risks. Self-medication can lead to incorrect self-diagnosis, inappropriate treatment choices, harmful side effects, adverse drug reactions, and even polypharmacy. Factors that contribute to this behavior include the easy availability of medicines, busy and demanding work schedules, and the difficulty of securing medical appointments (</w:t>
      </w:r>
      <w:proofErr w:type="spellStart"/>
      <w:r>
        <w:rPr>
          <w:rFonts w:ascii="Times New Roman" w:eastAsia="Times New Roman" w:hAnsi="Times New Roman" w:cs="Times New Roman"/>
          <w:sz w:val="24"/>
          <w:szCs w:val="24"/>
        </w:rPr>
        <w:t>Thenmozhi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Sharmilla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Hepsibah</w:t>
      </w:r>
      <w:proofErr w:type="spellEnd"/>
      <w:r>
        <w:rPr>
          <w:rFonts w:ascii="Times New Roman" w:eastAsia="Times New Roman" w:hAnsi="Times New Roman" w:cs="Times New Roman"/>
          <w:sz w:val="24"/>
          <w:szCs w:val="24"/>
        </w:rPr>
        <w:t xml:space="preserve"> 2023).</w:t>
      </w:r>
    </w:p>
    <w:p w14:paraId="1CF728AF" w14:textId="77777777" w:rsidR="004204FF" w:rsidRDefault="004204FF" w:rsidP="003A775B">
      <w:pPr>
        <w:spacing w:line="240" w:lineRule="auto"/>
        <w:rPr>
          <w:rFonts w:ascii="Times New Roman" w:eastAsia="Times New Roman" w:hAnsi="Times New Roman" w:cs="Times New Roman"/>
          <w:sz w:val="24"/>
          <w:szCs w:val="24"/>
        </w:rPr>
      </w:pPr>
    </w:p>
    <w:p w14:paraId="50E087EE"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Related Studies </w:t>
      </w:r>
    </w:p>
    <w:p w14:paraId="50CBA4CE"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Self-Medication Practices</w:t>
      </w:r>
    </w:p>
    <w:p w14:paraId="2F7E4988"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Self-medication has become increasingly common, as many people see it as a quick and convenient way to manage minor health concerns without consulting a healthcare professional. It involves using traditional remedies, dietary supplements, and over-the-counter medicines without medical supervision. While this practice is widely accepted by the general population. It can pose serious risks for old adults, who are more vulnerable to adverse effects and medication related complications (Herrera-</w:t>
      </w:r>
      <w:proofErr w:type="spellStart"/>
      <w:r>
        <w:rPr>
          <w:rFonts w:ascii="Times New Roman" w:eastAsia="Times New Roman" w:hAnsi="Times New Roman" w:cs="Times New Roman"/>
          <w:sz w:val="24"/>
          <w:szCs w:val="24"/>
        </w:rPr>
        <w:t>Añazco</w:t>
      </w:r>
      <w:proofErr w:type="spellEnd"/>
      <w:r>
        <w:rPr>
          <w:rFonts w:ascii="Times New Roman" w:eastAsia="Times New Roman" w:hAnsi="Times New Roman" w:cs="Times New Roman"/>
          <w:sz w:val="24"/>
          <w:szCs w:val="24"/>
        </w:rPr>
        <w:t xml:space="preserve"> et al., 2023).</w:t>
      </w:r>
    </w:p>
    <w:p w14:paraId="1AD79FF4"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For many elderly individuals, medications are essential for maintaining their health. However, taking medicines without proper guidance can be risky. As people age, changes in metabolism, organ function, and body composition make them more </w:t>
      </w:r>
      <w:r>
        <w:rPr>
          <w:rFonts w:ascii="Times New Roman" w:eastAsia="Times New Roman" w:hAnsi="Times New Roman" w:cs="Times New Roman"/>
          <w:sz w:val="24"/>
          <w:szCs w:val="24"/>
        </w:rPr>
        <w:lastRenderedPageBreak/>
        <w:t>susceptible to drug toxicity and harmful interactions especially when they are already taking multiple medications (Herrera-</w:t>
      </w:r>
      <w:proofErr w:type="spellStart"/>
      <w:r>
        <w:rPr>
          <w:rFonts w:ascii="Times New Roman" w:eastAsia="Times New Roman" w:hAnsi="Times New Roman" w:cs="Times New Roman"/>
          <w:sz w:val="24"/>
          <w:szCs w:val="24"/>
        </w:rPr>
        <w:t>Añazco</w:t>
      </w:r>
      <w:proofErr w:type="spellEnd"/>
      <w:r>
        <w:rPr>
          <w:rFonts w:ascii="Times New Roman" w:eastAsia="Times New Roman" w:hAnsi="Times New Roman" w:cs="Times New Roman"/>
          <w:sz w:val="24"/>
          <w:szCs w:val="24"/>
        </w:rPr>
        <w:t xml:space="preserve"> et al., 2023).</w:t>
      </w:r>
    </w:p>
    <w:p w14:paraId="5D201A4C"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severity of self-medication among old adults lies in its potential to worsen health conditions, accelerate physical decline, reduce independence and increase vulnerability to illness. Because of these consequences, self-medication is not only an individual concern but also a significant public health issue (Herrera-</w:t>
      </w:r>
      <w:proofErr w:type="spellStart"/>
      <w:r>
        <w:rPr>
          <w:rFonts w:ascii="Times New Roman" w:eastAsia="Times New Roman" w:hAnsi="Times New Roman" w:cs="Times New Roman"/>
          <w:sz w:val="24"/>
          <w:szCs w:val="24"/>
        </w:rPr>
        <w:t>Añazco</w:t>
      </w:r>
      <w:proofErr w:type="spellEnd"/>
      <w:r>
        <w:rPr>
          <w:rFonts w:ascii="Times New Roman" w:eastAsia="Times New Roman" w:hAnsi="Times New Roman" w:cs="Times New Roman"/>
          <w:sz w:val="24"/>
          <w:szCs w:val="24"/>
        </w:rPr>
        <w:t xml:space="preserve"> et al., 2023).</w:t>
      </w:r>
    </w:p>
    <w:p w14:paraId="339DBA77" w14:textId="77777777" w:rsidR="004204FF" w:rsidRDefault="004204FF" w:rsidP="003A775B">
      <w:pPr>
        <w:spacing w:line="240" w:lineRule="auto"/>
        <w:rPr>
          <w:rFonts w:ascii="Times New Roman" w:eastAsia="Times New Roman" w:hAnsi="Times New Roman" w:cs="Times New Roman"/>
          <w:b/>
          <w:bCs/>
          <w:sz w:val="24"/>
          <w:szCs w:val="24"/>
        </w:rPr>
      </w:pPr>
    </w:p>
    <w:p w14:paraId="45072D70"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Self‑Care Practices for Common Acute Conditions in the Philippines.</w:t>
      </w:r>
    </w:p>
    <w:p w14:paraId="3F670318"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Philippines, people cared for themselves in various ways. They often adhered to historical customs or made use of available healthcare services. Some methods were safe and proven, while others were harmful. Filipinos frequently use doctor-prescribed or store-bought medications. Sometimes they utilized antibiotics correctly, and sometimes in the wrong way. Many people employed herbal remedies and other traditional medicines. People also strove to feel better by modifying their daily habits, engaging in enjoyable activities, or seeking assistance from traditional healers or professionals. What they did was determined by how sick they believed they were, whether treatments were readily available and effective, how much it costs, and recommendations from family, friends, or other people they </w:t>
      </w:r>
      <w:proofErr w:type="gramStart"/>
      <w:r>
        <w:rPr>
          <w:rFonts w:ascii="Times New Roman" w:eastAsia="Times New Roman" w:hAnsi="Times New Roman" w:cs="Times New Roman"/>
          <w:sz w:val="24"/>
          <w:szCs w:val="24"/>
        </w:rPr>
        <w:t>trusted  (</w:t>
      </w:r>
      <w:proofErr w:type="spellStart"/>
      <w:proofErr w:type="gramEnd"/>
      <w:r>
        <w:rPr>
          <w:rFonts w:ascii="Times New Roman" w:eastAsia="Times New Roman" w:hAnsi="Times New Roman" w:cs="Times New Roman"/>
          <w:sz w:val="24"/>
          <w:szCs w:val="24"/>
        </w:rPr>
        <w:t>Loreche</w:t>
      </w:r>
      <w:proofErr w:type="spellEnd"/>
      <w:r>
        <w:rPr>
          <w:rFonts w:ascii="Times New Roman" w:eastAsia="Times New Roman" w:hAnsi="Times New Roman" w:cs="Times New Roman"/>
          <w:sz w:val="24"/>
          <w:szCs w:val="24"/>
        </w:rPr>
        <w:t xml:space="preserve">, Pepito, &amp; </w:t>
      </w:r>
      <w:proofErr w:type="spellStart"/>
      <w:r>
        <w:rPr>
          <w:rFonts w:ascii="Times New Roman" w:eastAsia="Times New Roman" w:hAnsi="Times New Roman" w:cs="Times New Roman"/>
          <w:sz w:val="24"/>
          <w:szCs w:val="24"/>
        </w:rPr>
        <w:t>Dayrit</w:t>
      </w:r>
      <w:proofErr w:type="spellEnd"/>
      <w:r>
        <w:rPr>
          <w:rFonts w:ascii="Times New Roman" w:eastAsia="Times New Roman" w:hAnsi="Times New Roman" w:cs="Times New Roman"/>
          <w:sz w:val="24"/>
          <w:szCs w:val="24"/>
        </w:rPr>
        <w:t>, 2023).</w:t>
      </w:r>
    </w:p>
    <w:p w14:paraId="6DEE8EA7"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term "</w:t>
      </w:r>
      <w:proofErr w:type="spellStart"/>
      <w:r>
        <w:rPr>
          <w:rFonts w:ascii="Times New Roman" w:eastAsia="Times New Roman" w:hAnsi="Times New Roman" w:cs="Times New Roman"/>
          <w:sz w:val="24"/>
          <w:szCs w:val="24"/>
        </w:rPr>
        <w:t>self care</w:t>
      </w:r>
      <w:proofErr w:type="spellEnd"/>
      <w:r>
        <w:rPr>
          <w:rFonts w:ascii="Times New Roman" w:eastAsia="Times New Roman" w:hAnsi="Times New Roman" w:cs="Times New Roman"/>
          <w:sz w:val="24"/>
          <w:szCs w:val="24"/>
        </w:rPr>
        <w:t xml:space="preserve">” is rarely used by the general public or medical professionals: however, it was frequently used in the Philippines as it was known to be the standard care of persons who were most likely to commit these practices. Both individuals and hospitals </w:t>
      </w:r>
      <w:proofErr w:type="gramStart"/>
      <w:r>
        <w:rPr>
          <w:rFonts w:ascii="Times New Roman" w:eastAsia="Times New Roman" w:hAnsi="Times New Roman" w:cs="Times New Roman"/>
          <w:sz w:val="24"/>
          <w:szCs w:val="24"/>
        </w:rPr>
        <w:t>benefited  from</w:t>
      </w:r>
      <w:proofErr w:type="gramEnd"/>
      <w:r>
        <w:rPr>
          <w:rFonts w:ascii="Times New Roman" w:eastAsia="Times New Roman" w:hAnsi="Times New Roman" w:cs="Times New Roman"/>
          <w:sz w:val="24"/>
          <w:szCs w:val="24"/>
        </w:rPr>
        <w:t xml:space="preserve"> self-care. However, some practices </w:t>
      </w:r>
      <w:proofErr w:type="gramStart"/>
      <w:r>
        <w:rPr>
          <w:rFonts w:ascii="Times New Roman" w:eastAsia="Times New Roman" w:hAnsi="Times New Roman" w:cs="Times New Roman"/>
          <w:sz w:val="24"/>
          <w:szCs w:val="24"/>
        </w:rPr>
        <w:t>were  risky</w:t>
      </w:r>
      <w:proofErr w:type="gramEnd"/>
      <w:r>
        <w:rPr>
          <w:rFonts w:ascii="Times New Roman" w:eastAsia="Times New Roman" w:hAnsi="Times New Roman" w:cs="Times New Roman"/>
          <w:sz w:val="24"/>
          <w:szCs w:val="24"/>
        </w:rPr>
        <w:t>, such as sharing or using someone else's medication, taking medication incorrectly, or waiting too long to visit a doctor. The authors recommended that the nation develop a plan for safe self-care, investigate the safety of alternative medications, and increase self-care education in hospitals and schools to enable everyone to receive better care (</w:t>
      </w:r>
      <w:proofErr w:type="spellStart"/>
      <w:r>
        <w:rPr>
          <w:rFonts w:ascii="Times New Roman" w:eastAsia="Times New Roman" w:hAnsi="Times New Roman" w:cs="Times New Roman"/>
          <w:sz w:val="24"/>
          <w:szCs w:val="24"/>
        </w:rPr>
        <w:t>Loreche</w:t>
      </w:r>
      <w:proofErr w:type="spellEnd"/>
      <w:r>
        <w:rPr>
          <w:rFonts w:ascii="Times New Roman" w:eastAsia="Times New Roman" w:hAnsi="Times New Roman" w:cs="Times New Roman"/>
          <w:sz w:val="24"/>
          <w:szCs w:val="24"/>
        </w:rPr>
        <w:t xml:space="preserve">, Pepito, &amp; </w:t>
      </w:r>
      <w:proofErr w:type="spellStart"/>
      <w:r>
        <w:rPr>
          <w:rFonts w:ascii="Times New Roman" w:eastAsia="Times New Roman" w:hAnsi="Times New Roman" w:cs="Times New Roman"/>
          <w:sz w:val="24"/>
          <w:szCs w:val="24"/>
        </w:rPr>
        <w:t>Dayrit</w:t>
      </w:r>
      <w:proofErr w:type="spellEnd"/>
      <w:r>
        <w:rPr>
          <w:rFonts w:ascii="Times New Roman" w:eastAsia="Times New Roman" w:hAnsi="Times New Roman" w:cs="Times New Roman"/>
          <w:sz w:val="24"/>
          <w:szCs w:val="24"/>
        </w:rPr>
        <w:t>, 2023).</w:t>
      </w:r>
    </w:p>
    <w:p w14:paraId="73E37BD3" w14:textId="77777777" w:rsidR="004204FF" w:rsidRDefault="004204FF" w:rsidP="003A775B">
      <w:pPr>
        <w:spacing w:line="240" w:lineRule="auto"/>
        <w:ind w:firstLine="720"/>
        <w:rPr>
          <w:rFonts w:ascii="Times New Roman" w:eastAsia="Times New Roman" w:hAnsi="Times New Roman" w:cs="Times New Roman"/>
          <w:sz w:val="24"/>
          <w:szCs w:val="24"/>
        </w:rPr>
      </w:pPr>
    </w:p>
    <w:p w14:paraId="791241DD"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Scenario of Self-Medication Practices During the COVID-19 Pandemic: A Systematic Review</w:t>
      </w:r>
    </w:p>
    <w:p w14:paraId="4C75B0FF"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global COVID-19 pandemic changed the lifestyles of individuals worldwide. Lockdowns, clinic closures, and fear of infection forced several individuals to self-medicate, making it difficult to get timely professional medical care when needed. Self-medication included the use of medications to manage conditions identified by oneself, the indiscriminate intake of prescriptions intended for other symptoms or diseases, taking drugs without a doctor’s prescription, using or sharing medicines with close contacts, and the use of expired medications (Shrestha et al., 2022).</w:t>
      </w:r>
    </w:p>
    <w:p w14:paraId="5A140E43"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behaviors contributed to several substantial risks, including adverse effects, misdiagnosis, delays in receiving adequate medical attention, adverse medication interactions, and drug dependence. Systematic reviews estimated that a large percentage of the population engaged in self-medication during the </w:t>
      </w:r>
      <w:proofErr w:type="spellStart"/>
      <w:proofErr w:type="gramStart"/>
      <w:r>
        <w:rPr>
          <w:rFonts w:ascii="Times New Roman" w:eastAsia="Times New Roman" w:hAnsi="Times New Roman" w:cs="Times New Roman"/>
          <w:sz w:val="24"/>
          <w:szCs w:val="24"/>
        </w:rPr>
        <w:t>pandemic.This</w:t>
      </w:r>
      <w:proofErr w:type="spellEnd"/>
      <w:proofErr w:type="gramEnd"/>
      <w:r>
        <w:rPr>
          <w:rFonts w:ascii="Times New Roman" w:eastAsia="Times New Roman" w:hAnsi="Times New Roman" w:cs="Times New Roman"/>
          <w:sz w:val="24"/>
          <w:szCs w:val="24"/>
        </w:rPr>
        <w:t xml:space="preserve"> tendency was amplified by the spread of misinformation and panic through social media. For example, during the COVID-19 pandemic, many people turned to self-medication, using drugs such as </w:t>
      </w:r>
      <w:proofErr w:type="spellStart"/>
      <w:r>
        <w:rPr>
          <w:rFonts w:ascii="Times New Roman" w:eastAsia="Times New Roman" w:hAnsi="Times New Roman" w:cs="Times New Roman"/>
          <w:sz w:val="24"/>
          <w:szCs w:val="24"/>
        </w:rPr>
        <w:t>hydroxychloroniquine</w:t>
      </w:r>
      <w:proofErr w:type="spellEnd"/>
      <w:r>
        <w:rPr>
          <w:rFonts w:ascii="Times New Roman" w:eastAsia="Times New Roman" w:hAnsi="Times New Roman" w:cs="Times New Roman"/>
          <w:sz w:val="24"/>
          <w:szCs w:val="24"/>
        </w:rPr>
        <w:t xml:space="preserve">, azithromycin, and ivermectin as well as various </w:t>
      </w:r>
      <w:r>
        <w:rPr>
          <w:rFonts w:ascii="Times New Roman" w:eastAsia="Times New Roman" w:hAnsi="Times New Roman" w:cs="Times New Roman"/>
          <w:sz w:val="24"/>
          <w:szCs w:val="24"/>
        </w:rPr>
        <w:lastRenderedPageBreak/>
        <w:t xml:space="preserve">supplements, </w:t>
      </w:r>
      <w:proofErr w:type="spellStart"/>
      <w:proofErr w:type="gramStart"/>
      <w:r>
        <w:rPr>
          <w:rFonts w:ascii="Times New Roman" w:eastAsia="Times New Roman" w:hAnsi="Times New Roman" w:cs="Times New Roman"/>
          <w:sz w:val="24"/>
          <w:szCs w:val="24"/>
        </w:rPr>
        <w:t>eventhough</w:t>
      </w:r>
      <w:proofErr w:type="spellEnd"/>
      <w:r>
        <w:rPr>
          <w:rFonts w:ascii="Times New Roman" w:eastAsia="Times New Roman" w:hAnsi="Times New Roman" w:cs="Times New Roman"/>
          <w:sz w:val="24"/>
          <w:szCs w:val="24"/>
        </w:rPr>
        <w:t xml:space="preserve">  clear</w:t>
      </w:r>
      <w:proofErr w:type="gramEnd"/>
      <w:r>
        <w:rPr>
          <w:rFonts w:ascii="Times New Roman" w:eastAsia="Times New Roman" w:hAnsi="Times New Roman" w:cs="Times New Roman"/>
          <w:sz w:val="24"/>
          <w:szCs w:val="24"/>
        </w:rPr>
        <w:t xml:space="preserve"> evidence of their effectiveness was lacking and potential risks were present. In response the World Health Organization warned that self-medication could lead to harmful side effects, unnecessary expenses, and dangerous delays in seeking proper medical care (</w:t>
      </w:r>
      <w:proofErr w:type="spellStart"/>
      <w:r>
        <w:rPr>
          <w:rFonts w:ascii="Times New Roman" w:eastAsia="Times New Roman" w:hAnsi="Times New Roman" w:cs="Times New Roman"/>
          <w:sz w:val="24"/>
          <w:szCs w:val="24"/>
        </w:rPr>
        <w:t>Sherestha</w:t>
      </w:r>
      <w:proofErr w:type="spellEnd"/>
      <w:r>
        <w:rPr>
          <w:rFonts w:ascii="Times New Roman" w:eastAsia="Times New Roman" w:hAnsi="Times New Roman" w:cs="Times New Roman"/>
          <w:sz w:val="24"/>
          <w:szCs w:val="24"/>
        </w:rPr>
        <w:t xml:space="preserve"> et al., 2022; WHO, 2022). </w:t>
      </w:r>
    </w:p>
    <w:p w14:paraId="4E740232" w14:textId="77777777" w:rsidR="004204FF" w:rsidRDefault="004E35BA" w:rsidP="003A775B">
      <w:pPr>
        <w:pStyle w:val="Heading1"/>
        <w:keepNext w:val="0"/>
        <w:keepLines w:val="0"/>
        <w:shd w:val="clear" w:color="auto" w:fill="FFFFFF"/>
        <w:spacing w:before="0" w:after="0" w:line="240" w:lineRule="auto"/>
        <w:rPr>
          <w:rFonts w:ascii="Times New Roman" w:eastAsia="Times New Roman" w:hAnsi="Times New Roman" w:cs="Times New Roman"/>
          <w:b/>
          <w:bCs/>
          <w:sz w:val="24"/>
          <w:szCs w:val="24"/>
        </w:rPr>
      </w:pPr>
      <w:bookmarkStart w:id="1" w:name="_jk4sqi8ate48" w:colFirst="0" w:colLast="0"/>
      <w:bookmarkEnd w:id="1"/>
      <w:r>
        <w:rPr>
          <w:rFonts w:ascii="Times New Roman" w:eastAsia="Times New Roman" w:hAnsi="Times New Roman" w:cs="Times New Roman"/>
          <w:b/>
          <w:bCs/>
          <w:sz w:val="24"/>
          <w:szCs w:val="24"/>
        </w:rPr>
        <w:t>Self-Medication Practices Among the Geriatric Population</w:t>
      </w:r>
    </w:p>
    <w:p w14:paraId="53851A8B" w14:textId="77777777" w:rsidR="004204FF" w:rsidRDefault="004E35BA" w:rsidP="003A775B">
      <w:pPr>
        <w:spacing w:line="240" w:lineRule="auto"/>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 xml:space="preserve">The study explored the increasing practice of self-medication among old adults.  It found that many elderly individuals chose to treat themselves based on previous experiences with certain medicines, financial constraints, and the desire for quick relief from common conditions such as abdominal pain, headaches, joint pain, and fever.    Most of the medicines they used were over-the-counter drugs purchased directly from pharmacies without a prescription. Although many old adults were aware of the possible risks and adverse drug reactions, they continued to self-medicate because it was more convenient and less expensive than consulting a healthcare </w:t>
      </w:r>
      <w:proofErr w:type="spellStart"/>
      <w:proofErr w:type="gramStart"/>
      <w:r>
        <w:rPr>
          <w:rFonts w:ascii="Times New Roman" w:eastAsia="Times New Roman" w:hAnsi="Times New Roman" w:cs="Times New Roman"/>
          <w:sz w:val="24"/>
          <w:szCs w:val="24"/>
        </w:rPr>
        <w:t>professional.Unfortunately</w:t>
      </w:r>
      <w:proofErr w:type="spellEnd"/>
      <w:proofErr w:type="gramEnd"/>
      <w:r>
        <w:rPr>
          <w:rFonts w:ascii="Times New Roman" w:eastAsia="Times New Roman" w:hAnsi="Times New Roman" w:cs="Times New Roman"/>
          <w:sz w:val="24"/>
          <w:szCs w:val="24"/>
        </w:rPr>
        <w:t>, this practice placed them at greater risk for harmful drug interactions, incorrect self-diagnosis , and other negative health outcomes (</w:t>
      </w:r>
      <w:proofErr w:type="spellStart"/>
      <w:r>
        <w:rPr>
          <w:rFonts w:ascii="Times New Roman" w:eastAsia="Times New Roman" w:hAnsi="Times New Roman" w:cs="Times New Roman"/>
          <w:sz w:val="24"/>
          <w:szCs w:val="24"/>
        </w:rPr>
        <w:t>Ghodkhande</w:t>
      </w:r>
      <w:proofErr w:type="spellEnd"/>
      <w:r>
        <w:rPr>
          <w:rFonts w:ascii="Times New Roman" w:eastAsia="Times New Roman" w:hAnsi="Times New Roman" w:cs="Times New Roman"/>
          <w:sz w:val="24"/>
          <w:szCs w:val="24"/>
        </w:rPr>
        <w:t xml:space="preserve"> et al., 2023).</w:t>
      </w:r>
    </w:p>
    <w:p w14:paraId="3458334B"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review also highlighted the vital role of pharmacists and the healthcare system in promoting safer medication practices among the elderly. It suggested that improving access to free consultations and expanding access to free consultations and expanding medical insurance coverage could help reduce self-medication among old adults. These findings support the present study’s focus on perceived severity and self-medication practices, particularly in understanding how access to healthcare, professional beliefs, and past experiences shape the health behaviors of old adults in the community.</w:t>
      </w:r>
    </w:p>
    <w:p w14:paraId="36B49432" w14:textId="77777777" w:rsidR="004204FF" w:rsidRDefault="004E35BA" w:rsidP="003A775B">
      <w:pPr>
        <w:pStyle w:val="Heading1"/>
        <w:keepNext w:val="0"/>
        <w:keepLines w:val="0"/>
        <w:shd w:val="clear" w:color="auto" w:fill="FFFFFF"/>
        <w:spacing w:before="0" w:after="0" w:line="240" w:lineRule="auto"/>
        <w:rPr>
          <w:rFonts w:ascii="Times New Roman" w:eastAsia="Times New Roman" w:hAnsi="Times New Roman" w:cs="Times New Roman"/>
          <w:b/>
          <w:bCs/>
          <w:sz w:val="24"/>
          <w:szCs w:val="24"/>
        </w:rPr>
      </w:pPr>
      <w:bookmarkStart w:id="2" w:name="_tfpf0n89hguv" w:colFirst="0" w:colLast="0"/>
      <w:bookmarkEnd w:id="2"/>
      <w:r>
        <w:rPr>
          <w:rFonts w:ascii="Times New Roman" w:eastAsia="Times New Roman" w:hAnsi="Times New Roman" w:cs="Times New Roman"/>
          <w:b/>
          <w:bCs/>
          <w:sz w:val="24"/>
          <w:szCs w:val="24"/>
        </w:rPr>
        <w:t>Prevalence of Self-Medication Among the Elderly</w:t>
      </w:r>
    </w:p>
    <w:p w14:paraId="48A614BC" w14:textId="77777777" w:rsidR="004204FF" w:rsidRDefault="004E35BA" w:rsidP="003A775B">
      <w:pPr>
        <w:spacing w:line="240" w:lineRule="auto"/>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Self-medication happens when a person takes medicines to treat symptoms or illnesses they have diagnosed on their own, without a doctor’s prescription. This can include buying and using drugs without prescription, reusing old prescriptions, sharing medicines with family or friends, taking leftover tablets, or changing the prescribed dose. It may also involve using over-the-counter drugs, herbal or traditional remedies, and dietary supplements. While self-medication can seem practical and cost saving for individuals and even for healthcare systems, it also carries serious risks. When medicines are used improperly, they can lead to problems such as bacterial resistance, harmful drug interactions, severe side effects, dependency, poisoning, delayed proper treatment, wasted resources, and in extreme cases death. Studies show that factors like age, gender, educational background, marital status, financial situation, insurance coverage, and access to healthcare services can influence a person’s decision to self-medicate.</w:t>
      </w:r>
    </w:p>
    <w:p w14:paraId="26765095"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Although self-medication occurs across all age groups, it is especially common among old adults. Many elderly individuals take multiple medications to manage chronic conditions such as diabetes, heart disease, and cancer. Their past experiences with healthcare providers, personal health beliefs, and even advice from family or peers can shape their decision to self-medicate. At the same time, natural age-related changes in the body particularly in how drugs are absorbed and metabolized make them more vulnerable to complications, increasing the risks associated with unsupervised medication use (</w:t>
      </w:r>
      <w:proofErr w:type="spellStart"/>
      <w:r>
        <w:rPr>
          <w:rFonts w:ascii="Times New Roman" w:eastAsia="Times New Roman" w:hAnsi="Times New Roman" w:cs="Times New Roman"/>
          <w:sz w:val="24"/>
          <w:szCs w:val="24"/>
        </w:rPr>
        <w:t>Rafati</w:t>
      </w:r>
      <w:proofErr w:type="spellEnd"/>
      <w:r>
        <w:rPr>
          <w:rFonts w:ascii="Times New Roman" w:eastAsia="Times New Roman" w:hAnsi="Times New Roman" w:cs="Times New Roman"/>
          <w:sz w:val="24"/>
          <w:szCs w:val="24"/>
        </w:rPr>
        <w:t xml:space="preserve"> et al., 2023). Because of these concerns, addressing self-medication among old adults is essential, particularly in developing countries where access to healthcare services may be limited. Gaining a clearer understanding of its prevalence, patterns, and underlying causes can help policymakers and healthcare professionals design effective </w:t>
      </w:r>
      <w:r>
        <w:rPr>
          <w:rFonts w:ascii="Times New Roman" w:eastAsia="Times New Roman" w:hAnsi="Times New Roman" w:cs="Times New Roman"/>
          <w:sz w:val="24"/>
          <w:szCs w:val="24"/>
        </w:rPr>
        <w:lastRenderedPageBreak/>
        <w:t>educational programs and regulations that promote safer and more responsible medication practices.</w:t>
      </w:r>
    </w:p>
    <w:p w14:paraId="23FE2744" w14:textId="77777777" w:rsidR="004204FF" w:rsidRDefault="004204FF" w:rsidP="003A775B">
      <w:pPr>
        <w:spacing w:line="240" w:lineRule="auto"/>
        <w:rPr>
          <w:rFonts w:ascii="Times New Roman" w:eastAsia="Times New Roman" w:hAnsi="Times New Roman" w:cs="Times New Roman"/>
          <w:sz w:val="24"/>
          <w:szCs w:val="24"/>
        </w:rPr>
      </w:pPr>
    </w:p>
    <w:p w14:paraId="68352BF3"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Synthesis </w:t>
      </w:r>
    </w:p>
    <w:p w14:paraId="5AE3F7B8"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The reviewed literature shows how people perceive the seriousness of their illness and how easily they can access healthcare services that strongly influences their decision to self-</w:t>
      </w:r>
      <w:proofErr w:type="spellStart"/>
      <w:proofErr w:type="gramStart"/>
      <w:r>
        <w:rPr>
          <w:rFonts w:ascii="Times New Roman" w:eastAsia="Times New Roman" w:hAnsi="Times New Roman" w:cs="Times New Roman"/>
          <w:sz w:val="24"/>
          <w:szCs w:val="24"/>
        </w:rPr>
        <w:t>medicate.This</w:t>
      </w:r>
      <w:proofErr w:type="spellEnd"/>
      <w:proofErr w:type="gramEnd"/>
      <w:r>
        <w:rPr>
          <w:rFonts w:ascii="Times New Roman" w:eastAsia="Times New Roman" w:hAnsi="Times New Roman" w:cs="Times New Roman"/>
          <w:sz w:val="24"/>
          <w:szCs w:val="24"/>
        </w:rPr>
        <w:t xml:space="preserve"> is especially true among old adults, who often rely on personal experience, familiarity with certain medications, or convenience instead of seeking professional medical advice. Across different countries and age groups, self-medication defined as taking medicines without professional supervision has been identified as a common practice. Many individuals choose to treat themselves because they believe their symptoms are mild and do not require doctor’s consultation. However, this mindset can lead to improper drug use, incorrect dosages, and harmful drug interactions (Akande-</w:t>
      </w:r>
      <w:proofErr w:type="spellStart"/>
      <w:r>
        <w:rPr>
          <w:rFonts w:ascii="Times New Roman" w:eastAsia="Times New Roman" w:hAnsi="Times New Roman" w:cs="Times New Roman"/>
          <w:sz w:val="24"/>
          <w:szCs w:val="24"/>
        </w:rPr>
        <w:t>Sholabi</w:t>
      </w:r>
      <w:proofErr w:type="spellEnd"/>
      <w:r>
        <w:rPr>
          <w:rFonts w:ascii="Times New Roman" w:eastAsia="Times New Roman" w:hAnsi="Times New Roman" w:cs="Times New Roman"/>
          <w:sz w:val="24"/>
          <w:szCs w:val="24"/>
        </w:rPr>
        <w:t xml:space="preserve">, Ajamu, &amp; </w:t>
      </w:r>
      <w:proofErr w:type="spellStart"/>
      <w:r>
        <w:rPr>
          <w:rFonts w:ascii="Times New Roman" w:eastAsia="Times New Roman" w:hAnsi="Times New Roman" w:cs="Times New Roman"/>
          <w:sz w:val="24"/>
          <w:szCs w:val="24"/>
        </w:rPr>
        <w:t>Adisa</w:t>
      </w:r>
      <w:proofErr w:type="spellEnd"/>
      <w:r>
        <w:rPr>
          <w:rFonts w:ascii="Times New Roman" w:eastAsia="Times New Roman" w:hAnsi="Times New Roman" w:cs="Times New Roman"/>
          <w:sz w:val="24"/>
          <w:szCs w:val="24"/>
        </w:rPr>
        <w:t xml:space="preserve">, 2021; </w:t>
      </w:r>
      <w:proofErr w:type="spellStart"/>
      <w:r>
        <w:rPr>
          <w:rFonts w:ascii="Times New Roman" w:eastAsia="Times New Roman" w:hAnsi="Times New Roman" w:cs="Times New Roman"/>
          <w:sz w:val="24"/>
          <w:szCs w:val="24"/>
        </w:rPr>
        <w:t>Khatony</w:t>
      </w:r>
      <w:proofErr w:type="spellEnd"/>
      <w:r>
        <w:rPr>
          <w:rFonts w:ascii="Times New Roman" w:eastAsia="Times New Roman" w:hAnsi="Times New Roman" w:cs="Times New Roman"/>
          <w:sz w:val="24"/>
          <w:szCs w:val="24"/>
        </w:rPr>
        <w:t xml:space="preserve"> et al., 2020).</w:t>
      </w:r>
    </w:p>
    <w:p w14:paraId="76A34401"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the Philippines, self-medication has become deeply embedded in daily routines and cultural practices. Many Filipinos use over-the-counter medicines and herbal or traditional remedies to manage common symptoms such as cough and fever. Instead of visiting a physician, they often depend on various prescriptions or </w:t>
      </w:r>
      <w:proofErr w:type="gramStart"/>
      <w:r>
        <w:rPr>
          <w:rFonts w:ascii="Times New Roman" w:eastAsia="Times New Roman" w:hAnsi="Times New Roman" w:cs="Times New Roman"/>
          <w:sz w:val="24"/>
          <w:szCs w:val="24"/>
        </w:rPr>
        <w:t>advice  from</w:t>
      </w:r>
      <w:proofErr w:type="gramEnd"/>
      <w:r>
        <w:rPr>
          <w:rFonts w:ascii="Times New Roman" w:eastAsia="Times New Roman" w:hAnsi="Times New Roman" w:cs="Times New Roman"/>
          <w:sz w:val="24"/>
          <w:szCs w:val="24"/>
        </w:rPr>
        <w:t xml:space="preserve"> pharmacists and pharmacy staff (</w:t>
      </w:r>
      <w:proofErr w:type="spellStart"/>
      <w:r>
        <w:rPr>
          <w:rFonts w:ascii="Times New Roman" w:eastAsia="Times New Roman" w:hAnsi="Times New Roman" w:cs="Times New Roman"/>
          <w:sz w:val="24"/>
          <w:szCs w:val="24"/>
        </w:rPr>
        <w:t>Loreche</w:t>
      </w:r>
      <w:proofErr w:type="spellEnd"/>
      <w:r>
        <w:rPr>
          <w:rFonts w:ascii="Times New Roman" w:eastAsia="Times New Roman" w:hAnsi="Times New Roman" w:cs="Times New Roman"/>
          <w:sz w:val="24"/>
          <w:szCs w:val="24"/>
        </w:rPr>
        <w:t>, Pepito, &amp;</w:t>
      </w:r>
      <w:proofErr w:type="spellStart"/>
      <w:r>
        <w:rPr>
          <w:rFonts w:ascii="Times New Roman" w:eastAsia="Times New Roman" w:hAnsi="Times New Roman" w:cs="Times New Roman"/>
          <w:sz w:val="24"/>
          <w:szCs w:val="24"/>
        </w:rPr>
        <w:t>Dayrit</w:t>
      </w:r>
      <w:proofErr w:type="spellEnd"/>
      <w:r>
        <w:rPr>
          <w:rFonts w:ascii="Times New Roman" w:eastAsia="Times New Roman" w:hAnsi="Times New Roman" w:cs="Times New Roman"/>
          <w:sz w:val="24"/>
          <w:szCs w:val="24"/>
        </w:rPr>
        <w:t>, 2023). While self-care may offer convenience and quick relief, unsafe practices such as inappropriate antibiotic use, reliance information, and delayed medical consultation can result in serious health consequences (</w:t>
      </w:r>
      <w:proofErr w:type="spellStart"/>
      <w:r>
        <w:rPr>
          <w:rFonts w:ascii="Times New Roman" w:eastAsia="Times New Roman" w:hAnsi="Times New Roman" w:cs="Times New Roman"/>
          <w:sz w:val="24"/>
          <w:szCs w:val="24"/>
        </w:rPr>
        <w:t>Thenmozhi</w:t>
      </w:r>
      <w:proofErr w:type="spellEnd"/>
      <w:r>
        <w:rPr>
          <w:rFonts w:ascii="Times New Roman" w:eastAsia="Times New Roman" w:hAnsi="Times New Roman" w:cs="Times New Roman"/>
          <w:sz w:val="24"/>
          <w:szCs w:val="24"/>
        </w:rPr>
        <w:t xml:space="preserve">, Sharmila, &amp; </w:t>
      </w:r>
      <w:proofErr w:type="spellStart"/>
      <w:r>
        <w:rPr>
          <w:rFonts w:ascii="Times New Roman" w:eastAsia="Times New Roman" w:hAnsi="Times New Roman" w:cs="Times New Roman"/>
          <w:sz w:val="24"/>
          <w:szCs w:val="24"/>
        </w:rPr>
        <w:t>Hepsibah</w:t>
      </w:r>
      <w:proofErr w:type="spellEnd"/>
      <w:r>
        <w:rPr>
          <w:rFonts w:ascii="Times New Roman" w:eastAsia="Times New Roman" w:hAnsi="Times New Roman" w:cs="Times New Roman"/>
          <w:sz w:val="24"/>
          <w:szCs w:val="24"/>
        </w:rPr>
        <w:t xml:space="preserve">, 2023; </w:t>
      </w:r>
      <w:proofErr w:type="spellStart"/>
      <w:r>
        <w:rPr>
          <w:rFonts w:ascii="Times New Roman" w:eastAsia="Times New Roman" w:hAnsi="Times New Roman" w:cs="Times New Roman"/>
          <w:sz w:val="24"/>
          <w:szCs w:val="24"/>
        </w:rPr>
        <w:t>Loreche</w:t>
      </w:r>
      <w:proofErr w:type="spellEnd"/>
      <w:r>
        <w:rPr>
          <w:rFonts w:ascii="Times New Roman" w:eastAsia="Times New Roman" w:hAnsi="Times New Roman" w:cs="Times New Roman"/>
          <w:sz w:val="24"/>
          <w:szCs w:val="24"/>
        </w:rPr>
        <w:t>, Pepito, &amp;</w:t>
      </w:r>
      <w:proofErr w:type="spellStart"/>
      <w:r>
        <w:rPr>
          <w:rFonts w:ascii="Times New Roman" w:eastAsia="Times New Roman" w:hAnsi="Times New Roman" w:cs="Times New Roman"/>
          <w:sz w:val="24"/>
          <w:szCs w:val="24"/>
        </w:rPr>
        <w:t>Dayrit</w:t>
      </w:r>
      <w:proofErr w:type="spellEnd"/>
      <w:r>
        <w:rPr>
          <w:rFonts w:ascii="Times New Roman" w:eastAsia="Times New Roman" w:hAnsi="Times New Roman" w:cs="Times New Roman"/>
          <w:sz w:val="24"/>
          <w:szCs w:val="24"/>
        </w:rPr>
        <w:t>, 2023).</w:t>
      </w:r>
    </w:p>
    <w:p w14:paraId="7074C55C"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COVID-19 pandemic further increased self-medication behaviors Lockdowns, fear of infection, and misinformation circulating on social media led many individuals to self-diagnose and self-treat using prescription medications. These actions were associated with negative outcomes, including adverse drug effects, dependency, misdiagnosis, and delays in seeking appropriate medical care (Shrestha et al., 2022; WHO 2022).</w:t>
      </w:r>
    </w:p>
    <w:p w14:paraId="4AC442F2"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Self-medication poses even greater risks for old adults because aging affects how the body absorbs, distributes, and metabolizes drugs. Despite these risks, many elderly individuals continue to self-medicate due to financial limitations, difficulty accessing healthcare facilities, and familiarity with certain medications from past use (</w:t>
      </w:r>
      <w:proofErr w:type="spellStart"/>
      <w:r>
        <w:rPr>
          <w:rFonts w:ascii="Times New Roman" w:eastAsia="Times New Roman" w:hAnsi="Times New Roman" w:cs="Times New Roman"/>
          <w:sz w:val="24"/>
          <w:szCs w:val="24"/>
        </w:rPr>
        <w:t>Rafati</w:t>
      </w:r>
      <w:proofErr w:type="spellEnd"/>
      <w:r>
        <w:rPr>
          <w:rFonts w:ascii="Times New Roman" w:eastAsia="Times New Roman" w:hAnsi="Times New Roman" w:cs="Times New Roman"/>
          <w:sz w:val="24"/>
          <w:szCs w:val="24"/>
        </w:rPr>
        <w:t xml:space="preserve"> et al., 2023; </w:t>
      </w:r>
      <w:proofErr w:type="spellStart"/>
      <w:r>
        <w:rPr>
          <w:rFonts w:ascii="Times New Roman" w:eastAsia="Times New Roman" w:hAnsi="Times New Roman" w:cs="Times New Roman"/>
          <w:sz w:val="24"/>
          <w:szCs w:val="24"/>
        </w:rPr>
        <w:t>Ghodkhande</w:t>
      </w:r>
      <w:proofErr w:type="spellEnd"/>
      <w:r>
        <w:rPr>
          <w:rFonts w:ascii="Times New Roman" w:eastAsia="Times New Roman" w:hAnsi="Times New Roman" w:cs="Times New Roman"/>
          <w:sz w:val="24"/>
          <w:szCs w:val="24"/>
        </w:rPr>
        <w:t xml:space="preserve"> et al. 2023). Pain relievers and antibiotics are among the most commonly used drugs in this group, yet incorrect use can lead to serious complications (</w:t>
      </w:r>
      <w:proofErr w:type="spellStart"/>
      <w:r>
        <w:rPr>
          <w:rFonts w:ascii="Times New Roman" w:eastAsia="Times New Roman" w:hAnsi="Times New Roman" w:cs="Times New Roman"/>
          <w:sz w:val="24"/>
          <w:szCs w:val="24"/>
        </w:rPr>
        <w:t>Pedrolongo</w:t>
      </w:r>
      <w:proofErr w:type="spellEnd"/>
      <w:r>
        <w:rPr>
          <w:rFonts w:ascii="Times New Roman" w:eastAsia="Times New Roman" w:hAnsi="Times New Roman" w:cs="Times New Roman"/>
          <w:sz w:val="24"/>
          <w:szCs w:val="24"/>
        </w:rPr>
        <w:t xml:space="preserve"> et al., 2024; Herrera-</w:t>
      </w:r>
      <w:proofErr w:type="spellStart"/>
      <w:r>
        <w:rPr>
          <w:rFonts w:ascii="Times New Roman" w:eastAsia="Times New Roman" w:hAnsi="Times New Roman" w:cs="Times New Roman"/>
          <w:sz w:val="24"/>
          <w:szCs w:val="24"/>
        </w:rPr>
        <w:t>Añazco</w:t>
      </w:r>
      <w:proofErr w:type="spellEnd"/>
      <w:r>
        <w:rPr>
          <w:rFonts w:ascii="Times New Roman" w:eastAsia="Times New Roman" w:hAnsi="Times New Roman" w:cs="Times New Roman"/>
          <w:sz w:val="24"/>
          <w:szCs w:val="24"/>
        </w:rPr>
        <w:t xml:space="preserve"> et al., 2023). These findings highlight how practical challenges, long standing habits, and personal beliefs can shape the health decisions of old adults sometimes placing them at increased risk.</w:t>
      </w:r>
    </w:p>
    <w:p w14:paraId="664926BD"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Despite the growing body of research, there remains a gap in understanding how old adults’ perceptions of illness severity specifically influence their self-medication practices. Most existing studies focus on students or the general population, giving limited attention to the unique circumstances of the elderly. Exploring this area further can help healthcare professionals and community leaders design targeted educational programs and support systems that promote safer and more responsible medication use among old adults (</w:t>
      </w:r>
      <w:proofErr w:type="spellStart"/>
      <w:r>
        <w:rPr>
          <w:rFonts w:ascii="Times New Roman" w:eastAsia="Times New Roman" w:hAnsi="Times New Roman" w:cs="Times New Roman"/>
          <w:sz w:val="24"/>
          <w:szCs w:val="24"/>
        </w:rPr>
        <w:t>Loreche</w:t>
      </w:r>
      <w:proofErr w:type="spellEnd"/>
      <w:r>
        <w:rPr>
          <w:rFonts w:ascii="Times New Roman" w:eastAsia="Times New Roman" w:hAnsi="Times New Roman" w:cs="Times New Roman"/>
          <w:sz w:val="24"/>
          <w:szCs w:val="24"/>
        </w:rPr>
        <w:t xml:space="preserve">, Pepito, &amp; </w:t>
      </w:r>
      <w:proofErr w:type="spellStart"/>
      <w:r>
        <w:rPr>
          <w:rFonts w:ascii="Times New Roman" w:eastAsia="Times New Roman" w:hAnsi="Times New Roman" w:cs="Times New Roman"/>
          <w:sz w:val="24"/>
          <w:szCs w:val="24"/>
        </w:rPr>
        <w:t>Dayrit</w:t>
      </w:r>
      <w:proofErr w:type="spellEnd"/>
      <w:r>
        <w:rPr>
          <w:rFonts w:ascii="Times New Roman" w:eastAsia="Times New Roman" w:hAnsi="Times New Roman" w:cs="Times New Roman"/>
          <w:sz w:val="24"/>
          <w:szCs w:val="24"/>
        </w:rPr>
        <w:t xml:space="preserve">, 2023; </w:t>
      </w:r>
      <w:proofErr w:type="spellStart"/>
      <w:r>
        <w:rPr>
          <w:rFonts w:ascii="Times New Roman" w:eastAsia="Times New Roman" w:hAnsi="Times New Roman" w:cs="Times New Roman"/>
          <w:sz w:val="24"/>
          <w:szCs w:val="24"/>
        </w:rPr>
        <w:t>Khatony</w:t>
      </w:r>
      <w:proofErr w:type="spellEnd"/>
      <w:r>
        <w:rPr>
          <w:rFonts w:ascii="Times New Roman" w:eastAsia="Times New Roman" w:hAnsi="Times New Roman" w:cs="Times New Roman"/>
          <w:sz w:val="24"/>
          <w:szCs w:val="24"/>
        </w:rPr>
        <w:t xml:space="preserve"> et al., 2020; </w:t>
      </w:r>
      <w:proofErr w:type="spellStart"/>
      <w:r>
        <w:rPr>
          <w:rFonts w:ascii="Times New Roman" w:eastAsia="Times New Roman" w:hAnsi="Times New Roman" w:cs="Times New Roman"/>
          <w:sz w:val="24"/>
          <w:szCs w:val="24"/>
        </w:rPr>
        <w:t>Ghodkhande</w:t>
      </w:r>
      <w:proofErr w:type="spellEnd"/>
      <w:r>
        <w:rPr>
          <w:rFonts w:ascii="Times New Roman" w:eastAsia="Times New Roman" w:hAnsi="Times New Roman" w:cs="Times New Roman"/>
          <w:sz w:val="24"/>
          <w:szCs w:val="24"/>
        </w:rPr>
        <w:t xml:space="preserve"> et al., 2023). </w:t>
      </w:r>
    </w:p>
    <w:p w14:paraId="1F5FFEEC" w14:textId="77777777" w:rsidR="004204FF" w:rsidRDefault="004204FF" w:rsidP="003A775B">
      <w:pPr>
        <w:spacing w:line="240" w:lineRule="auto"/>
        <w:ind w:firstLine="720"/>
        <w:rPr>
          <w:rFonts w:ascii="Times New Roman" w:eastAsia="Times New Roman" w:hAnsi="Times New Roman" w:cs="Times New Roman"/>
          <w:sz w:val="24"/>
          <w:szCs w:val="24"/>
        </w:rPr>
      </w:pPr>
    </w:p>
    <w:p w14:paraId="40C36A8B" w14:textId="77777777" w:rsidR="004204FF" w:rsidRDefault="004204FF" w:rsidP="003A775B">
      <w:pPr>
        <w:spacing w:line="240" w:lineRule="auto"/>
        <w:ind w:firstLine="720"/>
        <w:rPr>
          <w:rFonts w:ascii="Times New Roman" w:eastAsia="Times New Roman" w:hAnsi="Times New Roman" w:cs="Times New Roman"/>
          <w:sz w:val="24"/>
          <w:szCs w:val="24"/>
        </w:rPr>
      </w:pPr>
    </w:p>
    <w:p w14:paraId="23DB22ED" w14:textId="77777777" w:rsidR="004204FF" w:rsidRDefault="004204FF" w:rsidP="003A775B">
      <w:pPr>
        <w:spacing w:line="240" w:lineRule="auto"/>
        <w:ind w:firstLine="720"/>
        <w:rPr>
          <w:rFonts w:ascii="Times New Roman" w:eastAsia="Times New Roman" w:hAnsi="Times New Roman" w:cs="Times New Roman"/>
          <w:sz w:val="24"/>
          <w:szCs w:val="24"/>
        </w:rPr>
      </w:pPr>
    </w:p>
    <w:p w14:paraId="28D79C11" w14:textId="77777777" w:rsidR="004204FF" w:rsidRDefault="004204FF" w:rsidP="003A775B">
      <w:pPr>
        <w:spacing w:line="240" w:lineRule="auto"/>
        <w:ind w:firstLine="720"/>
        <w:rPr>
          <w:rFonts w:ascii="Times New Roman" w:eastAsia="Times New Roman" w:hAnsi="Times New Roman" w:cs="Times New Roman"/>
          <w:sz w:val="24"/>
          <w:szCs w:val="24"/>
        </w:rPr>
      </w:pPr>
    </w:p>
    <w:p w14:paraId="728AF3F7" w14:textId="77777777" w:rsidR="004204FF" w:rsidRDefault="004204FF" w:rsidP="003A775B">
      <w:pPr>
        <w:spacing w:line="240" w:lineRule="auto"/>
        <w:ind w:firstLine="720"/>
        <w:rPr>
          <w:rFonts w:ascii="Times New Roman" w:eastAsia="Times New Roman" w:hAnsi="Times New Roman" w:cs="Times New Roman"/>
          <w:sz w:val="24"/>
          <w:szCs w:val="24"/>
        </w:rPr>
      </w:pPr>
    </w:p>
    <w:p w14:paraId="57BE48FC" w14:textId="77777777" w:rsidR="004204FF" w:rsidRDefault="004204FF" w:rsidP="003A775B">
      <w:pPr>
        <w:spacing w:line="240" w:lineRule="auto"/>
        <w:rPr>
          <w:rFonts w:ascii="Times New Roman" w:eastAsia="Times New Roman" w:hAnsi="Times New Roman" w:cs="Times New Roman"/>
          <w:sz w:val="24"/>
          <w:szCs w:val="24"/>
        </w:rPr>
      </w:pPr>
    </w:p>
    <w:p w14:paraId="17BCF43E" w14:textId="77777777" w:rsidR="004204FF" w:rsidRDefault="004E35BA" w:rsidP="003A775B">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14:paraId="46F2AEE3"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Research Design  </w:t>
      </w:r>
    </w:p>
    <w:p w14:paraId="672C156D"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the researchers used a descriptive-correlational design with a survey research approach. This design was proper because the goal of the research was to establish the relationship between perceived severity and self-medication behaviors among old adults in a chosen barangay in Iloilo. The descriptive–correlational design allowed the researchers to describe present conditions and examine potential associations between variables without manipulating or controlling them.</w:t>
      </w:r>
    </w:p>
    <w:p w14:paraId="213EE412"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correlational research design referred to as an experimental-free approach to studying the association between two or more variables in a single group (Devi et al., 2022). It aimed to establish the strength and direction of the relationship without necessarily inferring causation. This was especially useful in nursing and medical studies, as it enabled the study of behavioral and clinical phenomena that cannot be manipulated ethically or pragmatically.</w:t>
      </w:r>
    </w:p>
    <w:p w14:paraId="04C0487B"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this design, the researchers aimed to determine whether old adults’ beliefs regarding severity of their illness conditions dictated their health-seeking behavior, especially their self-medication tendency. The design helped provide an outline to elicit patterns and relationships between illness severity beliefs and medication usage; thus, providing insight into how those beliefs affected self-care choice. </w:t>
      </w:r>
    </w:p>
    <w:p w14:paraId="5FA9442A" w14:textId="77777777" w:rsidR="004204FF" w:rsidRDefault="004204FF" w:rsidP="003A775B">
      <w:pPr>
        <w:spacing w:line="240" w:lineRule="auto"/>
        <w:ind w:firstLine="720"/>
        <w:rPr>
          <w:rFonts w:ascii="Times New Roman" w:eastAsia="Times New Roman" w:hAnsi="Times New Roman" w:cs="Times New Roman"/>
          <w:sz w:val="24"/>
          <w:szCs w:val="24"/>
        </w:rPr>
      </w:pPr>
    </w:p>
    <w:p w14:paraId="7BA8E2E9" w14:textId="77777777" w:rsidR="004204FF" w:rsidRDefault="004204FF" w:rsidP="003A775B">
      <w:pPr>
        <w:spacing w:line="240" w:lineRule="auto"/>
        <w:rPr>
          <w:rFonts w:ascii="Times New Roman" w:eastAsia="Times New Roman" w:hAnsi="Times New Roman" w:cs="Times New Roman"/>
          <w:b/>
          <w:bCs/>
          <w:sz w:val="24"/>
          <w:szCs w:val="24"/>
        </w:rPr>
      </w:pPr>
    </w:p>
    <w:p w14:paraId="1915F4D1" w14:textId="77777777" w:rsidR="004204FF" w:rsidRDefault="004204FF" w:rsidP="003A775B">
      <w:pPr>
        <w:spacing w:line="240" w:lineRule="auto"/>
        <w:rPr>
          <w:rFonts w:ascii="Times New Roman" w:eastAsia="Times New Roman" w:hAnsi="Times New Roman" w:cs="Times New Roman"/>
          <w:b/>
          <w:bCs/>
          <w:sz w:val="24"/>
          <w:szCs w:val="24"/>
        </w:rPr>
      </w:pPr>
    </w:p>
    <w:p w14:paraId="7A5DA640"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Study Setting </w:t>
      </w:r>
    </w:p>
    <w:p w14:paraId="75BFEB85"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was conducted in Barangay </w:t>
      </w:r>
      <w:proofErr w:type="spellStart"/>
      <w:r>
        <w:rPr>
          <w:rFonts w:ascii="Times New Roman" w:eastAsia="Times New Roman" w:hAnsi="Times New Roman" w:cs="Times New Roman"/>
          <w:sz w:val="24"/>
          <w:szCs w:val="24"/>
        </w:rPr>
        <w:t>Cabugao</w:t>
      </w:r>
      <w:proofErr w:type="spellEnd"/>
      <w:r>
        <w:rPr>
          <w:rFonts w:ascii="Times New Roman" w:eastAsia="Times New Roman" w:hAnsi="Times New Roman" w:cs="Times New Roman"/>
          <w:sz w:val="24"/>
          <w:szCs w:val="24"/>
        </w:rPr>
        <w:t xml:space="preserve"> Sur, Pavia, Iloilo, a barangay consisting of established households and community facilities.  Basic health services were available through the barangay health center, with referrals made to municipal and private health care facilities in Pavia and Iloilo City when necessary. The barangay included a population of old adults who often relied on home-based remedies and over-the-counter medications for common ailments due to convenience, accessibility, and cultural practices. This made the barangay a suitable location for examining self-medication behaviors, perceived health severity, and health-seeking practices among old adults. </w:t>
      </w:r>
    </w:p>
    <w:p w14:paraId="5EBB3A56" w14:textId="77777777" w:rsidR="004204FF" w:rsidRDefault="004204FF" w:rsidP="003A775B">
      <w:pPr>
        <w:spacing w:line="240" w:lineRule="auto"/>
        <w:ind w:firstLine="720"/>
        <w:rPr>
          <w:rFonts w:ascii="Times New Roman" w:eastAsia="Times New Roman" w:hAnsi="Times New Roman" w:cs="Times New Roman"/>
          <w:sz w:val="24"/>
          <w:szCs w:val="24"/>
        </w:rPr>
      </w:pPr>
    </w:p>
    <w:p w14:paraId="4FB9DA2C" w14:textId="77777777" w:rsidR="004204FF" w:rsidRDefault="004204FF" w:rsidP="003A775B">
      <w:pPr>
        <w:spacing w:line="240" w:lineRule="auto"/>
        <w:ind w:firstLine="720"/>
        <w:rPr>
          <w:rFonts w:ascii="Times New Roman" w:eastAsia="Times New Roman" w:hAnsi="Times New Roman" w:cs="Times New Roman"/>
          <w:sz w:val="24"/>
          <w:szCs w:val="24"/>
        </w:rPr>
      </w:pPr>
    </w:p>
    <w:p w14:paraId="27F3972A" w14:textId="77777777" w:rsidR="004204FF" w:rsidRDefault="004204FF" w:rsidP="003A775B">
      <w:pPr>
        <w:spacing w:line="240" w:lineRule="auto"/>
        <w:ind w:firstLine="720"/>
        <w:rPr>
          <w:rFonts w:ascii="Times New Roman" w:eastAsia="Times New Roman" w:hAnsi="Times New Roman" w:cs="Times New Roman"/>
          <w:sz w:val="24"/>
          <w:szCs w:val="24"/>
        </w:rPr>
      </w:pPr>
    </w:p>
    <w:p w14:paraId="46FADD2E" w14:textId="77777777" w:rsidR="004204FF" w:rsidRDefault="004204FF" w:rsidP="003A775B">
      <w:pPr>
        <w:spacing w:line="240" w:lineRule="auto"/>
        <w:ind w:firstLine="720"/>
        <w:rPr>
          <w:rFonts w:ascii="Times New Roman" w:eastAsia="Times New Roman" w:hAnsi="Times New Roman" w:cs="Times New Roman"/>
          <w:sz w:val="24"/>
          <w:szCs w:val="24"/>
        </w:rPr>
      </w:pPr>
    </w:p>
    <w:p w14:paraId="21040D06" w14:textId="77777777" w:rsidR="004204FF" w:rsidRDefault="004204FF" w:rsidP="003A775B">
      <w:pPr>
        <w:spacing w:line="240" w:lineRule="auto"/>
        <w:ind w:firstLine="720"/>
        <w:rPr>
          <w:rFonts w:ascii="Times New Roman" w:eastAsia="Times New Roman" w:hAnsi="Times New Roman" w:cs="Times New Roman"/>
          <w:sz w:val="24"/>
          <w:szCs w:val="24"/>
        </w:rPr>
      </w:pPr>
    </w:p>
    <w:p w14:paraId="33745474" w14:textId="77777777" w:rsidR="004204FF" w:rsidRDefault="004204FF" w:rsidP="003A775B">
      <w:pPr>
        <w:spacing w:line="240" w:lineRule="auto"/>
        <w:ind w:firstLine="720"/>
        <w:rPr>
          <w:rFonts w:ascii="Times New Roman" w:eastAsia="Times New Roman" w:hAnsi="Times New Roman" w:cs="Times New Roman"/>
          <w:sz w:val="24"/>
          <w:szCs w:val="24"/>
        </w:rPr>
      </w:pPr>
    </w:p>
    <w:p w14:paraId="10D8C59A" w14:textId="77777777" w:rsidR="004204FF" w:rsidRDefault="004204FF" w:rsidP="003A775B">
      <w:pPr>
        <w:spacing w:line="240" w:lineRule="auto"/>
        <w:ind w:firstLine="720"/>
        <w:rPr>
          <w:rFonts w:ascii="Times New Roman" w:eastAsia="Times New Roman" w:hAnsi="Times New Roman" w:cs="Times New Roman"/>
          <w:sz w:val="24"/>
          <w:szCs w:val="24"/>
        </w:rPr>
      </w:pPr>
    </w:p>
    <w:p w14:paraId="67216827" w14:textId="77777777" w:rsidR="004204FF" w:rsidRDefault="004204FF" w:rsidP="003A775B">
      <w:pPr>
        <w:spacing w:line="240" w:lineRule="auto"/>
        <w:ind w:firstLine="720"/>
        <w:rPr>
          <w:rFonts w:ascii="Times New Roman" w:eastAsia="Times New Roman" w:hAnsi="Times New Roman" w:cs="Times New Roman"/>
          <w:sz w:val="24"/>
          <w:szCs w:val="24"/>
        </w:rPr>
      </w:pPr>
    </w:p>
    <w:p w14:paraId="07A59DC0" w14:textId="77777777" w:rsidR="004204FF" w:rsidRDefault="004204FF" w:rsidP="003A775B">
      <w:pPr>
        <w:spacing w:line="240" w:lineRule="auto"/>
        <w:ind w:firstLine="720"/>
        <w:rPr>
          <w:rFonts w:ascii="Times New Roman" w:eastAsia="Times New Roman" w:hAnsi="Times New Roman" w:cs="Times New Roman"/>
          <w:sz w:val="24"/>
          <w:szCs w:val="24"/>
        </w:rPr>
      </w:pPr>
    </w:p>
    <w:p w14:paraId="77A192B5" w14:textId="77777777" w:rsidR="004204FF" w:rsidRDefault="004204FF" w:rsidP="003A775B">
      <w:pPr>
        <w:spacing w:line="240" w:lineRule="auto"/>
        <w:ind w:firstLine="720"/>
        <w:rPr>
          <w:rFonts w:ascii="Times New Roman" w:eastAsia="Times New Roman" w:hAnsi="Times New Roman" w:cs="Times New Roman"/>
          <w:sz w:val="24"/>
          <w:szCs w:val="24"/>
        </w:rPr>
      </w:pPr>
    </w:p>
    <w:p w14:paraId="0C86204B" w14:textId="77777777" w:rsidR="004204FF" w:rsidRDefault="004204FF" w:rsidP="003A775B">
      <w:pPr>
        <w:spacing w:line="240" w:lineRule="auto"/>
        <w:ind w:firstLine="720"/>
        <w:rPr>
          <w:rFonts w:ascii="Times New Roman" w:eastAsia="Times New Roman" w:hAnsi="Times New Roman" w:cs="Times New Roman"/>
          <w:sz w:val="24"/>
          <w:szCs w:val="24"/>
        </w:rPr>
      </w:pPr>
    </w:p>
    <w:p w14:paraId="10919E83" w14:textId="77777777" w:rsidR="004204FF" w:rsidRDefault="004204FF" w:rsidP="003A775B">
      <w:pPr>
        <w:spacing w:line="240" w:lineRule="auto"/>
        <w:ind w:firstLine="720"/>
        <w:rPr>
          <w:rFonts w:ascii="Times New Roman" w:eastAsia="Times New Roman" w:hAnsi="Times New Roman" w:cs="Times New Roman"/>
          <w:sz w:val="24"/>
          <w:szCs w:val="24"/>
        </w:rPr>
      </w:pPr>
    </w:p>
    <w:p w14:paraId="3D7AC315" w14:textId="77777777" w:rsidR="004204FF" w:rsidRDefault="004204FF" w:rsidP="003A775B">
      <w:pPr>
        <w:spacing w:line="240" w:lineRule="auto"/>
        <w:ind w:firstLine="720"/>
        <w:rPr>
          <w:rFonts w:ascii="Times New Roman" w:eastAsia="Times New Roman" w:hAnsi="Times New Roman" w:cs="Times New Roman"/>
          <w:sz w:val="24"/>
          <w:szCs w:val="24"/>
        </w:rPr>
      </w:pPr>
    </w:p>
    <w:p w14:paraId="299ADF03" w14:textId="77777777" w:rsidR="004204FF" w:rsidRDefault="004204FF" w:rsidP="003A775B">
      <w:pPr>
        <w:spacing w:line="240" w:lineRule="auto"/>
        <w:ind w:firstLine="720"/>
        <w:rPr>
          <w:rFonts w:ascii="Times New Roman" w:eastAsia="Times New Roman" w:hAnsi="Times New Roman" w:cs="Times New Roman"/>
          <w:sz w:val="24"/>
          <w:szCs w:val="24"/>
        </w:rPr>
      </w:pPr>
    </w:p>
    <w:p w14:paraId="356A3C86"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2.</w:t>
      </w:r>
    </w:p>
    <w:p w14:paraId="47A0B0A1" w14:textId="77777777" w:rsidR="004204FF" w:rsidRDefault="004E35BA" w:rsidP="003A775B">
      <w:pPr>
        <w:spacing w:line="24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Spot Map of Barangay </w:t>
      </w:r>
      <w:proofErr w:type="spellStart"/>
      <w:r>
        <w:rPr>
          <w:rFonts w:ascii="Times New Roman" w:eastAsia="Times New Roman" w:hAnsi="Times New Roman" w:cs="Times New Roman"/>
          <w:i/>
          <w:iCs/>
          <w:sz w:val="24"/>
          <w:szCs w:val="24"/>
        </w:rPr>
        <w:t>Cabugao</w:t>
      </w:r>
      <w:proofErr w:type="spellEnd"/>
      <w:r>
        <w:rPr>
          <w:rFonts w:ascii="Times New Roman" w:eastAsia="Times New Roman" w:hAnsi="Times New Roman" w:cs="Times New Roman"/>
          <w:i/>
          <w:iCs/>
          <w:sz w:val="24"/>
          <w:szCs w:val="24"/>
        </w:rPr>
        <w:t xml:space="preserve"> Sur, Pavia, Iloilo</w:t>
      </w:r>
      <w:r>
        <w:rPr>
          <w:rFonts w:ascii="Times New Roman" w:eastAsia="Times New Roman" w:hAnsi="Times New Roman" w:cs="Times New Roman"/>
          <w:i/>
          <w:iCs/>
          <w:noProof/>
          <w:sz w:val="24"/>
          <w:szCs w:val="24"/>
        </w:rPr>
        <w:drawing>
          <wp:inline distT="114300" distB="114300" distL="114300" distR="114300" wp14:anchorId="7CED6317" wp14:editId="39FF7420">
            <wp:extent cx="5686425" cy="4332982"/>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686425" cy="4332982"/>
                    </a:xfrm>
                    <a:prstGeom prst="rect">
                      <a:avLst/>
                    </a:prstGeom>
                    <a:ln/>
                  </pic:spPr>
                </pic:pic>
              </a:graphicData>
            </a:graphic>
          </wp:inline>
        </w:drawing>
      </w:r>
    </w:p>
    <w:p w14:paraId="7AA4E30E"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Population </w:t>
      </w:r>
    </w:p>
    <w:p w14:paraId="22A796BC" w14:textId="77777777" w:rsidR="004204FF" w:rsidRDefault="004E35BA" w:rsidP="003A775B">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Inclusion Criteria</w:t>
      </w:r>
    </w:p>
    <w:p w14:paraId="124E6D83"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population consisted of 348 old adults residing in </w:t>
      </w:r>
      <w:proofErr w:type="spellStart"/>
      <w:r>
        <w:rPr>
          <w:rFonts w:ascii="Times New Roman" w:eastAsia="Times New Roman" w:hAnsi="Times New Roman" w:cs="Times New Roman"/>
          <w:sz w:val="24"/>
          <w:szCs w:val="24"/>
        </w:rPr>
        <w:t>Brgy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Cabugao</w:t>
      </w:r>
      <w:proofErr w:type="spellEnd"/>
      <w:r>
        <w:rPr>
          <w:rFonts w:ascii="Times New Roman" w:eastAsia="Times New Roman" w:hAnsi="Times New Roman" w:cs="Times New Roman"/>
          <w:sz w:val="24"/>
          <w:szCs w:val="24"/>
        </w:rPr>
        <w:t xml:space="preserve"> Sur, Municipality of Pavia, Province of Iloilo, Philippines. Republic Act No. 9994, commonly known as the Expanded Senior Citizens Act of 2010, defines a senior citizen as any Filipino resident who is sixty (60) years or older. The participants met the following inclusion criteria:</w:t>
      </w:r>
    </w:p>
    <w:p w14:paraId="65CBEB71" w14:textId="77777777" w:rsidR="004204FF" w:rsidRDefault="004E35BA" w:rsidP="003A775B">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Old Adults aged 60 years old and above residing in the selected barangay in Iloilo.</w:t>
      </w:r>
    </w:p>
    <w:p w14:paraId="5B14385F" w14:textId="77777777" w:rsidR="004204FF" w:rsidRDefault="004E35BA" w:rsidP="003A775B">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Able to provide, comprehend, and sign informed consent.</w:t>
      </w:r>
    </w:p>
    <w:p w14:paraId="31C38B0D" w14:textId="77777777" w:rsidR="004204FF" w:rsidRDefault="004E35BA" w:rsidP="003A775B">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Individuals who were mentally alert and oriented, able to comprehend questionnaire and interview questions. </w:t>
      </w:r>
    </w:p>
    <w:p w14:paraId="35BA32D6" w14:textId="77777777" w:rsidR="004204FF" w:rsidRDefault="004E35BA" w:rsidP="003A775B">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Respondents who understand and can reflect on their own health beliefs and practices.</w:t>
      </w:r>
    </w:p>
    <w:p w14:paraId="433D0FA9" w14:textId="77777777" w:rsidR="004204FF" w:rsidRDefault="004204FF" w:rsidP="003A775B">
      <w:pPr>
        <w:spacing w:line="240" w:lineRule="auto"/>
        <w:ind w:left="720"/>
        <w:rPr>
          <w:rFonts w:ascii="Times New Roman" w:eastAsia="Times New Roman" w:hAnsi="Times New Roman" w:cs="Times New Roman"/>
          <w:sz w:val="24"/>
          <w:szCs w:val="24"/>
        </w:rPr>
      </w:pPr>
    </w:p>
    <w:p w14:paraId="188EB105" w14:textId="77777777" w:rsidR="004204FF" w:rsidRDefault="004E35BA" w:rsidP="003A775B">
      <w:pPr>
        <w:spacing w:line="240" w:lineRule="auto"/>
        <w:rPr>
          <w:rFonts w:ascii="Times New Roman" w:eastAsia="Times New Roman" w:hAnsi="Times New Roman" w:cs="Times New Roman"/>
          <w:b/>
          <w:bCs/>
          <w:i/>
          <w:iCs/>
          <w:color w:val="FF0000"/>
          <w:sz w:val="24"/>
          <w:szCs w:val="24"/>
        </w:rPr>
      </w:pPr>
      <w:r>
        <w:rPr>
          <w:rFonts w:ascii="Times New Roman" w:eastAsia="Times New Roman" w:hAnsi="Times New Roman" w:cs="Times New Roman"/>
          <w:b/>
          <w:bCs/>
          <w:i/>
          <w:iCs/>
          <w:sz w:val="24"/>
          <w:szCs w:val="24"/>
        </w:rPr>
        <w:t xml:space="preserve">Exclusion Criteria </w:t>
      </w:r>
    </w:p>
    <w:p w14:paraId="3529D280"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respondents were excluded from the study:</w:t>
      </w:r>
    </w:p>
    <w:p w14:paraId="207D4F7E" w14:textId="77777777" w:rsidR="004204FF" w:rsidRDefault="004E35BA" w:rsidP="003A775B">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Pilot study respondents.</w:t>
      </w:r>
    </w:p>
    <w:p w14:paraId="025F6A32" w14:textId="77777777" w:rsidR="004204FF" w:rsidRDefault="004E35BA" w:rsidP="003A775B">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Old adults who were currently participating in another interventional study related or similar to medication and health.</w:t>
      </w:r>
    </w:p>
    <w:p w14:paraId="2179B657" w14:textId="77777777" w:rsidR="004204FF" w:rsidRDefault="004E35BA" w:rsidP="003A775B">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Individuals who relocate outside of the municipality within the study period.</w:t>
      </w:r>
    </w:p>
    <w:p w14:paraId="5554E798"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Sampling </w:t>
      </w:r>
    </w:p>
    <w:p w14:paraId="3545A7B5"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sample size for this study was determined using </w:t>
      </w:r>
      <w:proofErr w:type="spellStart"/>
      <w:r>
        <w:rPr>
          <w:rFonts w:ascii="Times New Roman" w:eastAsia="Times New Roman" w:hAnsi="Times New Roman" w:cs="Times New Roman"/>
          <w:sz w:val="24"/>
          <w:szCs w:val="24"/>
        </w:rPr>
        <w:t>Raosoft</w:t>
      </w:r>
      <w:proofErr w:type="spellEnd"/>
      <w:r>
        <w:rPr>
          <w:rFonts w:ascii="Times New Roman" w:eastAsia="Times New Roman" w:hAnsi="Times New Roman" w:cs="Times New Roman"/>
          <w:sz w:val="24"/>
          <w:szCs w:val="24"/>
        </w:rPr>
        <w:t xml:space="preserve"> sample size calculator, which ensures statistical reliability and representatives. In this </w:t>
      </w:r>
      <w:proofErr w:type="gramStart"/>
      <w:r>
        <w:rPr>
          <w:rFonts w:ascii="Times New Roman" w:eastAsia="Times New Roman" w:hAnsi="Times New Roman" w:cs="Times New Roman"/>
          <w:sz w:val="24"/>
          <w:szCs w:val="24"/>
        </w:rPr>
        <w:t>study,  the</w:t>
      </w:r>
      <w:proofErr w:type="gramEnd"/>
      <w:r>
        <w:rPr>
          <w:rFonts w:ascii="Times New Roman" w:eastAsia="Times New Roman" w:hAnsi="Times New Roman" w:cs="Times New Roman"/>
          <w:sz w:val="24"/>
          <w:szCs w:val="24"/>
        </w:rPr>
        <w:t xml:space="preserve"> total number of old adults measured by acquiring the total population of the people aged 60 years and above in a selected municipality in Iloilo was obtained with the permission of the municipality’s Senior Citizens Pavia Chapter.</w:t>
      </w:r>
    </w:p>
    <w:p w14:paraId="4C3F9D66"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margin error was set at 5%, and the confidence level </w:t>
      </w:r>
      <w:proofErr w:type="gramStart"/>
      <w:r>
        <w:rPr>
          <w:rFonts w:ascii="Times New Roman" w:eastAsia="Times New Roman" w:hAnsi="Times New Roman" w:cs="Times New Roman"/>
          <w:sz w:val="24"/>
          <w:szCs w:val="24"/>
        </w:rPr>
        <w:t>was  95</w:t>
      </w:r>
      <w:proofErr w:type="gramEnd"/>
      <w:r>
        <w:rPr>
          <w:rFonts w:ascii="Times New Roman" w:eastAsia="Times New Roman" w:hAnsi="Times New Roman" w:cs="Times New Roman"/>
          <w:sz w:val="24"/>
          <w:szCs w:val="24"/>
        </w:rPr>
        <w:t xml:space="preserve">% to ensure that the results accurately represent the target population. Then, a </w:t>
      </w:r>
      <w:proofErr w:type="spellStart"/>
      <w:r>
        <w:rPr>
          <w:rFonts w:ascii="Times New Roman" w:eastAsia="Times New Roman" w:hAnsi="Times New Roman" w:cs="Times New Roman"/>
          <w:sz w:val="24"/>
          <w:szCs w:val="24"/>
        </w:rPr>
        <w:t>Raosoft</w:t>
      </w:r>
      <w:proofErr w:type="spellEnd"/>
      <w:r>
        <w:rPr>
          <w:rFonts w:ascii="Times New Roman" w:eastAsia="Times New Roman" w:hAnsi="Times New Roman" w:cs="Times New Roman"/>
          <w:sz w:val="24"/>
          <w:szCs w:val="24"/>
        </w:rPr>
        <w:t xml:space="preserve"> calculator was </w:t>
      </w:r>
      <w:proofErr w:type="gramStart"/>
      <w:r>
        <w:rPr>
          <w:rFonts w:ascii="Times New Roman" w:eastAsia="Times New Roman" w:hAnsi="Times New Roman" w:cs="Times New Roman"/>
          <w:sz w:val="24"/>
          <w:szCs w:val="24"/>
        </w:rPr>
        <w:t>then  used</w:t>
      </w:r>
      <w:proofErr w:type="gramEnd"/>
      <w:r>
        <w:rPr>
          <w:rFonts w:ascii="Times New Roman" w:eastAsia="Times New Roman" w:hAnsi="Times New Roman" w:cs="Times New Roman"/>
          <w:sz w:val="24"/>
          <w:szCs w:val="24"/>
        </w:rPr>
        <w:t xml:space="preserve"> to determine the minimum required sample size for data collection. </w:t>
      </w:r>
    </w:p>
    <w:p w14:paraId="3F86394E"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these criteria, 183 responses were determined as the minimal sample size needed. The study successfully obtained responses from 186 qualified old adults, which met the minimum required sample size.</w:t>
      </w:r>
    </w:p>
    <w:p w14:paraId="1B514AB7"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used purposive sampling, which is a </w:t>
      </w:r>
      <w:proofErr w:type="spellStart"/>
      <w:r>
        <w:rPr>
          <w:rFonts w:ascii="Times New Roman" w:eastAsia="Times New Roman" w:hAnsi="Times New Roman" w:cs="Times New Roman"/>
          <w:sz w:val="24"/>
          <w:szCs w:val="24"/>
        </w:rPr>
        <w:t>non probability</w:t>
      </w:r>
      <w:proofErr w:type="spellEnd"/>
      <w:r>
        <w:rPr>
          <w:rFonts w:ascii="Times New Roman" w:eastAsia="Times New Roman" w:hAnsi="Times New Roman" w:cs="Times New Roman"/>
          <w:sz w:val="24"/>
          <w:szCs w:val="24"/>
        </w:rPr>
        <w:t xml:space="preserve"> technique in which people were deliberately selected based on qualities related to the study’s objectives.      In the study, the inclusion criteria centered on old adults who were residents of the chosen barangay that had engaged in self-medication practices.</w:t>
      </w:r>
    </w:p>
    <w:p w14:paraId="18AC1F1B"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sampling method was deemed appropriate because it allowed the researchers to select respondents who could provide valuable insights into the perceived severity and practices of self-medication among the elderly population.</w:t>
      </w:r>
    </w:p>
    <w:p w14:paraId="1E32135F"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Sampling Formula</w:t>
      </w:r>
    </w:p>
    <w:p w14:paraId="021DDEB6" w14:textId="77777777" w:rsidR="004204FF" w:rsidRDefault="004E35BA" w:rsidP="003A775B">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sample size (n) was computed using the </w:t>
      </w:r>
      <w:proofErr w:type="spellStart"/>
      <w:r>
        <w:rPr>
          <w:rFonts w:ascii="Times New Roman" w:eastAsia="Times New Roman" w:hAnsi="Times New Roman" w:cs="Times New Roman"/>
          <w:sz w:val="24"/>
          <w:szCs w:val="24"/>
        </w:rPr>
        <w:t>Raosoft</w:t>
      </w:r>
      <w:proofErr w:type="spellEnd"/>
      <w:r>
        <w:rPr>
          <w:rFonts w:ascii="Times New Roman" w:eastAsia="Times New Roman" w:hAnsi="Times New Roman" w:cs="Times New Roman"/>
          <w:sz w:val="24"/>
          <w:szCs w:val="24"/>
        </w:rPr>
        <w:t xml:space="preserve"> sample size formula</w:t>
      </w:r>
      <m:oMath>
        <m:r>
          <w:rPr>
            <w:rFonts w:ascii="Times New Roman" w:eastAsia="Times New Roman" w:hAnsi="Times New Roman" w:cs="Times New Roman"/>
            <w:sz w:val="24"/>
            <w:szCs w:val="24"/>
          </w:rPr>
          <m:t>.</m:t>
        </m:r>
      </m:oMath>
    </w:p>
    <w:p w14:paraId="4EF58C43"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Each symbol in the formula represented a specific parameter, where n represented the required sample size, while N referred to the total population of old adults in </w:t>
      </w:r>
      <w:proofErr w:type="spellStart"/>
      <w:r>
        <w:rPr>
          <w:rFonts w:ascii="Times New Roman" w:eastAsia="Times New Roman" w:hAnsi="Times New Roman" w:cs="Times New Roman"/>
          <w:sz w:val="24"/>
          <w:szCs w:val="24"/>
        </w:rPr>
        <w:t>Brgy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Cabugao</w:t>
      </w:r>
      <w:proofErr w:type="spellEnd"/>
      <w:r>
        <w:rPr>
          <w:rFonts w:ascii="Times New Roman" w:eastAsia="Times New Roman" w:hAnsi="Times New Roman" w:cs="Times New Roman"/>
          <w:sz w:val="24"/>
          <w:szCs w:val="24"/>
        </w:rPr>
        <w:t xml:space="preserve"> Sur obtained from the Senior Citizens Pavia Chapter. Z was the Z-value corresponding to the desired confidence level which was 1.96 for 95% confidence level. P represented the estimated population proportion (the value of 0.5 was used when the true proportion was unknown, to maximize variability). Lastly, E represented the margin of error (0.05).</w:t>
      </w:r>
    </w:p>
    <w:p w14:paraId="3D12BD42" w14:textId="77777777" w:rsidR="004204FF" w:rsidRDefault="004E35BA" w:rsidP="003A775B">
      <w:pPr>
        <w:spacing w:line="240"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total population of old adults in </w:t>
      </w:r>
      <w:proofErr w:type="spellStart"/>
      <w:r>
        <w:rPr>
          <w:rFonts w:ascii="Times New Roman" w:eastAsia="Times New Roman" w:hAnsi="Times New Roman" w:cs="Times New Roman"/>
          <w:sz w:val="24"/>
          <w:szCs w:val="24"/>
        </w:rPr>
        <w:t>Brgy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Cabugao</w:t>
      </w:r>
      <w:proofErr w:type="spellEnd"/>
      <w:r>
        <w:rPr>
          <w:rFonts w:ascii="Times New Roman" w:eastAsia="Times New Roman" w:hAnsi="Times New Roman" w:cs="Times New Roman"/>
          <w:sz w:val="24"/>
          <w:szCs w:val="24"/>
        </w:rPr>
        <w:t xml:space="preserve"> Sur, Pavia, Iloilo was 348. Using a 95% confidence level and a margin of error of 0.05, the computed sample size resulted in 183 respondents.</w:t>
      </w:r>
    </w:p>
    <w:p w14:paraId="12F3726F" w14:textId="77777777" w:rsidR="004204FF" w:rsidRDefault="004E35BA" w:rsidP="003A775B">
      <w:pPr>
        <w:spacing w:line="240"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 xml:space="preserve">Instrument </w:t>
      </w:r>
    </w:p>
    <w:p w14:paraId="2079BD8E"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To gather the needed data, researcher-made questionnaires were utilized.          The instrument was administered through a paper-based survey to selected respondents during the conduct of the study. Comprising 27 items, the questionnaire was divided into three sections: Part I was researchers-made, Part II is researchers-made referred from related studies, and Part III was also researchers-made. Each was intended to obtain specific data relevant to the study objectives.</w:t>
      </w:r>
    </w:p>
    <w:p w14:paraId="7969B105"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Part 1. Demographic Data: This section collected essential background information about the participants, including age, sex, civil status, educational attainment, and occupation. The items were developed by the researchers to ensure relevance to the specific composition of the study. </w:t>
      </w:r>
    </w:p>
    <w:p w14:paraId="66B9151C"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Part 2. Perceived Severity of Illness: This section, researchers-made referred from the study of Shire et al. (2023),</w:t>
      </w:r>
      <w:r>
        <w:rPr>
          <w:rFonts w:ascii="Times New Roman" w:eastAsia="Times New Roman" w:hAnsi="Times New Roman" w:cs="Times New Roman"/>
          <w:color w:val="CC0000"/>
          <w:sz w:val="24"/>
          <w:szCs w:val="24"/>
        </w:rPr>
        <w:t xml:space="preserve"> </w:t>
      </w:r>
      <w:r>
        <w:rPr>
          <w:rFonts w:ascii="Times New Roman" w:eastAsia="Times New Roman" w:hAnsi="Times New Roman" w:cs="Times New Roman"/>
          <w:sz w:val="24"/>
          <w:szCs w:val="24"/>
        </w:rPr>
        <w:t>assessed how respondents interpret the seriousness of their health conditions. It consisted of 10 items using a 5-point Likert scale: (5) Always, (4) Often, (3) Sometimes, (2) Seldom, and (1) Never. The higher the scores indicated higher perceived severity of illness. The statements aimed to measure how perceived illness severity influenced their decision to either self-medicate or seek professional medical help.</w:t>
      </w:r>
    </w:p>
    <w:p w14:paraId="656BBC98"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 3. Self-Medication Practices: This section evaluated the frequency and nature of self-medication behaviors among respondents. It included 10 items using a 5-point Likert scale: (5) Always, (4) Often, (3) Sometimes, (2) Seldom, and (1) Never.             The higher the scores reflected the more frequent </w:t>
      </w:r>
      <w:proofErr w:type="spellStart"/>
      <w:r>
        <w:rPr>
          <w:rFonts w:ascii="Times New Roman" w:eastAsia="Times New Roman" w:hAnsi="Times New Roman" w:cs="Times New Roman"/>
          <w:sz w:val="24"/>
          <w:szCs w:val="24"/>
        </w:rPr>
        <w:t>self medication</w:t>
      </w:r>
      <w:proofErr w:type="spellEnd"/>
      <w:r>
        <w:rPr>
          <w:rFonts w:ascii="Times New Roman" w:eastAsia="Times New Roman" w:hAnsi="Times New Roman" w:cs="Times New Roman"/>
          <w:sz w:val="24"/>
          <w:szCs w:val="24"/>
        </w:rPr>
        <w:t xml:space="preserve"> was practiced. The items explored various factors that contributed to the practice of </w:t>
      </w:r>
      <w:proofErr w:type="spellStart"/>
      <w:r>
        <w:rPr>
          <w:rFonts w:ascii="Times New Roman" w:eastAsia="Times New Roman" w:hAnsi="Times New Roman" w:cs="Times New Roman"/>
          <w:sz w:val="24"/>
          <w:szCs w:val="24"/>
        </w:rPr>
        <w:t>self medication</w:t>
      </w:r>
      <w:proofErr w:type="spellEnd"/>
      <w:r>
        <w:rPr>
          <w:rFonts w:ascii="Times New Roman" w:eastAsia="Times New Roman" w:hAnsi="Times New Roman" w:cs="Times New Roman"/>
          <w:sz w:val="24"/>
          <w:szCs w:val="24"/>
        </w:rPr>
        <w:t>.</w:t>
      </w:r>
    </w:p>
    <w:p w14:paraId="712F02DC" w14:textId="77777777" w:rsidR="004204FF" w:rsidRDefault="004E35BA" w:rsidP="003A775B">
      <w:pPr>
        <w:spacing w:line="240" w:lineRule="auto"/>
        <w:rPr>
          <w:rFonts w:ascii="Times New Roman" w:eastAsia="Times New Roman" w:hAnsi="Times New Roman" w:cs="Times New Roman"/>
          <w:b/>
          <w:bCs/>
          <w:i/>
          <w:iCs/>
          <w:color w:val="FF0000"/>
          <w:sz w:val="24"/>
          <w:szCs w:val="24"/>
        </w:rPr>
      </w:pPr>
      <w:r>
        <w:rPr>
          <w:rFonts w:ascii="Times New Roman" w:eastAsia="Times New Roman" w:hAnsi="Times New Roman" w:cs="Times New Roman"/>
          <w:b/>
          <w:bCs/>
          <w:i/>
          <w:iCs/>
          <w:sz w:val="24"/>
          <w:szCs w:val="24"/>
        </w:rPr>
        <w:t>Validity of the Instrument</w:t>
      </w:r>
    </w:p>
    <w:p w14:paraId="338DA47D"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Validity referred to how accurately an instrument measured what it was intended to measure. It was assessed through data collection and analysis often during pilot testing to determine the degree to which the instrument performed as designed. </w:t>
      </w:r>
      <w:r>
        <w:rPr>
          <w:rFonts w:ascii="Times New Roman" w:eastAsia="Times New Roman" w:hAnsi="Times New Roman" w:cs="Times New Roman"/>
          <w:i/>
          <w:iCs/>
          <w:sz w:val="24"/>
          <w:szCs w:val="24"/>
        </w:rPr>
        <w:t xml:space="preserve">Content validity </w:t>
      </w:r>
      <w:r>
        <w:rPr>
          <w:rFonts w:ascii="Times New Roman" w:eastAsia="Times New Roman" w:hAnsi="Times New Roman" w:cs="Times New Roman"/>
          <w:sz w:val="24"/>
          <w:szCs w:val="24"/>
        </w:rPr>
        <w:t>refers to the appropriateness of the content of an instrument. (</w:t>
      </w:r>
      <w:proofErr w:type="spellStart"/>
      <w:r>
        <w:rPr>
          <w:rFonts w:ascii="Times New Roman" w:eastAsia="Times New Roman" w:hAnsi="Times New Roman" w:cs="Times New Roman"/>
          <w:sz w:val="24"/>
          <w:szCs w:val="24"/>
        </w:rPr>
        <w:t>Biddix</w:t>
      </w:r>
      <w:proofErr w:type="spellEnd"/>
      <w:r>
        <w:rPr>
          <w:rFonts w:ascii="Times New Roman" w:eastAsia="Times New Roman" w:hAnsi="Times New Roman" w:cs="Times New Roman"/>
          <w:sz w:val="24"/>
          <w:szCs w:val="24"/>
        </w:rPr>
        <w:t xml:space="preserve">, J. P., 2024).        The adapted and researcher-made questionnaire from the study of Shire et al. (2023) was used to measure </w:t>
      </w:r>
      <w:r>
        <w:rPr>
          <w:rFonts w:ascii="Times New Roman" w:eastAsia="Times New Roman" w:hAnsi="Times New Roman" w:cs="Times New Roman"/>
          <w:i/>
          <w:iCs/>
          <w:sz w:val="24"/>
          <w:szCs w:val="24"/>
        </w:rPr>
        <w:t>Self Medication: Perceived Severity and Practices Among Old Adults in Iloilo</w:t>
      </w:r>
      <w:r>
        <w:rPr>
          <w:rFonts w:ascii="Times New Roman" w:eastAsia="Times New Roman" w:hAnsi="Times New Roman" w:cs="Times New Roman"/>
          <w:sz w:val="24"/>
          <w:szCs w:val="24"/>
        </w:rPr>
        <w:t xml:space="preserve">. A panel of three nursing experts evaluated the questionnaire to ensure relevance, clarity, and alignment with the study’s objectives. Validation was conducted based on the Good and </w:t>
      </w:r>
      <w:proofErr w:type="spellStart"/>
      <w:r>
        <w:rPr>
          <w:rFonts w:ascii="Times New Roman" w:eastAsia="Times New Roman" w:hAnsi="Times New Roman" w:cs="Times New Roman"/>
          <w:sz w:val="24"/>
          <w:szCs w:val="24"/>
        </w:rPr>
        <w:t>Scates</w:t>
      </w:r>
      <w:proofErr w:type="spellEnd"/>
      <w:r>
        <w:rPr>
          <w:rFonts w:ascii="Times New Roman" w:eastAsia="Times New Roman" w:hAnsi="Times New Roman" w:cs="Times New Roman"/>
          <w:sz w:val="24"/>
          <w:szCs w:val="24"/>
        </w:rPr>
        <w:t xml:space="preserve"> criteria. </w:t>
      </w:r>
    </w:p>
    <w:p w14:paraId="5BEC1EE8"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mean scores were calculated by adding all individual ratings provided by the validators and dividing them by the total number of items. The interpretation of validity was based on a </w:t>
      </w:r>
      <w:proofErr w:type="gramStart"/>
      <w:r>
        <w:rPr>
          <w:rFonts w:ascii="Times New Roman" w:eastAsia="Times New Roman" w:hAnsi="Times New Roman" w:cs="Times New Roman"/>
          <w:sz w:val="24"/>
          <w:szCs w:val="24"/>
        </w:rPr>
        <w:t>5 point</w:t>
      </w:r>
      <w:proofErr w:type="gramEnd"/>
      <w:r>
        <w:rPr>
          <w:rFonts w:ascii="Times New Roman" w:eastAsia="Times New Roman" w:hAnsi="Times New Roman" w:cs="Times New Roman"/>
          <w:sz w:val="24"/>
          <w:szCs w:val="24"/>
        </w:rPr>
        <w:t xml:space="preserve"> scale provided by Pineda (2014), as follows: Excellent validity (4.21-5.00), very good validity (3.41- 4.20), good validity (2.61-3.40), fair validity</w:t>
      </w:r>
    </w:p>
    <w:p w14:paraId="0C6A9FC6"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(1.81 - 2.60), and poor validity (1.00 - 1.80).</w:t>
      </w:r>
    </w:p>
    <w:p w14:paraId="71801B36"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an overall result, the questionnaire was considered valid once the experts’ evaluation reached an acceptable level. Based on the </w:t>
      </w:r>
      <w:proofErr w:type="gramStart"/>
      <w:r>
        <w:rPr>
          <w:rFonts w:ascii="Times New Roman" w:eastAsia="Times New Roman" w:hAnsi="Times New Roman" w:cs="Times New Roman"/>
          <w:sz w:val="24"/>
          <w:szCs w:val="24"/>
        </w:rPr>
        <w:t>validators</w:t>
      </w:r>
      <w:proofErr w:type="gramEnd"/>
      <w:r>
        <w:rPr>
          <w:rFonts w:ascii="Times New Roman" w:eastAsia="Times New Roman" w:hAnsi="Times New Roman" w:cs="Times New Roman"/>
          <w:sz w:val="24"/>
          <w:szCs w:val="24"/>
        </w:rPr>
        <w:t xml:space="preserve"> comments and feedback, the necessary changes were implemented. </w:t>
      </w:r>
    </w:p>
    <w:p w14:paraId="5AA0CDDE" w14:textId="77777777" w:rsidR="004204FF" w:rsidRDefault="004204FF" w:rsidP="003A775B">
      <w:pPr>
        <w:spacing w:line="240" w:lineRule="auto"/>
        <w:ind w:firstLine="720"/>
        <w:rPr>
          <w:rFonts w:ascii="Times New Roman" w:eastAsia="Times New Roman" w:hAnsi="Times New Roman" w:cs="Times New Roman"/>
          <w:sz w:val="24"/>
          <w:szCs w:val="24"/>
        </w:rPr>
      </w:pPr>
    </w:p>
    <w:p w14:paraId="6606A32D" w14:textId="77777777" w:rsidR="004204FF" w:rsidRDefault="004E35BA" w:rsidP="003A775B">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Reliability of the Instrument </w:t>
      </w:r>
    </w:p>
    <w:p w14:paraId="27AED3E9" w14:textId="77777777" w:rsidR="004204FF" w:rsidRDefault="004E35BA" w:rsidP="003A775B">
      <w:pPr>
        <w:spacing w:line="240" w:lineRule="auto"/>
        <w:ind w:firstLine="72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Pilot testing was conducted prior to the study’s full-scale implementation.       This initial step was used as a preliminary test to determine the feasibility, dependability, and general effectiveness of the research techniques in a practical or simulated situation. Its primary purpose was to identify potential hurdles, improve the research design, and make required changes to ensure that the main implementation was completed efficiently and without major problems (</w:t>
      </w:r>
      <w:proofErr w:type="spellStart"/>
      <w:r>
        <w:rPr>
          <w:rFonts w:ascii="Times New Roman" w:eastAsia="Times New Roman" w:hAnsi="Times New Roman" w:cs="Times New Roman"/>
          <w:sz w:val="24"/>
          <w:szCs w:val="24"/>
        </w:rPr>
        <w:t>Harkhoe</w:t>
      </w:r>
      <w:proofErr w:type="spellEnd"/>
      <w:r>
        <w:rPr>
          <w:rFonts w:ascii="Times New Roman" w:eastAsia="Times New Roman" w:hAnsi="Times New Roman" w:cs="Times New Roman"/>
          <w:sz w:val="24"/>
          <w:szCs w:val="24"/>
        </w:rPr>
        <w:t>, 2025).</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The pilot test consisted of 30</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highlight w:val="white"/>
        </w:rPr>
        <w:t>participants, which was higher than 10% of the total sample size of 183 old adults. These participants were not part of the final study.</w:t>
      </w:r>
      <w:r>
        <w:rPr>
          <w:rFonts w:ascii="Times New Roman" w:eastAsia="Times New Roman" w:hAnsi="Times New Roman" w:cs="Times New Roman"/>
          <w:color w:val="FF0000"/>
          <w:sz w:val="24"/>
          <w:szCs w:val="24"/>
        </w:rPr>
        <w:t xml:space="preserve"> </w:t>
      </w:r>
    </w:p>
    <w:p w14:paraId="79044DF5" w14:textId="77777777" w:rsidR="004204FF" w:rsidRDefault="004E35BA" w:rsidP="003A775B">
      <w:pPr>
        <w:spacing w:line="24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reliability of the instrument was evaluated using Cronbach’s </w:t>
      </w:r>
      <w:proofErr w:type="gramStart"/>
      <w:r>
        <w:rPr>
          <w:rFonts w:ascii="Times New Roman" w:eastAsia="Times New Roman" w:hAnsi="Times New Roman" w:cs="Times New Roman"/>
          <w:sz w:val="24"/>
          <w:szCs w:val="24"/>
          <w:highlight w:val="white"/>
        </w:rPr>
        <w:t xml:space="preserve">alpha,   </w:t>
      </w:r>
      <w:proofErr w:type="gramEnd"/>
      <w:r>
        <w:rPr>
          <w:rFonts w:ascii="Times New Roman" w:eastAsia="Times New Roman" w:hAnsi="Times New Roman" w:cs="Times New Roman"/>
          <w:sz w:val="24"/>
          <w:szCs w:val="24"/>
          <w:highlight w:val="white"/>
        </w:rPr>
        <w:t xml:space="preserve">              a statistical test used to assess the internal consistency of questionnaires items.             </w:t>
      </w:r>
      <w:r>
        <w:rPr>
          <w:rFonts w:ascii="Times New Roman" w:eastAsia="Times New Roman" w:hAnsi="Times New Roman" w:cs="Times New Roman"/>
          <w:sz w:val="24"/>
          <w:szCs w:val="24"/>
          <w:highlight w:val="white"/>
        </w:rPr>
        <w:lastRenderedPageBreak/>
        <w:t xml:space="preserve">This procedure determined the extent to which the items were interrelated as a group and ensured that the instrument reliably measured the intended variables of the study.           The expected result was that the instrument would have an acceptable level of reliability, indicating that the items consistently measure the variables. The researchers also considered the reliability coefficient reported in their original study, which yielded a Cronbach’s alpha of 0.70 or higher, suggesting strong internal </w:t>
      </w:r>
      <w:proofErr w:type="gramStart"/>
      <w:r>
        <w:rPr>
          <w:rFonts w:ascii="Times New Roman" w:eastAsia="Times New Roman" w:hAnsi="Times New Roman" w:cs="Times New Roman"/>
          <w:sz w:val="24"/>
          <w:szCs w:val="24"/>
          <w:highlight w:val="white"/>
        </w:rPr>
        <w:t>consistency  (</w:t>
      </w:r>
      <w:proofErr w:type="spellStart"/>
      <w:proofErr w:type="gramEnd"/>
      <w:r>
        <w:rPr>
          <w:rFonts w:ascii="Times New Roman" w:eastAsia="Times New Roman" w:hAnsi="Times New Roman" w:cs="Times New Roman"/>
          <w:sz w:val="24"/>
          <w:szCs w:val="24"/>
          <w:highlight w:val="white"/>
        </w:rPr>
        <w:t>Izah</w:t>
      </w:r>
      <w:proofErr w:type="spellEnd"/>
      <w:r>
        <w:rPr>
          <w:rFonts w:ascii="Times New Roman" w:eastAsia="Times New Roman" w:hAnsi="Times New Roman" w:cs="Times New Roman"/>
          <w:sz w:val="24"/>
          <w:szCs w:val="24"/>
          <w:highlight w:val="white"/>
        </w:rPr>
        <w:t xml:space="preserve">, Sylva, &amp; </w:t>
      </w:r>
      <w:proofErr w:type="spellStart"/>
      <w:r>
        <w:rPr>
          <w:rFonts w:ascii="Times New Roman" w:eastAsia="Times New Roman" w:hAnsi="Times New Roman" w:cs="Times New Roman"/>
          <w:sz w:val="24"/>
          <w:szCs w:val="24"/>
          <w:highlight w:val="white"/>
        </w:rPr>
        <w:t>Hait</w:t>
      </w:r>
      <w:proofErr w:type="spellEnd"/>
      <w:r>
        <w:rPr>
          <w:rFonts w:ascii="Times New Roman" w:eastAsia="Times New Roman" w:hAnsi="Times New Roman" w:cs="Times New Roman"/>
          <w:sz w:val="24"/>
          <w:szCs w:val="24"/>
          <w:highlight w:val="white"/>
        </w:rPr>
        <w:t>, 2024).</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Since part of the questionnaire was adapted from the study of Shire et al. (2023), the researchers also considered the reliability coefficient reported in their original study, which yielded a Cronbach’s alpha of 0.83, suggesting strong internal consistency. The test for reliability of the instrument supported that the adapted instrument for this study was reliable to use and was recommended to be utilized in the present research context.</w:t>
      </w:r>
    </w:p>
    <w:p w14:paraId="352FB8AD" w14:textId="77777777" w:rsidR="004204FF" w:rsidRDefault="004204FF" w:rsidP="003A775B">
      <w:pPr>
        <w:spacing w:line="240" w:lineRule="auto"/>
        <w:rPr>
          <w:rFonts w:ascii="Times New Roman" w:eastAsia="Times New Roman" w:hAnsi="Times New Roman" w:cs="Times New Roman"/>
          <w:sz w:val="24"/>
          <w:szCs w:val="24"/>
          <w:highlight w:val="white"/>
        </w:rPr>
      </w:pPr>
    </w:p>
    <w:p w14:paraId="02CC8451"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Data Gathering </w:t>
      </w:r>
    </w:p>
    <w:p w14:paraId="7AFCC521"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To ensure ethical compliance, the researchers obtained approval from the Research Ethics Committee and their research adviser prior to collecting actual data.</w:t>
      </w:r>
    </w:p>
    <w:p w14:paraId="4E237B8D"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Formal approval through letter was sought from the </w:t>
      </w:r>
      <w:proofErr w:type="spellStart"/>
      <w:r>
        <w:rPr>
          <w:rFonts w:ascii="Times New Roman" w:eastAsia="Times New Roman" w:hAnsi="Times New Roman" w:cs="Times New Roman"/>
          <w:sz w:val="24"/>
          <w:szCs w:val="24"/>
        </w:rPr>
        <w:t>Cabugao</w:t>
      </w:r>
      <w:proofErr w:type="spellEnd"/>
      <w:r>
        <w:rPr>
          <w:rFonts w:ascii="Times New Roman" w:eastAsia="Times New Roman" w:hAnsi="Times New Roman" w:cs="Times New Roman"/>
          <w:sz w:val="24"/>
          <w:szCs w:val="24"/>
        </w:rPr>
        <w:t xml:space="preserve"> Sur Senior Citizens Pavia Chapter and to the barangay captain of </w:t>
      </w:r>
      <w:proofErr w:type="spellStart"/>
      <w:r>
        <w:rPr>
          <w:rFonts w:ascii="Times New Roman" w:eastAsia="Times New Roman" w:hAnsi="Times New Roman" w:cs="Times New Roman"/>
          <w:sz w:val="24"/>
          <w:szCs w:val="24"/>
        </w:rPr>
        <w:t>Brgy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Cabugao</w:t>
      </w:r>
      <w:proofErr w:type="spellEnd"/>
      <w:r>
        <w:rPr>
          <w:rFonts w:ascii="Times New Roman" w:eastAsia="Times New Roman" w:hAnsi="Times New Roman" w:cs="Times New Roman"/>
          <w:sz w:val="24"/>
          <w:szCs w:val="24"/>
        </w:rPr>
        <w:t xml:space="preserve"> Sur, Pavia, Iloilo. The researchers visited </w:t>
      </w:r>
      <w:proofErr w:type="spellStart"/>
      <w:r>
        <w:rPr>
          <w:rFonts w:ascii="Times New Roman" w:eastAsia="Times New Roman" w:hAnsi="Times New Roman" w:cs="Times New Roman"/>
          <w:sz w:val="24"/>
          <w:szCs w:val="24"/>
        </w:rPr>
        <w:t>Brgy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Cabugao</w:t>
      </w:r>
      <w:proofErr w:type="spellEnd"/>
      <w:r>
        <w:rPr>
          <w:rFonts w:ascii="Times New Roman" w:eastAsia="Times New Roman" w:hAnsi="Times New Roman" w:cs="Times New Roman"/>
          <w:sz w:val="24"/>
          <w:szCs w:val="24"/>
        </w:rPr>
        <w:t xml:space="preserve"> Sur, Pavia, Iloilo, to distribute the questionnaires to eligible participants during the data collection phase. </w:t>
      </w:r>
    </w:p>
    <w:p w14:paraId="4247A4AB" w14:textId="77777777" w:rsidR="004204FF" w:rsidRDefault="004E35BA" w:rsidP="003A775B">
      <w:pPr>
        <w:spacing w:line="24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study provided each respondent with a complete study purpose explanation which included details about their data collection methods and storage procedures and research usage. The participants received information that explained their right to choose whether to participate in the study and that they could stop their participation at any moment without any negative consequences. </w:t>
      </w:r>
    </w:p>
    <w:p w14:paraId="518502CC" w14:textId="77777777" w:rsidR="004204FF" w:rsidRDefault="004E35BA" w:rsidP="003A775B">
      <w:pPr>
        <w:spacing w:line="24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Additionally, </w:t>
      </w:r>
      <w:proofErr w:type="gramStart"/>
      <w:r>
        <w:rPr>
          <w:rFonts w:ascii="Times New Roman" w:eastAsia="Times New Roman" w:hAnsi="Times New Roman" w:cs="Times New Roman"/>
          <w:sz w:val="24"/>
          <w:szCs w:val="24"/>
          <w:highlight w:val="white"/>
        </w:rPr>
        <w:t>The</w:t>
      </w:r>
      <w:proofErr w:type="gramEnd"/>
      <w:r>
        <w:rPr>
          <w:rFonts w:ascii="Times New Roman" w:eastAsia="Times New Roman" w:hAnsi="Times New Roman" w:cs="Times New Roman"/>
          <w:sz w:val="24"/>
          <w:szCs w:val="24"/>
          <w:highlight w:val="white"/>
        </w:rPr>
        <w:t xml:space="preserve"> respondents received guarantees that their identities would remain protected during research because all information gathered would serve academic purposes only. After confirming that participants fully understood the study conditions, each individual’s voluntary consent was documented in writing through an informed consent form, indicating their fee and informed choice to participate. The questionnaire was distributed in printed form and thoroughly explained before the respondents began answering. Participants were given 15-20 minutes to complete the questionnaire.         Any missing or inconsistent data were addressed promptly. Each completed survey was checked for accuracy daily and stored securely to maintain confidentiality. Following data collection, responses were coded, organized, and statistically analyzed to determine the relationship between old adults' self-medication practices and their perceived severity of illness.</w:t>
      </w:r>
    </w:p>
    <w:p w14:paraId="76C91B4E"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tool for data collection was an adapted and researcher-made questionnaire consisting of three parts: (1) demographic profile, (2) perceived severity of illness, and (3) self-medication practices. Both the perceived severity of illness and self-medication practices used a 5-point Likert scale to measure the respondents’ level of agreement and frequency of practice, respectively. </w:t>
      </w:r>
    </w:p>
    <w:p w14:paraId="1C297F51"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the results were communicated to barangay health institutions, including barangay health workers and practitioners, through targeted reports.             This ensured the effective dissemination of research findings to support improvements in nursing education and practice.</w:t>
      </w:r>
    </w:p>
    <w:p w14:paraId="7F060330" w14:textId="77777777" w:rsidR="004204FF" w:rsidRDefault="004204FF" w:rsidP="003A775B">
      <w:pPr>
        <w:spacing w:line="240" w:lineRule="auto"/>
        <w:ind w:firstLine="720"/>
        <w:rPr>
          <w:rFonts w:ascii="Times New Roman" w:eastAsia="Times New Roman" w:hAnsi="Times New Roman" w:cs="Times New Roman"/>
          <w:sz w:val="24"/>
          <w:szCs w:val="24"/>
        </w:rPr>
      </w:pPr>
    </w:p>
    <w:p w14:paraId="24B5548E"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Data Analysis  </w:t>
      </w:r>
    </w:p>
    <w:p w14:paraId="5B7998D6"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data collection, the information was tabulated and analyzed using the Stata statistical software package, a program widely recognized for producing accurate results in public health research. The purpose of this analysis was to describe the demographic characteristics of the chosen old adult respondents, to determine the level of their self-medication practices and perceived severity of illness, and investigated the link between these central variables. </w:t>
      </w:r>
    </w:p>
    <w:p w14:paraId="62E92DFF"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coding for each variable was as follows: Age was categorized as 60–64 = 1, 65–69 = 2, 70–74 = 3, and 75years and above = 4, measured on an ordinal scale. Gender was coded as Male= 1 and Female= 2, and measured on a nominal scale. Perceived severity of illness and self-medication practices were measured using a 5-point Likert scale ranging from 1 = Never to 5 = Always, and both were treated as interval scales.</w:t>
      </w:r>
    </w:p>
    <w:p w14:paraId="26966AD4"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 was treated as an ordinal variable, gender as a nominal variable, and combined scores for perceived severity and self-medication practices as interval-level data for statistical analysis. </w:t>
      </w:r>
    </w:p>
    <w:p w14:paraId="738CFCA9" w14:textId="77777777" w:rsidR="004204FF" w:rsidRDefault="004204FF" w:rsidP="003A775B">
      <w:pPr>
        <w:spacing w:line="240" w:lineRule="auto"/>
        <w:ind w:firstLine="720"/>
        <w:rPr>
          <w:rFonts w:ascii="Times New Roman" w:eastAsia="Times New Roman" w:hAnsi="Times New Roman" w:cs="Times New Roman"/>
          <w:sz w:val="24"/>
          <w:szCs w:val="24"/>
        </w:rPr>
      </w:pPr>
    </w:p>
    <w:p w14:paraId="02C5E1B3"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codes were applied to the demographic data:</w:t>
      </w:r>
    </w:p>
    <w:tbl>
      <w:tblPr>
        <w:tblStyle w:val="a0"/>
        <w:tblW w:w="88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4440"/>
        <w:gridCol w:w="1410"/>
      </w:tblGrid>
      <w:tr w:rsidR="004204FF" w14:paraId="58CFA062" w14:textId="77777777">
        <w:tc>
          <w:tcPr>
            <w:tcW w:w="303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C703EB4" w14:textId="77777777" w:rsidR="004204FF" w:rsidRDefault="004E35BA" w:rsidP="003A775B">
            <w:pPr>
              <w:keepLines/>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Demographic Data</w:t>
            </w:r>
          </w:p>
        </w:tc>
        <w:tc>
          <w:tcPr>
            <w:tcW w:w="44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92285D0" w14:textId="77777777" w:rsidR="004204FF" w:rsidRDefault="004E35BA" w:rsidP="003A775B">
            <w:pPr>
              <w:keepLines/>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Description </w:t>
            </w:r>
          </w:p>
        </w:tc>
        <w:tc>
          <w:tcPr>
            <w:tcW w:w="14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C74683C" w14:textId="77777777" w:rsidR="004204FF" w:rsidRDefault="004E35BA" w:rsidP="003A775B">
            <w:pPr>
              <w:keepLines/>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Code</w:t>
            </w:r>
          </w:p>
        </w:tc>
      </w:tr>
      <w:tr w:rsidR="004204FF" w14:paraId="469CCFB6" w14:textId="77777777">
        <w:trPr>
          <w:trHeight w:val="440"/>
        </w:trPr>
        <w:tc>
          <w:tcPr>
            <w:tcW w:w="3030" w:type="dxa"/>
            <w:vMerge w:val="restar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048C098"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p w14:paraId="72115DC2"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Locquet</w:t>
            </w:r>
            <w:proofErr w:type="spellEnd"/>
            <w:r>
              <w:rPr>
                <w:rFonts w:ascii="Times New Roman" w:eastAsia="Times New Roman" w:hAnsi="Times New Roman" w:cs="Times New Roman"/>
                <w:sz w:val="24"/>
                <w:szCs w:val="24"/>
              </w:rPr>
              <w:t xml:space="preserve"> et al., 2020) </w:t>
            </w:r>
          </w:p>
        </w:tc>
        <w:tc>
          <w:tcPr>
            <w:tcW w:w="44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F46D3D0"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60-64 years old</w:t>
            </w:r>
          </w:p>
        </w:tc>
        <w:tc>
          <w:tcPr>
            <w:tcW w:w="14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B38A19C" w14:textId="77777777" w:rsidR="004204FF" w:rsidRDefault="004E35BA" w:rsidP="003A775B">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204FF" w14:paraId="3184323D" w14:textId="77777777">
        <w:trPr>
          <w:trHeight w:val="440"/>
        </w:trPr>
        <w:tc>
          <w:tcPr>
            <w:tcW w:w="303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8D964A5" w14:textId="77777777" w:rsidR="004204FF" w:rsidRDefault="004204FF" w:rsidP="003A775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4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6F6B428"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65-69 years old</w:t>
            </w:r>
          </w:p>
        </w:tc>
        <w:tc>
          <w:tcPr>
            <w:tcW w:w="14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16A2E70" w14:textId="77777777" w:rsidR="004204FF" w:rsidRDefault="004E35BA" w:rsidP="003A775B">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4204FF" w14:paraId="0E51006F" w14:textId="77777777">
        <w:trPr>
          <w:trHeight w:val="440"/>
        </w:trPr>
        <w:tc>
          <w:tcPr>
            <w:tcW w:w="303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78826CD" w14:textId="77777777" w:rsidR="004204FF" w:rsidRDefault="004204FF" w:rsidP="003A775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4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D455BBD"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70-74 years old</w:t>
            </w:r>
          </w:p>
        </w:tc>
        <w:tc>
          <w:tcPr>
            <w:tcW w:w="14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8DD569F" w14:textId="77777777" w:rsidR="004204FF" w:rsidRDefault="004E35BA" w:rsidP="003A775B">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4204FF" w14:paraId="42197E01" w14:textId="77777777">
        <w:trPr>
          <w:trHeight w:val="440"/>
        </w:trPr>
        <w:tc>
          <w:tcPr>
            <w:tcW w:w="303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48A60AA" w14:textId="77777777" w:rsidR="004204FF" w:rsidRDefault="004204FF" w:rsidP="003A775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4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BAB3864"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 years old and above</w:t>
            </w:r>
          </w:p>
        </w:tc>
        <w:tc>
          <w:tcPr>
            <w:tcW w:w="14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29F3DFA" w14:textId="77777777" w:rsidR="004204FF" w:rsidRDefault="004E35BA" w:rsidP="003A775B">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4204FF" w14:paraId="39246C13" w14:textId="77777777">
        <w:trPr>
          <w:trHeight w:val="440"/>
        </w:trPr>
        <w:tc>
          <w:tcPr>
            <w:tcW w:w="3030" w:type="dxa"/>
            <w:vMerge w:val="restar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703D290"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tc>
        <w:tc>
          <w:tcPr>
            <w:tcW w:w="44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8B1D53A"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4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94DCFA8" w14:textId="77777777" w:rsidR="004204FF" w:rsidRDefault="004E35BA" w:rsidP="003A775B">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204FF" w14:paraId="49D04030" w14:textId="77777777">
        <w:trPr>
          <w:trHeight w:val="440"/>
        </w:trPr>
        <w:tc>
          <w:tcPr>
            <w:tcW w:w="303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552DB1C" w14:textId="77777777" w:rsidR="004204FF" w:rsidRDefault="004204FF" w:rsidP="003A775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4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6ACA295"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4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7E5E6B2" w14:textId="77777777" w:rsidR="004204FF" w:rsidRDefault="004E35BA" w:rsidP="003A775B">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4204FF" w14:paraId="22F80B8C" w14:textId="77777777">
        <w:trPr>
          <w:trHeight w:val="440"/>
        </w:trPr>
        <w:tc>
          <w:tcPr>
            <w:tcW w:w="3030" w:type="dxa"/>
            <w:vMerge w:val="restar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53B3F49"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Civil Status</w:t>
            </w:r>
          </w:p>
        </w:tc>
        <w:tc>
          <w:tcPr>
            <w:tcW w:w="44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CF7C928"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c>
          <w:tcPr>
            <w:tcW w:w="14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8ECE41E"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204FF" w14:paraId="3CBC2F89" w14:textId="77777777">
        <w:trPr>
          <w:trHeight w:val="440"/>
        </w:trPr>
        <w:tc>
          <w:tcPr>
            <w:tcW w:w="303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0DFB9A0" w14:textId="77777777" w:rsidR="004204FF" w:rsidRDefault="004204FF" w:rsidP="003A775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4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1E0F8B4"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Married</w:t>
            </w:r>
          </w:p>
        </w:tc>
        <w:tc>
          <w:tcPr>
            <w:tcW w:w="14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EB1F977"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4204FF" w14:paraId="19D1B6DA" w14:textId="77777777">
        <w:trPr>
          <w:trHeight w:val="440"/>
        </w:trPr>
        <w:tc>
          <w:tcPr>
            <w:tcW w:w="303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A78646D" w14:textId="77777777" w:rsidR="004204FF" w:rsidRDefault="004204FF" w:rsidP="003A775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4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7B17248"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Widowed</w:t>
            </w:r>
          </w:p>
        </w:tc>
        <w:tc>
          <w:tcPr>
            <w:tcW w:w="14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D79EEFA"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4204FF" w14:paraId="2693FAD0" w14:textId="77777777">
        <w:trPr>
          <w:trHeight w:val="440"/>
        </w:trPr>
        <w:tc>
          <w:tcPr>
            <w:tcW w:w="303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D608E5B" w14:textId="77777777" w:rsidR="004204FF" w:rsidRDefault="004204FF" w:rsidP="003A775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4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C4205A3"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Divorced/Separated</w:t>
            </w:r>
          </w:p>
        </w:tc>
        <w:tc>
          <w:tcPr>
            <w:tcW w:w="14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BDF0A1E"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4204FF" w14:paraId="1DC6E55F" w14:textId="77777777">
        <w:trPr>
          <w:trHeight w:val="440"/>
        </w:trPr>
        <w:tc>
          <w:tcPr>
            <w:tcW w:w="3030" w:type="dxa"/>
            <w:vMerge w:val="restar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609D635"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tc>
        <w:tc>
          <w:tcPr>
            <w:tcW w:w="44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26B5E2A"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Formal Education</w:t>
            </w:r>
          </w:p>
        </w:tc>
        <w:tc>
          <w:tcPr>
            <w:tcW w:w="14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C08197F"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204FF" w14:paraId="33C292D4" w14:textId="77777777">
        <w:trPr>
          <w:trHeight w:val="440"/>
        </w:trPr>
        <w:tc>
          <w:tcPr>
            <w:tcW w:w="303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5A24E2" w14:textId="77777777" w:rsidR="004204FF" w:rsidRDefault="004204FF" w:rsidP="003A775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4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745D4DC"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Elementary Graduate</w:t>
            </w:r>
          </w:p>
        </w:tc>
        <w:tc>
          <w:tcPr>
            <w:tcW w:w="14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D03BEFC"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4204FF" w14:paraId="5EFE9AF9" w14:textId="77777777">
        <w:trPr>
          <w:trHeight w:val="440"/>
        </w:trPr>
        <w:tc>
          <w:tcPr>
            <w:tcW w:w="303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A879B38" w14:textId="77777777" w:rsidR="004204FF" w:rsidRDefault="004204FF" w:rsidP="003A775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4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F5A82C4"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School Graduate</w:t>
            </w:r>
          </w:p>
        </w:tc>
        <w:tc>
          <w:tcPr>
            <w:tcW w:w="14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E5787B9"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4204FF" w14:paraId="7787AC5D" w14:textId="77777777">
        <w:trPr>
          <w:trHeight w:val="440"/>
        </w:trPr>
        <w:tc>
          <w:tcPr>
            <w:tcW w:w="303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88C2955" w14:textId="77777777" w:rsidR="004204FF" w:rsidRDefault="004204FF" w:rsidP="003A775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4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41A8AC7"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College Graduate</w:t>
            </w:r>
          </w:p>
        </w:tc>
        <w:tc>
          <w:tcPr>
            <w:tcW w:w="14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94AD985"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4204FF" w14:paraId="6F17E626" w14:textId="77777777">
        <w:trPr>
          <w:trHeight w:val="440"/>
        </w:trPr>
        <w:tc>
          <w:tcPr>
            <w:tcW w:w="3030" w:type="dxa"/>
            <w:vMerge w:val="restar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AEC5EF4"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w:t>
            </w:r>
          </w:p>
        </w:tc>
        <w:tc>
          <w:tcPr>
            <w:tcW w:w="44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9037129"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14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419066A"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204FF" w14:paraId="2B223E7B" w14:textId="77777777">
        <w:trPr>
          <w:trHeight w:val="440"/>
        </w:trPr>
        <w:tc>
          <w:tcPr>
            <w:tcW w:w="303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2E53140" w14:textId="77777777" w:rsidR="004204FF" w:rsidRDefault="004204FF" w:rsidP="003A775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4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D9F1807"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Service Industry</w:t>
            </w:r>
          </w:p>
        </w:tc>
        <w:tc>
          <w:tcPr>
            <w:tcW w:w="14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B698BBA"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4204FF" w14:paraId="4E7AC062" w14:textId="77777777">
        <w:trPr>
          <w:trHeight w:val="440"/>
        </w:trPr>
        <w:tc>
          <w:tcPr>
            <w:tcW w:w="303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BC3BB57" w14:textId="77777777" w:rsidR="004204FF" w:rsidRDefault="004204FF" w:rsidP="003A775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4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EF6DD75"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Business/Self Employment</w:t>
            </w:r>
          </w:p>
        </w:tc>
        <w:tc>
          <w:tcPr>
            <w:tcW w:w="14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F9ABE13"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4204FF" w14:paraId="7DAF6373" w14:textId="77777777">
        <w:trPr>
          <w:trHeight w:val="440"/>
        </w:trPr>
        <w:tc>
          <w:tcPr>
            <w:tcW w:w="303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6335581" w14:textId="77777777" w:rsidR="004204FF" w:rsidRDefault="004204FF" w:rsidP="003A775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4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A6410E8"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Transportation</w:t>
            </w:r>
          </w:p>
        </w:tc>
        <w:tc>
          <w:tcPr>
            <w:tcW w:w="14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BE93BFE"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4204FF" w14:paraId="462AD372" w14:textId="77777777">
        <w:trPr>
          <w:trHeight w:val="440"/>
        </w:trPr>
        <w:tc>
          <w:tcPr>
            <w:tcW w:w="3030" w:type="dxa"/>
            <w:vMerge/>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C872D5C" w14:textId="77777777" w:rsidR="004204FF" w:rsidRDefault="004204FF" w:rsidP="003A775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4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8E4028D" w14:textId="77777777" w:rsidR="004204FF" w:rsidRDefault="004E35BA" w:rsidP="003A775B">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Government/Public Service</w:t>
            </w:r>
          </w:p>
        </w:tc>
        <w:tc>
          <w:tcPr>
            <w:tcW w:w="14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E42DD26"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bl>
    <w:p w14:paraId="73FE91AE" w14:textId="4CDA8633" w:rsidR="004204FF" w:rsidRDefault="00C26F5C"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List 1-</w:t>
      </w:r>
      <w:r w:rsidR="00EB5077">
        <w:rPr>
          <w:rFonts w:ascii="Times New Roman" w:eastAsia="Times New Roman" w:hAnsi="Times New Roman" w:cs="Times New Roman"/>
          <w:sz w:val="24"/>
          <w:szCs w:val="24"/>
        </w:rPr>
        <w:t xml:space="preserve"> Sociodemographic Data</w:t>
      </w:r>
    </w:p>
    <w:p w14:paraId="0827B52E"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Total scores for perceived severity of illness in self-medication were calculated and categorized according to the following criteria:</w:t>
      </w:r>
    </w:p>
    <w:p w14:paraId="765E47A7" w14:textId="77777777" w:rsidR="004204FF" w:rsidRDefault="004204FF" w:rsidP="003A775B">
      <w:pPr>
        <w:spacing w:line="240" w:lineRule="auto"/>
        <w:ind w:firstLine="720"/>
        <w:rPr>
          <w:rFonts w:ascii="Times New Roman" w:eastAsia="Times New Roman" w:hAnsi="Times New Roman" w:cs="Times New Roman"/>
          <w:sz w:val="24"/>
          <w:szCs w:val="24"/>
        </w:rPr>
      </w:pPr>
    </w:p>
    <w:tbl>
      <w:tblPr>
        <w:tblStyle w:val="a1"/>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4204FF" w14:paraId="1A812A18" w14:textId="77777777">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9EFB660" w14:textId="77777777" w:rsidR="004204FF" w:rsidRDefault="004E35BA" w:rsidP="003A775B">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Response</w:t>
            </w:r>
          </w:p>
        </w:tc>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C343926" w14:textId="77777777" w:rsidR="004204FF" w:rsidRDefault="004E35BA" w:rsidP="003A775B">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Code</w:t>
            </w:r>
          </w:p>
        </w:tc>
      </w:tr>
      <w:tr w:rsidR="004204FF" w14:paraId="787919C9" w14:textId="77777777">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838928A" w14:textId="77777777" w:rsidR="004204FF" w:rsidRDefault="004E35BA" w:rsidP="003A775B">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Never</w:t>
            </w:r>
          </w:p>
        </w:tc>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D5A9E55" w14:textId="77777777" w:rsidR="004204FF" w:rsidRDefault="004E35BA" w:rsidP="003A775B">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204FF" w14:paraId="2151399C" w14:textId="77777777">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8DF3E56" w14:textId="77777777" w:rsidR="004204FF" w:rsidRDefault="004E35BA" w:rsidP="003A775B">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Seldom</w:t>
            </w:r>
          </w:p>
        </w:tc>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7674F13" w14:textId="77777777" w:rsidR="004204FF" w:rsidRDefault="004E35BA" w:rsidP="003A775B">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4204FF" w14:paraId="414620E2" w14:textId="77777777">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41BE7DE" w14:textId="77777777" w:rsidR="004204FF" w:rsidRDefault="004E35BA" w:rsidP="003A775B">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w:t>
            </w:r>
          </w:p>
        </w:tc>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D9B1373" w14:textId="77777777" w:rsidR="004204FF" w:rsidRDefault="004E35BA" w:rsidP="003A775B">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4204FF" w14:paraId="12AEA6B8" w14:textId="77777777">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A684C8D" w14:textId="77777777" w:rsidR="004204FF" w:rsidRDefault="004E35BA" w:rsidP="003A775B">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Often</w:t>
            </w:r>
          </w:p>
        </w:tc>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E4D9DE1" w14:textId="77777777" w:rsidR="004204FF" w:rsidRDefault="004E35BA" w:rsidP="003A775B">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4204FF" w14:paraId="0AA0A158" w14:textId="77777777">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13E9C7C" w14:textId="77777777" w:rsidR="004204FF" w:rsidRDefault="004E35BA" w:rsidP="003A775B">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Always</w:t>
            </w:r>
          </w:p>
        </w:tc>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A06315D" w14:textId="77777777" w:rsidR="004204FF" w:rsidRDefault="004E35BA" w:rsidP="003A775B">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bl>
    <w:p w14:paraId="4F5A574D" w14:textId="474D3BBF" w:rsidR="004204FF" w:rsidRDefault="00C26F5C" w:rsidP="003A775B">
      <w:pPr>
        <w:spacing w:line="240" w:lineRule="auto"/>
        <w:ind w:firstLine="720"/>
        <w:rPr>
          <w:rFonts w:ascii="Times New Roman" w:eastAsia="Times New Roman" w:hAnsi="Times New Roman" w:cs="Times New Roman"/>
          <w:sz w:val="24"/>
          <w:szCs w:val="24"/>
        </w:rPr>
      </w:pPr>
      <w:r w:rsidRPr="00C26F5C">
        <w:rPr>
          <w:rFonts w:ascii="Times New Roman" w:eastAsia="Times New Roman" w:hAnsi="Times New Roman" w:cs="Times New Roman"/>
          <w:sz w:val="24"/>
          <w:szCs w:val="24"/>
        </w:rPr>
        <w:t>List</w:t>
      </w:r>
      <w:r>
        <w:rPr>
          <w:rFonts w:ascii="Times New Roman" w:eastAsia="Times New Roman" w:hAnsi="Times New Roman" w:cs="Times New Roman"/>
          <w:sz w:val="24"/>
          <w:szCs w:val="24"/>
        </w:rPr>
        <w:t xml:space="preserve"> 2-</w:t>
      </w:r>
      <w:r w:rsidR="00EB5077">
        <w:rPr>
          <w:rFonts w:ascii="Times New Roman" w:eastAsia="Times New Roman" w:hAnsi="Times New Roman" w:cs="Times New Roman"/>
          <w:sz w:val="24"/>
          <w:szCs w:val="24"/>
        </w:rPr>
        <w:t xml:space="preserve"> </w:t>
      </w:r>
      <w:proofErr w:type="spellStart"/>
      <w:r w:rsidR="00EB5077">
        <w:rPr>
          <w:rFonts w:ascii="Times New Roman" w:eastAsia="Times New Roman" w:hAnsi="Times New Roman" w:cs="Times New Roman"/>
          <w:sz w:val="24"/>
          <w:szCs w:val="24"/>
        </w:rPr>
        <w:t>Categorisation</w:t>
      </w:r>
      <w:proofErr w:type="spellEnd"/>
      <w:r w:rsidR="00EB5077">
        <w:rPr>
          <w:rFonts w:ascii="Times New Roman" w:eastAsia="Times New Roman" w:hAnsi="Times New Roman" w:cs="Times New Roman"/>
          <w:sz w:val="24"/>
          <w:szCs w:val="24"/>
        </w:rPr>
        <w:t xml:space="preserve"> of perceived severity of illness in self-medication </w:t>
      </w:r>
    </w:p>
    <w:p w14:paraId="57D416DD"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Total scores for self-medication practices questionnaires was categorized as follows:</w:t>
      </w:r>
    </w:p>
    <w:tbl>
      <w:tblPr>
        <w:tblStyle w:val="a2"/>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4204FF" w14:paraId="148446E7" w14:textId="77777777">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E7DF9B8" w14:textId="77777777" w:rsidR="004204FF" w:rsidRDefault="004E35BA" w:rsidP="003A775B">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Response</w:t>
            </w:r>
          </w:p>
        </w:tc>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1E1F517" w14:textId="77777777" w:rsidR="004204FF" w:rsidRDefault="004E35BA" w:rsidP="003A775B">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Code</w:t>
            </w:r>
          </w:p>
        </w:tc>
      </w:tr>
      <w:tr w:rsidR="004204FF" w14:paraId="7C3D7C8A" w14:textId="77777777">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1A0D3B3"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Never</w:t>
            </w:r>
          </w:p>
        </w:tc>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1E65452"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204FF" w14:paraId="3F149D74" w14:textId="77777777">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DDFC786"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Seldom</w:t>
            </w:r>
          </w:p>
        </w:tc>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CF64727"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4204FF" w14:paraId="47F6E470" w14:textId="77777777">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4E92F67"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w:t>
            </w:r>
          </w:p>
        </w:tc>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0CC481A"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4204FF" w14:paraId="3287E052" w14:textId="77777777">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5A6721B"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Often</w:t>
            </w:r>
          </w:p>
        </w:tc>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D745258"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4204FF" w14:paraId="5EB36881" w14:textId="77777777">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1B58847"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Always</w:t>
            </w:r>
          </w:p>
        </w:tc>
        <w:tc>
          <w:tcPr>
            <w:tcW w:w="43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C39C124"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bl>
    <w:p w14:paraId="23BD0251" w14:textId="1EF6F8B8" w:rsidR="004204FF" w:rsidRDefault="00C26F5C" w:rsidP="003A775B">
      <w:pPr>
        <w:spacing w:line="240" w:lineRule="auto"/>
        <w:ind w:firstLine="720"/>
        <w:rPr>
          <w:rFonts w:ascii="Times New Roman" w:eastAsia="Times New Roman" w:hAnsi="Times New Roman" w:cs="Times New Roman"/>
          <w:sz w:val="24"/>
          <w:szCs w:val="24"/>
        </w:rPr>
      </w:pPr>
      <w:r w:rsidRPr="00C26F5C">
        <w:rPr>
          <w:rFonts w:ascii="Times New Roman" w:eastAsia="Times New Roman" w:hAnsi="Times New Roman" w:cs="Times New Roman"/>
          <w:sz w:val="24"/>
          <w:szCs w:val="24"/>
        </w:rPr>
        <w:t>List</w:t>
      </w:r>
      <w:r>
        <w:rPr>
          <w:rFonts w:ascii="Times New Roman" w:eastAsia="Times New Roman" w:hAnsi="Times New Roman" w:cs="Times New Roman"/>
          <w:sz w:val="24"/>
          <w:szCs w:val="24"/>
        </w:rPr>
        <w:t xml:space="preserve"> 3-</w:t>
      </w:r>
      <w:r w:rsidR="00EB5077">
        <w:rPr>
          <w:rFonts w:ascii="Times New Roman" w:eastAsia="Times New Roman" w:hAnsi="Times New Roman" w:cs="Times New Roman"/>
          <w:sz w:val="24"/>
          <w:szCs w:val="24"/>
        </w:rPr>
        <w:t xml:space="preserve"> </w:t>
      </w:r>
      <w:proofErr w:type="spellStart"/>
      <w:r w:rsidR="00EB5077">
        <w:rPr>
          <w:rFonts w:ascii="Times New Roman" w:eastAsia="Times New Roman" w:hAnsi="Times New Roman" w:cs="Times New Roman"/>
          <w:sz w:val="24"/>
          <w:szCs w:val="24"/>
        </w:rPr>
        <w:t>Categorisation</w:t>
      </w:r>
      <w:proofErr w:type="spellEnd"/>
      <w:r w:rsidR="00EB5077">
        <w:rPr>
          <w:rFonts w:ascii="Times New Roman" w:eastAsia="Times New Roman" w:hAnsi="Times New Roman" w:cs="Times New Roman"/>
          <w:sz w:val="24"/>
          <w:szCs w:val="24"/>
        </w:rPr>
        <w:t xml:space="preserve"> of self-medication practices questionnaires </w:t>
      </w:r>
    </w:p>
    <w:p w14:paraId="250EB505"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Descriptive Statistical Tools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To gather and analyze the data, the following tools were used: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b/>
          <w:bCs/>
          <w:i/>
          <w:iCs/>
          <w:sz w:val="24"/>
          <w:szCs w:val="24"/>
        </w:rPr>
        <w:t>Frequency</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was used to determine the number of respondents who shared certain demographic characteristics and to describe the distribution of responses concerning self-medication practices and perceived severity of illness.</w:t>
      </w:r>
    </w:p>
    <w:p w14:paraId="40434141"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Percentage</w:t>
      </w:r>
      <w:r>
        <w:rPr>
          <w:rFonts w:ascii="Times New Roman" w:eastAsia="Times New Roman" w:hAnsi="Times New Roman" w:cs="Times New Roman"/>
          <w:sz w:val="24"/>
          <w:szCs w:val="24"/>
        </w:rPr>
        <w:t xml:space="preserve"> was calculated to determine the proportional representation of respondents based on their demographic characteristics and their proportional agreement across the Likert scale items. This allowed for a clearer understanding of how prevalent certain viewpoints and practices were within the overall sample.</w:t>
      </w:r>
    </w:p>
    <w:p w14:paraId="6F2B3C8B"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Mean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was calculated to determine the average score for the two main study variables: the level of </w:t>
      </w:r>
      <w:proofErr w:type="spellStart"/>
      <w:r>
        <w:rPr>
          <w:rFonts w:ascii="Times New Roman" w:eastAsia="Times New Roman" w:hAnsi="Times New Roman" w:cs="Times New Roman"/>
          <w:sz w:val="24"/>
          <w:szCs w:val="24"/>
        </w:rPr>
        <w:t>self medication</w:t>
      </w:r>
      <w:proofErr w:type="spellEnd"/>
      <w:r>
        <w:rPr>
          <w:rFonts w:ascii="Times New Roman" w:eastAsia="Times New Roman" w:hAnsi="Times New Roman" w:cs="Times New Roman"/>
          <w:sz w:val="24"/>
          <w:szCs w:val="24"/>
        </w:rPr>
        <w:t xml:space="preserve"> practices and the perceived severity of illness.      The mean was determined using the data obtained from the 5-point Likert scale questionnaire.</w:t>
      </w:r>
    </w:p>
    <w:p w14:paraId="68BE89D8" w14:textId="77777777" w:rsidR="004204FF" w:rsidRDefault="004E35BA" w:rsidP="003A775B">
      <w:pPr>
        <w:spacing w:line="240"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Standard Deviation</w:t>
      </w:r>
      <w:r>
        <w:rPr>
          <w:rFonts w:ascii="Times New Roman" w:eastAsia="Times New Roman" w:hAnsi="Times New Roman" w:cs="Times New Roman"/>
          <w:sz w:val="24"/>
          <w:szCs w:val="24"/>
        </w:rPr>
        <w:t xml:space="preserve"> was used to assess the variability in the respondents' scores for both self-medication practices and perceived severity of illness. This measure determined if the data collected were homogeneous (scores close to the mean) or heterogeneous (scores widely dispersed).</w:t>
      </w:r>
    </w:p>
    <w:p w14:paraId="70BB0C4A" w14:textId="77777777" w:rsidR="004204FF" w:rsidRDefault="004E35BA" w:rsidP="003A775B">
      <w:pPr>
        <w:spacing w:line="24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i/>
          <w:iCs/>
          <w:sz w:val="24"/>
          <w:szCs w:val="24"/>
        </w:rPr>
        <w:t xml:space="preserve">Kolmogorov Smirnov test </w:t>
      </w:r>
      <w:r>
        <w:rPr>
          <w:rFonts w:ascii="Times New Roman" w:eastAsia="Times New Roman" w:hAnsi="Times New Roman" w:cs="Times New Roman"/>
          <w:sz w:val="24"/>
          <w:szCs w:val="24"/>
        </w:rPr>
        <w:t xml:space="preserve">was used to determine the data for perceived severity and </w:t>
      </w:r>
      <w:r>
        <w:rPr>
          <w:rFonts w:ascii="Times New Roman" w:eastAsia="Times New Roman" w:hAnsi="Times New Roman" w:cs="Times New Roman"/>
          <w:sz w:val="24"/>
          <w:szCs w:val="24"/>
          <w:highlight w:val="white"/>
        </w:rPr>
        <w:t>self-medication practices follow a normal distribution. The results of this test helped the researchers decide which statistical test was most suitable for the data.</w:t>
      </w:r>
    </w:p>
    <w:p w14:paraId="52D37781" w14:textId="77777777" w:rsidR="004204FF" w:rsidRDefault="004E35BA" w:rsidP="003A775B">
      <w:pPr>
        <w:spacing w:line="24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Parametric tests were used if normality of the data was confirmed, while the Pearson Product-Moment Correlation was used to determine the relationship between perceived severity and self-medication among old adults.</w:t>
      </w:r>
    </w:p>
    <w:p w14:paraId="159C7D30"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highlight w:val="white"/>
        </w:rPr>
        <w:t>Non-parametric tests</w:t>
      </w:r>
      <w:r>
        <w:rPr>
          <w:rFonts w:ascii="Times New Roman" w:eastAsia="Times New Roman" w:hAnsi="Times New Roman" w:cs="Times New Roman"/>
          <w:sz w:val="24"/>
          <w:szCs w:val="24"/>
          <w:highlight w:val="white"/>
        </w:rPr>
        <w:t xml:space="preserve"> were used if the data did not follow a normal distribution, the Spearman’s Rank Correlation was used to ensure that the analysis remains accurate and reliable despite the non-normal distribution. Inferential statistical tool was utilized to analyze the inferential objective regarding the correlation between the </w:t>
      </w:r>
      <w:proofErr w:type="gramStart"/>
      <w:r>
        <w:rPr>
          <w:rFonts w:ascii="Times New Roman" w:eastAsia="Times New Roman" w:hAnsi="Times New Roman" w:cs="Times New Roman"/>
          <w:sz w:val="24"/>
          <w:szCs w:val="24"/>
          <w:highlight w:val="white"/>
        </w:rPr>
        <w:t xml:space="preserve">variables,   </w:t>
      </w:r>
      <w:proofErr w:type="gramEnd"/>
      <w:r>
        <w:rPr>
          <w:rFonts w:ascii="Times New Roman" w:eastAsia="Times New Roman" w:hAnsi="Times New Roman" w:cs="Times New Roman"/>
          <w:sz w:val="24"/>
          <w:szCs w:val="24"/>
          <w:highlight w:val="white"/>
        </w:rPr>
        <w:t xml:space="preserve">        the following statistical methods were used:</w:t>
      </w:r>
    </w:p>
    <w:p w14:paraId="2F7B4E70"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Pearson Product-Moment Correlation was used when the data showed a normal distribution.</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This test assessed the relationship between perceived severity and self-medication practices among old adults.</w:t>
      </w:r>
    </w:p>
    <w:p w14:paraId="287CFAC7"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If the data were not normally distributed, the Spearman’s Rank Correlation was used. This test helped ensure dependable results, even when the data were not normally distributed.</w:t>
      </w:r>
    </w:p>
    <w:p w14:paraId="5DAD60D5"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F68C297"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Ethical Consideration</w:t>
      </w:r>
    </w:p>
    <w:p w14:paraId="50FDF452"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w:t>
      </w:r>
      <w:proofErr w:type="gramStart"/>
      <w:r>
        <w:rPr>
          <w:rFonts w:ascii="Times New Roman" w:eastAsia="Times New Roman" w:hAnsi="Times New Roman" w:cs="Times New Roman"/>
          <w:sz w:val="24"/>
          <w:szCs w:val="24"/>
        </w:rPr>
        <w:t>underwent  an</w:t>
      </w:r>
      <w:proofErr w:type="gramEnd"/>
      <w:r>
        <w:rPr>
          <w:rFonts w:ascii="Times New Roman" w:eastAsia="Times New Roman" w:hAnsi="Times New Roman" w:cs="Times New Roman"/>
          <w:sz w:val="24"/>
          <w:szCs w:val="24"/>
        </w:rPr>
        <w:t xml:space="preserve"> ethical review process before collecting any data,        the proposal was  reviewed by the Iloilo Doctors’ College Research Ethics Committee (IDIREC) for approval and was granted ethical clearance. The researchers also asked permission from the faculty adviser, the </w:t>
      </w:r>
      <w:proofErr w:type="spellStart"/>
      <w:r>
        <w:rPr>
          <w:rFonts w:ascii="Times New Roman" w:eastAsia="Times New Roman" w:hAnsi="Times New Roman" w:cs="Times New Roman"/>
          <w:sz w:val="24"/>
          <w:szCs w:val="24"/>
        </w:rPr>
        <w:t>Brgy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Cabugao</w:t>
      </w:r>
      <w:proofErr w:type="spellEnd"/>
      <w:r>
        <w:rPr>
          <w:rFonts w:ascii="Times New Roman" w:eastAsia="Times New Roman" w:hAnsi="Times New Roman" w:cs="Times New Roman"/>
          <w:sz w:val="24"/>
          <w:szCs w:val="24"/>
        </w:rPr>
        <w:t xml:space="preserve"> Sur Senior Citizens Pavia Chapter, and the barangay captain of </w:t>
      </w:r>
      <w:proofErr w:type="spellStart"/>
      <w:r>
        <w:rPr>
          <w:rFonts w:ascii="Times New Roman" w:eastAsia="Times New Roman" w:hAnsi="Times New Roman" w:cs="Times New Roman"/>
          <w:sz w:val="24"/>
          <w:szCs w:val="24"/>
        </w:rPr>
        <w:t>Brgy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Cabugao</w:t>
      </w:r>
      <w:proofErr w:type="spellEnd"/>
      <w:r>
        <w:rPr>
          <w:rFonts w:ascii="Times New Roman" w:eastAsia="Times New Roman" w:hAnsi="Times New Roman" w:cs="Times New Roman"/>
          <w:sz w:val="24"/>
          <w:szCs w:val="24"/>
        </w:rPr>
        <w:t xml:space="preserve"> Sur to conduct the study.</w:t>
      </w:r>
    </w:p>
    <w:p w14:paraId="3992C2FC"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Benefits. </w:t>
      </w:r>
      <w:r>
        <w:rPr>
          <w:rFonts w:ascii="Times New Roman" w:eastAsia="Times New Roman" w:hAnsi="Times New Roman" w:cs="Times New Roman"/>
          <w:sz w:val="24"/>
          <w:szCs w:val="24"/>
        </w:rPr>
        <w:t xml:space="preserve">The research had a positive impact on the respondents, as it enlightened their perspective towards self-medication practices. This study also helped improve community health planning and support programs for the elderly in </w:t>
      </w:r>
      <w:proofErr w:type="spellStart"/>
      <w:r>
        <w:rPr>
          <w:rFonts w:ascii="Times New Roman" w:eastAsia="Times New Roman" w:hAnsi="Times New Roman" w:cs="Times New Roman"/>
          <w:sz w:val="24"/>
          <w:szCs w:val="24"/>
        </w:rPr>
        <w:t>Brgy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Cabugao</w:t>
      </w:r>
      <w:proofErr w:type="spellEnd"/>
      <w:r>
        <w:rPr>
          <w:rFonts w:ascii="Times New Roman" w:eastAsia="Times New Roman" w:hAnsi="Times New Roman" w:cs="Times New Roman"/>
          <w:sz w:val="24"/>
          <w:szCs w:val="24"/>
        </w:rPr>
        <w:t xml:space="preserve"> Sur. </w:t>
      </w:r>
    </w:p>
    <w:p w14:paraId="4E4F052E"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Risk Assessment. </w:t>
      </w:r>
      <w:r>
        <w:rPr>
          <w:rFonts w:ascii="Times New Roman" w:eastAsia="Times New Roman" w:hAnsi="Times New Roman" w:cs="Times New Roman"/>
          <w:sz w:val="24"/>
          <w:szCs w:val="24"/>
        </w:rPr>
        <w:t>The study only made use of surveys and observations, that made the risks to be considered minimal. To ensure participants felt at ease, they were allowed to choose to skip any questions they found too personal or sensitive.</w:t>
      </w:r>
    </w:p>
    <w:p w14:paraId="48868210"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Informed Consent. </w:t>
      </w:r>
      <w:r>
        <w:rPr>
          <w:rFonts w:ascii="Times New Roman" w:eastAsia="Times New Roman" w:hAnsi="Times New Roman" w:cs="Times New Roman"/>
          <w:sz w:val="24"/>
          <w:szCs w:val="24"/>
        </w:rPr>
        <w:t>The respondents were asked to sign a consent form after the study’s purpose and procedures were explained clearly and in a simple language.</w:t>
      </w:r>
    </w:p>
    <w:p w14:paraId="6B387D2C"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Participant Selection. </w:t>
      </w:r>
      <w:r>
        <w:rPr>
          <w:rFonts w:ascii="Times New Roman" w:eastAsia="Times New Roman" w:hAnsi="Times New Roman" w:cs="Times New Roman"/>
          <w:sz w:val="24"/>
          <w:szCs w:val="24"/>
        </w:rPr>
        <w:t xml:space="preserve">The respondents were selected based on specific inclusion criteria. They were also reminded that participation was voluntary and that they could withdraw at any time without consequences. </w:t>
      </w:r>
    </w:p>
    <w:p w14:paraId="7126E742"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Privacy and Confidentiality. </w:t>
      </w:r>
      <w:r>
        <w:rPr>
          <w:rFonts w:ascii="Times New Roman" w:eastAsia="Times New Roman" w:hAnsi="Times New Roman" w:cs="Times New Roman"/>
          <w:sz w:val="24"/>
          <w:szCs w:val="24"/>
        </w:rPr>
        <w:t>All information collected was treated as strictly confidential.</w:t>
      </w:r>
    </w:p>
    <w:p w14:paraId="7C82CCED" w14:textId="77777777" w:rsidR="004204FF" w:rsidRDefault="004E35BA" w:rsidP="003A775B">
      <w:pPr>
        <w:spacing w:line="240"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Incentives. </w:t>
      </w:r>
      <w:r>
        <w:rPr>
          <w:rFonts w:ascii="Times New Roman" w:eastAsia="Times New Roman" w:hAnsi="Times New Roman" w:cs="Times New Roman"/>
          <w:sz w:val="24"/>
          <w:szCs w:val="24"/>
        </w:rPr>
        <w:t>Participants were not compensated financially, but light refreshments were provided as a token of appreciation for their participation.</w:t>
      </w:r>
    </w:p>
    <w:p w14:paraId="40FCAD56" w14:textId="77777777" w:rsidR="004204FF" w:rsidRDefault="004E35BA" w:rsidP="003A775B">
      <w:pPr>
        <w:spacing w:line="240"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Data Storage and Disposal. </w:t>
      </w:r>
      <w:r>
        <w:rPr>
          <w:rFonts w:ascii="Times New Roman" w:eastAsia="Times New Roman" w:hAnsi="Times New Roman" w:cs="Times New Roman"/>
          <w:sz w:val="24"/>
          <w:szCs w:val="24"/>
        </w:rPr>
        <w:t>All collected files were kept safe and confidential. Only the researchers working on this study had access to the data, and it was not shared with anyone outside the team. The information remained anonymous and was stored securely for about three years before being permanently deleted or shredded to make sure it was properly disposed of.</w:t>
      </w:r>
    </w:p>
    <w:p w14:paraId="3892A538" w14:textId="77777777" w:rsidR="004204FF" w:rsidRDefault="004E35BA" w:rsidP="003A775B">
      <w:pPr>
        <w:spacing w:line="240"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Community Contribution. </w:t>
      </w:r>
      <w:r>
        <w:rPr>
          <w:rFonts w:ascii="Times New Roman" w:eastAsia="Times New Roman" w:hAnsi="Times New Roman" w:cs="Times New Roman"/>
          <w:sz w:val="24"/>
          <w:szCs w:val="24"/>
        </w:rPr>
        <w:t xml:space="preserve">Findings were later shared with the </w:t>
      </w:r>
      <w:proofErr w:type="spellStart"/>
      <w:r>
        <w:rPr>
          <w:rFonts w:ascii="Times New Roman" w:eastAsia="Times New Roman" w:hAnsi="Times New Roman" w:cs="Times New Roman"/>
          <w:sz w:val="24"/>
          <w:szCs w:val="24"/>
        </w:rPr>
        <w:t>Brgy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Cabugao</w:t>
      </w:r>
      <w:proofErr w:type="spellEnd"/>
      <w:r>
        <w:rPr>
          <w:rFonts w:ascii="Times New Roman" w:eastAsia="Times New Roman" w:hAnsi="Times New Roman" w:cs="Times New Roman"/>
          <w:sz w:val="24"/>
          <w:szCs w:val="24"/>
        </w:rPr>
        <w:t xml:space="preserve"> Sur Senior Citizens Pavia Chapter, barangay officials, and the university through presentations and reports so the results could be used to improve health services for old adults.</w:t>
      </w:r>
    </w:p>
    <w:p w14:paraId="6CD91B2D" w14:textId="77777777" w:rsidR="004204FF" w:rsidRDefault="004E35BA" w:rsidP="003A775B">
      <w:pPr>
        <w:spacing w:line="240"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Conflict of Interest. </w:t>
      </w:r>
      <w:r>
        <w:rPr>
          <w:rFonts w:ascii="Times New Roman" w:eastAsia="Times New Roman" w:hAnsi="Times New Roman" w:cs="Times New Roman"/>
          <w:sz w:val="24"/>
          <w:szCs w:val="24"/>
        </w:rPr>
        <w:t>The researchers declared no conflict of interest.</w:t>
      </w:r>
    </w:p>
    <w:p w14:paraId="5FF47246"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Dissemination Plan. </w:t>
      </w:r>
      <w:r>
        <w:rPr>
          <w:rFonts w:ascii="Times New Roman" w:eastAsia="Times New Roman" w:hAnsi="Times New Roman" w:cs="Times New Roman"/>
          <w:sz w:val="24"/>
          <w:szCs w:val="24"/>
        </w:rPr>
        <w:t>The researchers utilized the study to: Inform the results to the respondents, share the results with the institution, plan to present this study to any relevant and appropriate conferences, and disseminate for a possible opportunity of publication.</w:t>
      </w:r>
    </w:p>
    <w:p w14:paraId="3FD0DB0B" w14:textId="77777777" w:rsidR="004204FF" w:rsidRDefault="004204FF" w:rsidP="003A775B">
      <w:pPr>
        <w:spacing w:line="240" w:lineRule="auto"/>
        <w:ind w:firstLine="720"/>
        <w:rPr>
          <w:rFonts w:ascii="Times New Roman" w:eastAsia="Times New Roman" w:hAnsi="Times New Roman" w:cs="Times New Roman"/>
          <w:sz w:val="24"/>
          <w:szCs w:val="24"/>
        </w:rPr>
      </w:pPr>
    </w:p>
    <w:p w14:paraId="4A701940"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 Disclosure</w:t>
      </w:r>
    </w:p>
    <w:p w14:paraId="49858770"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The researchers utilized </w:t>
      </w:r>
      <w:proofErr w:type="spellStart"/>
      <w:r>
        <w:rPr>
          <w:rFonts w:ascii="Times New Roman" w:eastAsia="Times New Roman" w:hAnsi="Times New Roman" w:cs="Times New Roman"/>
          <w:sz w:val="24"/>
          <w:szCs w:val="24"/>
        </w:rPr>
        <w:t>Dola</w:t>
      </w:r>
      <w:proofErr w:type="spellEnd"/>
      <w:r>
        <w:rPr>
          <w:rFonts w:ascii="Times New Roman" w:eastAsia="Times New Roman" w:hAnsi="Times New Roman" w:cs="Times New Roman"/>
          <w:sz w:val="24"/>
          <w:szCs w:val="24"/>
        </w:rPr>
        <w:t xml:space="preserve"> AI to enhance the structure and grammar of the sentences in the study. The same tool was also used to look for reviews of related literature by redirecting the link to Google Scholar. Moreover, Grammarly and </w:t>
      </w:r>
      <w:proofErr w:type="spellStart"/>
      <w:r>
        <w:rPr>
          <w:rFonts w:ascii="Times New Roman" w:eastAsia="Times New Roman" w:hAnsi="Times New Roman" w:cs="Times New Roman"/>
          <w:sz w:val="24"/>
          <w:szCs w:val="24"/>
        </w:rPr>
        <w:t>Scribbr</w:t>
      </w:r>
      <w:proofErr w:type="spellEnd"/>
      <w:r>
        <w:rPr>
          <w:rFonts w:ascii="Times New Roman" w:eastAsia="Times New Roman" w:hAnsi="Times New Roman" w:cs="Times New Roman"/>
          <w:sz w:val="24"/>
          <w:szCs w:val="24"/>
        </w:rPr>
        <w:t xml:space="preserve"> were employed to improve the phrasing of the sentences and served as the source for links to be directed in the Research Gate. The author verified and ensured the accuracy of the data used in this study. The author had the full responsibility for the content of this paper.</w:t>
      </w:r>
    </w:p>
    <w:p w14:paraId="22A9AFB4" w14:textId="77777777" w:rsidR="004204FF" w:rsidRDefault="004204FF" w:rsidP="003A775B">
      <w:pPr>
        <w:spacing w:line="240" w:lineRule="auto"/>
        <w:rPr>
          <w:rFonts w:ascii="Times New Roman" w:eastAsia="Times New Roman" w:hAnsi="Times New Roman" w:cs="Times New Roman"/>
          <w:sz w:val="24"/>
          <w:szCs w:val="24"/>
        </w:rPr>
      </w:pPr>
    </w:p>
    <w:p w14:paraId="62C641F6" w14:textId="77777777" w:rsidR="004204FF" w:rsidRDefault="004204FF" w:rsidP="003A775B">
      <w:pPr>
        <w:spacing w:line="240" w:lineRule="auto"/>
        <w:rPr>
          <w:rFonts w:ascii="Times New Roman" w:eastAsia="Times New Roman" w:hAnsi="Times New Roman" w:cs="Times New Roman"/>
          <w:sz w:val="24"/>
          <w:szCs w:val="24"/>
        </w:rPr>
      </w:pPr>
    </w:p>
    <w:p w14:paraId="6ADD75B2" w14:textId="77777777" w:rsidR="004204FF" w:rsidRDefault="004204FF" w:rsidP="003A775B">
      <w:pPr>
        <w:spacing w:line="240" w:lineRule="auto"/>
        <w:rPr>
          <w:rFonts w:ascii="Times New Roman" w:eastAsia="Times New Roman" w:hAnsi="Times New Roman" w:cs="Times New Roman"/>
          <w:sz w:val="24"/>
          <w:szCs w:val="24"/>
        </w:rPr>
      </w:pPr>
    </w:p>
    <w:p w14:paraId="4CF92D1E" w14:textId="77777777" w:rsidR="004204FF" w:rsidRDefault="004204FF" w:rsidP="003A775B">
      <w:pPr>
        <w:spacing w:line="240" w:lineRule="auto"/>
        <w:rPr>
          <w:rFonts w:ascii="Times New Roman" w:eastAsia="Times New Roman" w:hAnsi="Times New Roman" w:cs="Times New Roman"/>
          <w:sz w:val="24"/>
          <w:szCs w:val="24"/>
        </w:rPr>
      </w:pPr>
    </w:p>
    <w:p w14:paraId="0E44B0B1" w14:textId="77777777" w:rsidR="004204FF" w:rsidRDefault="004204FF" w:rsidP="003A775B">
      <w:pPr>
        <w:spacing w:line="240" w:lineRule="auto"/>
        <w:rPr>
          <w:rFonts w:ascii="Times New Roman" w:eastAsia="Times New Roman" w:hAnsi="Times New Roman" w:cs="Times New Roman"/>
          <w:sz w:val="24"/>
          <w:szCs w:val="24"/>
        </w:rPr>
      </w:pPr>
    </w:p>
    <w:p w14:paraId="7C3B3324" w14:textId="77777777" w:rsidR="004204FF" w:rsidRDefault="004204FF" w:rsidP="003A775B">
      <w:pPr>
        <w:spacing w:line="240" w:lineRule="auto"/>
        <w:rPr>
          <w:rFonts w:ascii="Times New Roman" w:eastAsia="Times New Roman" w:hAnsi="Times New Roman" w:cs="Times New Roman"/>
          <w:sz w:val="24"/>
          <w:szCs w:val="24"/>
        </w:rPr>
      </w:pPr>
    </w:p>
    <w:p w14:paraId="0625D8CE" w14:textId="77777777" w:rsidR="004204FF" w:rsidRDefault="004204FF" w:rsidP="003A775B">
      <w:pPr>
        <w:spacing w:line="240" w:lineRule="auto"/>
        <w:rPr>
          <w:rFonts w:ascii="Times New Roman" w:eastAsia="Times New Roman" w:hAnsi="Times New Roman" w:cs="Times New Roman"/>
          <w:sz w:val="24"/>
          <w:szCs w:val="24"/>
        </w:rPr>
      </w:pPr>
    </w:p>
    <w:p w14:paraId="74FAF986" w14:textId="77777777" w:rsidR="004204FF" w:rsidRDefault="004204FF" w:rsidP="003A775B">
      <w:pPr>
        <w:spacing w:line="240" w:lineRule="auto"/>
        <w:rPr>
          <w:rFonts w:ascii="Times New Roman" w:eastAsia="Times New Roman" w:hAnsi="Times New Roman" w:cs="Times New Roman"/>
          <w:sz w:val="24"/>
          <w:szCs w:val="24"/>
        </w:rPr>
      </w:pPr>
    </w:p>
    <w:p w14:paraId="5B438DB4" w14:textId="77777777" w:rsidR="004204FF" w:rsidRDefault="004204FF" w:rsidP="003A775B">
      <w:pPr>
        <w:spacing w:line="240" w:lineRule="auto"/>
        <w:rPr>
          <w:rFonts w:ascii="Times New Roman" w:eastAsia="Times New Roman" w:hAnsi="Times New Roman" w:cs="Times New Roman"/>
          <w:sz w:val="24"/>
          <w:szCs w:val="24"/>
        </w:rPr>
      </w:pPr>
    </w:p>
    <w:p w14:paraId="49A00E54" w14:textId="77777777" w:rsidR="004204FF" w:rsidRDefault="004204FF" w:rsidP="003A775B">
      <w:pPr>
        <w:spacing w:line="240" w:lineRule="auto"/>
        <w:rPr>
          <w:rFonts w:ascii="Times New Roman" w:eastAsia="Times New Roman" w:hAnsi="Times New Roman" w:cs="Times New Roman"/>
          <w:sz w:val="24"/>
          <w:szCs w:val="24"/>
        </w:rPr>
      </w:pPr>
    </w:p>
    <w:p w14:paraId="3B502E55" w14:textId="77777777" w:rsidR="004204FF" w:rsidRDefault="004204FF" w:rsidP="003A775B">
      <w:pPr>
        <w:spacing w:line="240" w:lineRule="auto"/>
        <w:jc w:val="center"/>
        <w:rPr>
          <w:rFonts w:ascii="Times New Roman" w:eastAsia="Times New Roman" w:hAnsi="Times New Roman" w:cs="Times New Roman"/>
          <w:sz w:val="24"/>
          <w:szCs w:val="24"/>
        </w:rPr>
      </w:pPr>
    </w:p>
    <w:p w14:paraId="55B05FDE" w14:textId="77777777" w:rsidR="004204FF" w:rsidRDefault="004E35BA" w:rsidP="003A775B">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Results and Discussion</w:t>
      </w:r>
    </w:p>
    <w:p w14:paraId="6A5AB2CB" w14:textId="77777777" w:rsidR="004204FF" w:rsidRDefault="004204FF" w:rsidP="003A775B">
      <w:pPr>
        <w:spacing w:line="240" w:lineRule="auto"/>
        <w:jc w:val="center"/>
        <w:rPr>
          <w:rFonts w:ascii="Times New Roman" w:eastAsia="Times New Roman" w:hAnsi="Times New Roman" w:cs="Times New Roman"/>
          <w:b/>
          <w:bCs/>
          <w:sz w:val="24"/>
          <w:szCs w:val="24"/>
        </w:rPr>
      </w:pPr>
    </w:p>
    <w:p w14:paraId="348A0C35" w14:textId="77777777" w:rsidR="004204FF" w:rsidRDefault="004E35BA" w:rsidP="003A775B">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Descriptive Analysis </w:t>
      </w:r>
    </w:p>
    <w:p w14:paraId="2F032DC3"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Profile of the Respondents</w:t>
      </w:r>
    </w:p>
    <w:p w14:paraId="27FF69E2" w14:textId="77777777" w:rsidR="004204FF" w:rsidRDefault="004E35BA" w:rsidP="003A775B">
      <w:pPr>
        <w:spacing w:line="24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Table 1 presents the demographic profile of the respondents. A total of 186 participants were included in the study. The </w:t>
      </w:r>
      <w:proofErr w:type="gramStart"/>
      <w:r>
        <w:rPr>
          <w:rFonts w:ascii="Times New Roman" w:eastAsia="Times New Roman" w:hAnsi="Times New Roman" w:cs="Times New Roman"/>
          <w:sz w:val="24"/>
          <w:szCs w:val="24"/>
        </w:rPr>
        <w:t>60-64 year</w:t>
      </w:r>
      <w:proofErr w:type="gramEnd"/>
      <w:r>
        <w:rPr>
          <w:rFonts w:ascii="Times New Roman" w:eastAsia="Times New Roman" w:hAnsi="Times New Roman" w:cs="Times New Roman"/>
          <w:sz w:val="24"/>
          <w:szCs w:val="24"/>
        </w:rPr>
        <w:t xml:space="preserve"> age group represented the largest proportion of participants (29.6%), whereas individuals aged 75 years and above constituted the smallest group </w:t>
      </w:r>
      <w:r>
        <w:rPr>
          <w:rFonts w:ascii="Times New Roman" w:eastAsia="Times New Roman" w:hAnsi="Times New Roman" w:cs="Times New Roman"/>
          <w:i/>
          <w:iCs/>
          <w:sz w:val="24"/>
          <w:szCs w:val="24"/>
        </w:rPr>
        <w:t>(15.1%).</w:t>
      </w:r>
    </w:p>
    <w:p w14:paraId="0C8DC6FD"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notable proportion of participants in the 60 to </w:t>
      </w:r>
      <w:proofErr w:type="gramStart"/>
      <w:r>
        <w:rPr>
          <w:rFonts w:ascii="Times New Roman" w:eastAsia="Times New Roman" w:hAnsi="Times New Roman" w:cs="Times New Roman"/>
          <w:sz w:val="24"/>
          <w:szCs w:val="24"/>
        </w:rPr>
        <w:t>64 year</w:t>
      </w:r>
      <w:proofErr w:type="gramEnd"/>
      <w:r>
        <w:rPr>
          <w:rFonts w:ascii="Times New Roman" w:eastAsia="Times New Roman" w:hAnsi="Times New Roman" w:cs="Times New Roman"/>
          <w:sz w:val="24"/>
          <w:szCs w:val="24"/>
        </w:rPr>
        <w:t xml:space="preserve"> age group </w:t>
      </w:r>
      <w:r>
        <w:rPr>
          <w:rFonts w:ascii="Times New Roman" w:eastAsia="Times New Roman" w:hAnsi="Times New Roman" w:cs="Times New Roman"/>
          <w:i/>
          <w:iCs/>
          <w:sz w:val="24"/>
          <w:szCs w:val="24"/>
        </w:rPr>
        <w:t>(29.6%)</w:t>
      </w:r>
      <w:r>
        <w:rPr>
          <w:rFonts w:ascii="Times New Roman" w:eastAsia="Times New Roman" w:hAnsi="Times New Roman" w:cs="Times New Roman"/>
          <w:sz w:val="24"/>
          <w:szCs w:val="24"/>
        </w:rPr>
        <w:t xml:space="preserve"> represents a 'young-old' demographic, which is frequently associated with increased mobility and engagement in community-based research. The substantial percentage of married individuals </w:t>
      </w:r>
      <w:r>
        <w:rPr>
          <w:rFonts w:ascii="Times New Roman" w:eastAsia="Times New Roman" w:hAnsi="Times New Roman" w:cs="Times New Roman"/>
          <w:i/>
          <w:iCs/>
          <w:sz w:val="24"/>
          <w:szCs w:val="24"/>
        </w:rPr>
        <w:t>(45.2%)</w:t>
      </w:r>
      <w:r>
        <w:rPr>
          <w:rFonts w:ascii="Times New Roman" w:eastAsia="Times New Roman" w:hAnsi="Times New Roman" w:cs="Times New Roman"/>
          <w:sz w:val="24"/>
          <w:szCs w:val="24"/>
        </w:rPr>
        <w:t xml:space="preserve"> indicates that many old adults have immediate support systems, potentially influencing self-medication practices through advice or encouragement from spouses (Waqar et al. 2023). Furthermore, the high prevalence of respondents without current employment </w:t>
      </w:r>
      <w:r>
        <w:rPr>
          <w:rFonts w:ascii="Times New Roman" w:eastAsia="Times New Roman" w:hAnsi="Times New Roman" w:cs="Times New Roman"/>
          <w:i/>
          <w:iCs/>
          <w:sz w:val="24"/>
          <w:szCs w:val="24"/>
        </w:rPr>
        <w:t>(57.0%)</w:t>
      </w:r>
      <w:r>
        <w:rPr>
          <w:rFonts w:ascii="Times New Roman" w:eastAsia="Times New Roman" w:hAnsi="Times New Roman" w:cs="Times New Roman"/>
          <w:sz w:val="24"/>
          <w:szCs w:val="24"/>
        </w:rPr>
        <w:t xml:space="preserve"> may reflect reliance on pensions or family support, which can prompt older adults to prefer self-medication over more expensive hospital consultations due to financial limitations.</w:t>
      </w:r>
    </w:p>
    <w:p w14:paraId="3617A11E" w14:textId="77777777" w:rsidR="004204FF" w:rsidRDefault="004204FF" w:rsidP="003A775B">
      <w:pPr>
        <w:spacing w:line="240" w:lineRule="auto"/>
        <w:ind w:firstLine="720"/>
        <w:rPr>
          <w:rFonts w:ascii="Times New Roman" w:eastAsia="Times New Roman" w:hAnsi="Times New Roman" w:cs="Times New Roman"/>
          <w:sz w:val="24"/>
          <w:szCs w:val="24"/>
        </w:rPr>
      </w:pPr>
    </w:p>
    <w:p w14:paraId="438CC122" w14:textId="77777777" w:rsidR="004204FF" w:rsidRDefault="004204FF" w:rsidP="003A775B">
      <w:pPr>
        <w:spacing w:line="240" w:lineRule="auto"/>
        <w:rPr>
          <w:rFonts w:ascii="Times New Roman" w:eastAsia="Times New Roman" w:hAnsi="Times New Roman" w:cs="Times New Roman"/>
          <w:sz w:val="24"/>
          <w:szCs w:val="24"/>
        </w:rPr>
      </w:pPr>
    </w:p>
    <w:p w14:paraId="09DA08E6" w14:textId="77777777" w:rsidR="004204FF" w:rsidRDefault="004204FF" w:rsidP="003A775B">
      <w:pPr>
        <w:spacing w:line="240" w:lineRule="auto"/>
        <w:rPr>
          <w:rFonts w:ascii="Times New Roman" w:eastAsia="Times New Roman" w:hAnsi="Times New Roman" w:cs="Times New Roman"/>
          <w:sz w:val="24"/>
          <w:szCs w:val="24"/>
        </w:rPr>
      </w:pPr>
    </w:p>
    <w:p w14:paraId="0C942757" w14:textId="77777777" w:rsidR="004204FF" w:rsidRDefault="004E35BA" w:rsidP="003A775B">
      <w:pPr>
        <w:spacing w:line="240" w:lineRule="auto"/>
        <w:rPr>
          <w:rFonts w:ascii="Times New Roman" w:eastAsia="Times New Roman" w:hAnsi="Times New Roman" w:cs="Times New Roman"/>
        </w:rPr>
      </w:pPr>
      <w:r>
        <w:rPr>
          <w:rFonts w:ascii="Times New Roman" w:eastAsia="Times New Roman" w:hAnsi="Times New Roman" w:cs="Times New Roman"/>
          <w:b/>
          <w:bCs/>
          <w:sz w:val="24"/>
          <w:szCs w:val="24"/>
        </w:rPr>
        <w:t>Table 1</w:t>
      </w:r>
      <w:r>
        <w:rPr>
          <w:rFonts w:ascii="Times New Roman" w:eastAsia="Times New Roman" w:hAnsi="Times New Roman" w:cs="Times New Roman"/>
          <w:b/>
          <w:bCs/>
          <w:sz w:val="24"/>
          <w:szCs w:val="24"/>
        </w:rPr>
        <w:br/>
      </w:r>
      <w:r>
        <w:rPr>
          <w:rFonts w:ascii="Times New Roman" w:eastAsia="Times New Roman" w:hAnsi="Times New Roman" w:cs="Times New Roman"/>
          <w:i/>
          <w:iCs/>
        </w:rPr>
        <w:t>Profile of the Respondents (n = 186)</w:t>
      </w:r>
    </w:p>
    <w:tbl>
      <w:tblPr>
        <w:tblStyle w:val="a3"/>
        <w:tblW w:w="8550" w:type="dxa"/>
        <w:tblInd w:w="90" w:type="dxa"/>
        <w:tblLayout w:type="fixed"/>
        <w:tblLook w:val="0400" w:firstRow="0" w:lastRow="0" w:firstColumn="0" w:lastColumn="0" w:noHBand="0" w:noVBand="1"/>
      </w:tblPr>
      <w:tblGrid>
        <w:gridCol w:w="6060"/>
        <w:gridCol w:w="1350"/>
        <w:gridCol w:w="1140"/>
      </w:tblGrid>
      <w:tr w:rsidR="004204FF" w14:paraId="22240D3B" w14:textId="77777777">
        <w:trPr>
          <w:cantSplit/>
          <w:tblHeader/>
        </w:trPr>
        <w:tc>
          <w:tcPr>
            <w:tcW w:w="6060"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2AB5E888" w14:textId="77777777" w:rsidR="004204FF" w:rsidRDefault="004E35BA" w:rsidP="003A775B">
            <w:pPr>
              <w:tabs>
                <w:tab w:val="left" w:pos="4185"/>
              </w:tabs>
              <w:spacing w:line="240" w:lineRule="auto"/>
              <w:rPr>
                <w:rFonts w:ascii="Times New Roman" w:eastAsia="Times New Roman" w:hAnsi="Times New Roman" w:cs="Times New Roman"/>
              </w:rPr>
            </w:pPr>
            <w:r>
              <w:rPr>
                <w:rFonts w:ascii="Times New Roman" w:eastAsia="Times New Roman" w:hAnsi="Times New Roman" w:cs="Times New Roman"/>
              </w:rPr>
              <w:t>Classification</w:t>
            </w:r>
          </w:p>
        </w:tc>
        <w:tc>
          <w:tcPr>
            <w:tcW w:w="1350"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1FA67E87" w14:textId="77777777" w:rsidR="004204FF" w:rsidRDefault="004E35BA" w:rsidP="003A775B">
            <w:pPr>
              <w:tabs>
                <w:tab w:val="left" w:pos="4185"/>
              </w:tabs>
              <w:spacing w:line="240" w:lineRule="auto"/>
              <w:jc w:val="center"/>
              <w:rPr>
                <w:rFonts w:ascii="Times New Roman" w:eastAsia="Times New Roman" w:hAnsi="Times New Roman" w:cs="Times New Roman"/>
                <w:i/>
                <w:iCs/>
              </w:rPr>
            </w:pPr>
            <w:r>
              <w:rPr>
                <w:rFonts w:ascii="Times New Roman" w:eastAsia="Times New Roman" w:hAnsi="Times New Roman" w:cs="Times New Roman"/>
                <w:i/>
                <w:iCs/>
              </w:rPr>
              <w:t>n</w:t>
            </w:r>
          </w:p>
        </w:tc>
        <w:tc>
          <w:tcPr>
            <w:tcW w:w="1140"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5150C1B5"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4204FF" w14:paraId="2758BFAB" w14:textId="77777777">
        <w:trPr>
          <w:cantSplit/>
          <w:tblHeader/>
        </w:trPr>
        <w:tc>
          <w:tcPr>
            <w:tcW w:w="6060" w:type="dxa"/>
            <w:tcBorders>
              <w:left w:val="nil"/>
              <w:bottom w:val="nil"/>
              <w:right w:val="nil"/>
            </w:tcBorders>
            <w:shd w:val="clear" w:color="auto" w:fill="FFFFFF"/>
            <w:tcMar>
              <w:top w:w="30" w:type="dxa"/>
              <w:left w:w="30" w:type="dxa"/>
              <w:bottom w:w="30" w:type="dxa"/>
              <w:right w:w="30" w:type="dxa"/>
            </w:tcMar>
          </w:tcPr>
          <w:p w14:paraId="5C1C470E" w14:textId="77777777" w:rsidR="004204FF" w:rsidRDefault="004E35BA" w:rsidP="003A775B">
            <w:pPr>
              <w:tabs>
                <w:tab w:val="left" w:pos="4185"/>
              </w:tabs>
              <w:spacing w:line="240" w:lineRule="auto"/>
              <w:rPr>
                <w:rFonts w:ascii="Times New Roman" w:eastAsia="Times New Roman" w:hAnsi="Times New Roman" w:cs="Times New Roman"/>
              </w:rPr>
            </w:pPr>
            <w:r>
              <w:rPr>
                <w:rFonts w:ascii="Times New Roman" w:eastAsia="Times New Roman" w:hAnsi="Times New Roman" w:cs="Times New Roman"/>
              </w:rPr>
              <w:t>Age</w:t>
            </w:r>
          </w:p>
        </w:tc>
        <w:tc>
          <w:tcPr>
            <w:tcW w:w="1350" w:type="dxa"/>
            <w:tcBorders>
              <w:left w:val="nil"/>
              <w:bottom w:val="nil"/>
              <w:right w:val="nil"/>
            </w:tcBorders>
            <w:shd w:val="clear" w:color="auto" w:fill="FFFFFF"/>
            <w:tcMar>
              <w:top w:w="30" w:type="dxa"/>
              <w:left w:w="30" w:type="dxa"/>
              <w:bottom w:w="30" w:type="dxa"/>
              <w:right w:w="30" w:type="dxa"/>
            </w:tcMar>
          </w:tcPr>
          <w:p w14:paraId="43DECDE3" w14:textId="77777777" w:rsidR="004204FF" w:rsidRDefault="004204FF" w:rsidP="003A775B">
            <w:pPr>
              <w:tabs>
                <w:tab w:val="left" w:pos="4185"/>
              </w:tabs>
              <w:spacing w:line="240" w:lineRule="auto"/>
              <w:jc w:val="center"/>
              <w:rPr>
                <w:rFonts w:ascii="Times New Roman" w:eastAsia="Times New Roman" w:hAnsi="Times New Roman" w:cs="Times New Roman"/>
              </w:rPr>
            </w:pPr>
          </w:p>
        </w:tc>
        <w:tc>
          <w:tcPr>
            <w:tcW w:w="1140" w:type="dxa"/>
            <w:tcBorders>
              <w:left w:val="nil"/>
              <w:bottom w:val="nil"/>
              <w:right w:val="nil"/>
            </w:tcBorders>
            <w:shd w:val="clear" w:color="auto" w:fill="FFFFFF"/>
            <w:tcMar>
              <w:top w:w="30" w:type="dxa"/>
              <w:left w:w="30" w:type="dxa"/>
              <w:bottom w:w="30" w:type="dxa"/>
              <w:right w:w="30" w:type="dxa"/>
            </w:tcMar>
          </w:tcPr>
          <w:p w14:paraId="558D4339" w14:textId="77777777" w:rsidR="004204FF" w:rsidRDefault="004204FF" w:rsidP="003A775B">
            <w:pPr>
              <w:tabs>
                <w:tab w:val="left" w:pos="4185"/>
              </w:tabs>
              <w:spacing w:line="240" w:lineRule="auto"/>
              <w:jc w:val="center"/>
              <w:rPr>
                <w:rFonts w:ascii="Times New Roman" w:eastAsia="Times New Roman" w:hAnsi="Times New Roman" w:cs="Times New Roman"/>
              </w:rPr>
            </w:pPr>
          </w:p>
        </w:tc>
      </w:tr>
      <w:tr w:rsidR="004204FF" w14:paraId="3749054A" w14:textId="77777777">
        <w:trPr>
          <w:cantSplit/>
          <w:tblHeader/>
        </w:trPr>
        <w:tc>
          <w:tcPr>
            <w:tcW w:w="6060" w:type="dxa"/>
            <w:tcBorders>
              <w:left w:val="nil"/>
              <w:bottom w:val="nil"/>
              <w:right w:val="nil"/>
            </w:tcBorders>
            <w:shd w:val="clear" w:color="auto" w:fill="FFFFFF"/>
            <w:tcMar>
              <w:top w:w="30" w:type="dxa"/>
              <w:left w:w="30" w:type="dxa"/>
              <w:bottom w:w="30" w:type="dxa"/>
              <w:right w:w="30" w:type="dxa"/>
            </w:tcMar>
          </w:tcPr>
          <w:p w14:paraId="12BDD46C" w14:textId="77777777" w:rsidR="004204FF" w:rsidRDefault="004E35BA" w:rsidP="003A775B">
            <w:pPr>
              <w:tabs>
                <w:tab w:val="left" w:pos="4185"/>
              </w:tabs>
              <w:spacing w:line="240" w:lineRule="auto"/>
              <w:ind w:left="309"/>
              <w:rPr>
                <w:rFonts w:ascii="Times New Roman" w:eastAsia="Times New Roman" w:hAnsi="Times New Roman" w:cs="Times New Roman"/>
              </w:rPr>
            </w:pPr>
            <w:r>
              <w:rPr>
                <w:rFonts w:ascii="Times New Roman" w:eastAsia="Times New Roman" w:hAnsi="Times New Roman" w:cs="Times New Roman"/>
              </w:rPr>
              <w:t>60-64</w:t>
            </w:r>
          </w:p>
        </w:tc>
        <w:tc>
          <w:tcPr>
            <w:tcW w:w="1350" w:type="dxa"/>
            <w:tcBorders>
              <w:left w:val="nil"/>
              <w:bottom w:val="nil"/>
              <w:right w:val="nil"/>
            </w:tcBorders>
            <w:shd w:val="clear" w:color="auto" w:fill="FFFFFF"/>
            <w:tcMar>
              <w:top w:w="30" w:type="dxa"/>
              <w:left w:w="30" w:type="dxa"/>
              <w:bottom w:w="30" w:type="dxa"/>
              <w:right w:w="30" w:type="dxa"/>
            </w:tcMar>
          </w:tcPr>
          <w:p w14:paraId="178AE9C9"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55</w:t>
            </w:r>
          </w:p>
        </w:tc>
        <w:tc>
          <w:tcPr>
            <w:tcW w:w="1140" w:type="dxa"/>
            <w:tcBorders>
              <w:left w:val="nil"/>
              <w:bottom w:val="nil"/>
              <w:right w:val="nil"/>
            </w:tcBorders>
            <w:shd w:val="clear" w:color="auto" w:fill="FFFFFF"/>
            <w:tcMar>
              <w:top w:w="30" w:type="dxa"/>
              <w:left w:w="30" w:type="dxa"/>
              <w:bottom w:w="30" w:type="dxa"/>
              <w:right w:w="30" w:type="dxa"/>
            </w:tcMar>
          </w:tcPr>
          <w:p w14:paraId="4737807D"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29.6</w:t>
            </w:r>
          </w:p>
        </w:tc>
      </w:tr>
      <w:tr w:rsidR="004204FF" w14:paraId="6EB83659" w14:textId="77777777">
        <w:trPr>
          <w:cantSplit/>
          <w:tblHeader/>
        </w:trPr>
        <w:tc>
          <w:tcPr>
            <w:tcW w:w="6060" w:type="dxa"/>
            <w:tcBorders>
              <w:left w:val="nil"/>
              <w:bottom w:val="nil"/>
              <w:right w:val="nil"/>
            </w:tcBorders>
            <w:shd w:val="clear" w:color="auto" w:fill="FFFFFF"/>
            <w:tcMar>
              <w:top w:w="30" w:type="dxa"/>
              <w:left w:w="30" w:type="dxa"/>
              <w:bottom w:w="30" w:type="dxa"/>
              <w:right w:w="30" w:type="dxa"/>
            </w:tcMar>
          </w:tcPr>
          <w:p w14:paraId="075CC579" w14:textId="77777777" w:rsidR="004204FF" w:rsidRDefault="004E35BA" w:rsidP="003A775B">
            <w:pPr>
              <w:tabs>
                <w:tab w:val="left" w:pos="4185"/>
              </w:tabs>
              <w:spacing w:line="240" w:lineRule="auto"/>
              <w:ind w:left="309"/>
              <w:rPr>
                <w:rFonts w:ascii="Times New Roman" w:eastAsia="Times New Roman" w:hAnsi="Times New Roman" w:cs="Times New Roman"/>
              </w:rPr>
            </w:pPr>
            <w:r>
              <w:rPr>
                <w:rFonts w:ascii="Times New Roman" w:eastAsia="Times New Roman" w:hAnsi="Times New Roman" w:cs="Times New Roman"/>
              </w:rPr>
              <w:t>65-69</w:t>
            </w:r>
          </w:p>
        </w:tc>
        <w:tc>
          <w:tcPr>
            <w:tcW w:w="1350" w:type="dxa"/>
            <w:tcBorders>
              <w:left w:val="nil"/>
              <w:bottom w:val="nil"/>
              <w:right w:val="nil"/>
            </w:tcBorders>
            <w:shd w:val="clear" w:color="auto" w:fill="FFFFFF"/>
            <w:tcMar>
              <w:top w:w="30" w:type="dxa"/>
              <w:left w:w="30" w:type="dxa"/>
              <w:bottom w:w="30" w:type="dxa"/>
              <w:right w:w="30" w:type="dxa"/>
            </w:tcMar>
          </w:tcPr>
          <w:p w14:paraId="0D10616A"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52</w:t>
            </w:r>
          </w:p>
        </w:tc>
        <w:tc>
          <w:tcPr>
            <w:tcW w:w="1140" w:type="dxa"/>
            <w:tcBorders>
              <w:left w:val="nil"/>
              <w:bottom w:val="nil"/>
              <w:right w:val="nil"/>
            </w:tcBorders>
            <w:shd w:val="clear" w:color="auto" w:fill="FFFFFF"/>
            <w:tcMar>
              <w:top w:w="30" w:type="dxa"/>
              <w:left w:w="30" w:type="dxa"/>
              <w:bottom w:w="30" w:type="dxa"/>
              <w:right w:w="30" w:type="dxa"/>
            </w:tcMar>
          </w:tcPr>
          <w:p w14:paraId="4875EAA9"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28.0</w:t>
            </w:r>
          </w:p>
        </w:tc>
      </w:tr>
      <w:tr w:rsidR="004204FF" w14:paraId="292A58A1" w14:textId="77777777">
        <w:trPr>
          <w:cantSplit/>
          <w:tblHeader/>
        </w:trPr>
        <w:tc>
          <w:tcPr>
            <w:tcW w:w="6060" w:type="dxa"/>
            <w:tcBorders>
              <w:left w:val="nil"/>
              <w:bottom w:val="nil"/>
              <w:right w:val="nil"/>
            </w:tcBorders>
            <w:shd w:val="clear" w:color="auto" w:fill="FFFFFF"/>
            <w:tcMar>
              <w:top w:w="30" w:type="dxa"/>
              <w:left w:w="30" w:type="dxa"/>
              <w:bottom w:w="30" w:type="dxa"/>
              <w:right w:w="30" w:type="dxa"/>
            </w:tcMar>
          </w:tcPr>
          <w:p w14:paraId="2C09F62F" w14:textId="77777777" w:rsidR="004204FF" w:rsidRDefault="004E35BA" w:rsidP="003A775B">
            <w:pPr>
              <w:tabs>
                <w:tab w:val="left" w:pos="4185"/>
              </w:tabs>
              <w:spacing w:line="240" w:lineRule="auto"/>
              <w:ind w:left="309"/>
              <w:rPr>
                <w:rFonts w:ascii="Times New Roman" w:eastAsia="Times New Roman" w:hAnsi="Times New Roman" w:cs="Times New Roman"/>
              </w:rPr>
            </w:pPr>
            <w:r>
              <w:rPr>
                <w:rFonts w:ascii="Times New Roman" w:eastAsia="Times New Roman" w:hAnsi="Times New Roman" w:cs="Times New Roman"/>
              </w:rPr>
              <w:t>70-74</w:t>
            </w:r>
          </w:p>
        </w:tc>
        <w:tc>
          <w:tcPr>
            <w:tcW w:w="1350" w:type="dxa"/>
            <w:tcBorders>
              <w:left w:val="nil"/>
              <w:bottom w:val="nil"/>
              <w:right w:val="nil"/>
            </w:tcBorders>
            <w:shd w:val="clear" w:color="auto" w:fill="FFFFFF"/>
            <w:tcMar>
              <w:top w:w="30" w:type="dxa"/>
              <w:left w:w="30" w:type="dxa"/>
              <w:bottom w:w="30" w:type="dxa"/>
              <w:right w:w="30" w:type="dxa"/>
            </w:tcMar>
          </w:tcPr>
          <w:p w14:paraId="15363AAD"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51</w:t>
            </w:r>
          </w:p>
        </w:tc>
        <w:tc>
          <w:tcPr>
            <w:tcW w:w="1140" w:type="dxa"/>
            <w:tcBorders>
              <w:left w:val="nil"/>
              <w:bottom w:val="nil"/>
              <w:right w:val="nil"/>
            </w:tcBorders>
            <w:shd w:val="clear" w:color="auto" w:fill="FFFFFF"/>
            <w:tcMar>
              <w:top w:w="30" w:type="dxa"/>
              <w:left w:w="30" w:type="dxa"/>
              <w:bottom w:w="30" w:type="dxa"/>
              <w:right w:w="30" w:type="dxa"/>
            </w:tcMar>
          </w:tcPr>
          <w:p w14:paraId="5C75AAE7"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27.4</w:t>
            </w:r>
          </w:p>
        </w:tc>
      </w:tr>
      <w:tr w:rsidR="004204FF" w14:paraId="2D25201C" w14:textId="77777777">
        <w:trPr>
          <w:cantSplit/>
          <w:tblHeader/>
        </w:trPr>
        <w:tc>
          <w:tcPr>
            <w:tcW w:w="6060" w:type="dxa"/>
            <w:tcBorders>
              <w:bottom w:val="single" w:sz="4" w:space="0" w:color="000000"/>
            </w:tcBorders>
            <w:shd w:val="clear" w:color="auto" w:fill="FFFFFF"/>
            <w:tcMar>
              <w:top w:w="30" w:type="dxa"/>
              <w:left w:w="30" w:type="dxa"/>
              <w:bottom w:w="30" w:type="dxa"/>
              <w:right w:w="30" w:type="dxa"/>
            </w:tcMar>
          </w:tcPr>
          <w:p w14:paraId="5896E3DD" w14:textId="77777777" w:rsidR="004204FF" w:rsidRDefault="004E35BA" w:rsidP="003A775B">
            <w:pPr>
              <w:tabs>
                <w:tab w:val="left" w:pos="4185"/>
              </w:tabs>
              <w:spacing w:line="240" w:lineRule="auto"/>
              <w:ind w:left="309"/>
              <w:rPr>
                <w:rFonts w:ascii="Times New Roman" w:eastAsia="Times New Roman" w:hAnsi="Times New Roman" w:cs="Times New Roman"/>
              </w:rPr>
            </w:pPr>
            <w:r>
              <w:rPr>
                <w:rFonts w:ascii="Times New Roman" w:eastAsia="Times New Roman" w:hAnsi="Times New Roman" w:cs="Times New Roman"/>
              </w:rPr>
              <w:t>75 and above</w:t>
            </w:r>
          </w:p>
        </w:tc>
        <w:tc>
          <w:tcPr>
            <w:tcW w:w="1350" w:type="dxa"/>
            <w:tcBorders>
              <w:bottom w:val="single" w:sz="4" w:space="0" w:color="000000"/>
            </w:tcBorders>
            <w:shd w:val="clear" w:color="auto" w:fill="FFFFFF"/>
            <w:tcMar>
              <w:top w:w="30" w:type="dxa"/>
              <w:left w:w="30" w:type="dxa"/>
              <w:bottom w:w="30" w:type="dxa"/>
              <w:right w:w="30" w:type="dxa"/>
            </w:tcMar>
          </w:tcPr>
          <w:p w14:paraId="2FB08B26"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28</w:t>
            </w:r>
          </w:p>
        </w:tc>
        <w:tc>
          <w:tcPr>
            <w:tcW w:w="1140" w:type="dxa"/>
            <w:tcBorders>
              <w:bottom w:val="single" w:sz="4" w:space="0" w:color="000000"/>
            </w:tcBorders>
            <w:shd w:val="clear" w:color="auto" w:fill="FFFFFF"/>
            <w:tcMar>
              <w:top w:w="30" w:type="dxa"/>
              <w:left w:w="30" w:type="dxa"/>
              <w:bottom w:w="30" w:type="dxa"/>
              <w:right w:w="30" w:type="dxa"/>
            </w:tcMar>
          </w:tcPr>
          <w:p w14:paraId="22D6FFEE"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15.1</w:t>
            </w:r>
          </w:p>
        </w:tc>
      </w:tr>
      <w:tr w:rsidR="004204FF" w14:paraId="3A489C23" w14:textId="77777777">
        <w:trPr>
          <w:cantSplit/>
          <w:tblHeader/>
        </w:trPr>
        <w:tc>
          <w:tcPr>
            <w:tcW w:w="6060" w:type="dxa"/>
            <w:tcBorders>
              <w:left w:val="nil"/>
              <w:bottom w:val="nil"/>
              <w:right w:val="nil"/>
            </w:tcBorders>
            <w:shd w:val="clear" w:color="auto" w:fill="FFFFFF"/>
            <w:tcMar>
              <w:top w:w="30" w:type="dxa"/>
              <w:left w:w="30" w:type="dxa"/>
              <w:bottom w:w="30" w:type="dxa"/>
              <w:right w:w="30" w:type="dxa"/>
            </w:tcMar>
          </w:tcPr>
          <w:p w14:paraId="044D9310" w14:textId="77777777" w:rsidR="004204FF" w:rsidRDefault="004E35BA" w:rsidP="003A775B">
            <w:pPr>
              <w:tabs>
                <w:tab w:val="left" w:pos="4185"/>
              </w:tabs>
              <w:spacing w:line="240" w:lineRule="auto"/>
              <w:rPr>
                <w:rFonts w:ascii="Times New Roman" w:eastAsia="Times New Roman" w:hAnsi="Times New Roman" w:cs="Times New Roman"/>
              </w:rPr>
            </w:pPr>
            <w:r>
              <w:rPr>
                <w:rFonts w:ascii="Times New Roman" w:eastAsia="Times New Roman" w:hAnsi="Times New Roman" w:cs="Times New Roman"/>
              </w:rPr>
              <w:t>Sex</w:t>
            </w:r>
          </w:p>
        </w:tc>
        <w:tc>
          <w:tcPr>
            <w:tcW w:w="1350" w:type="dxa"/>
            <w:tcBorders>
              <w:left w:val="nil"/>
              <w:bottom w:val="nil"/>
              <w:right w:val="nil"/>
            </w:tcBorders>
            <w:shd w:val="clear" w:color="auto" w:fill="FFFFFF"/>
            <w:tcMar>
              <w:top w:w="30" w:type="dxa"/>
              <w:left w:w="30" w:type="dxa"/>
              <w:bottom w:w="30" w:type="dxa"/>
              <w:right w:w="30" w:type="dxa"/>
            </w:tcMar>
          </w:tcPr>
          <w:p w14:paraId="2F0F8BD4" w14:textId="77777777" w:rsidR="004204FF" w:rsidRDefault="004204FF" w:rsidP="003A775B">
            <w:pPr>
              <w:tabs>
                <w:tab w:val="left" w:pos="4185"/>
              </w:tabs>
              <w:spacing w:line="240" w:lineRule="auto"/>
              <w:jc w:val="center"/>
              <w:rPr>
                <w:rFonts w:ascii="Times New Roman" w:eastAsia="Times New Roman" w:hAnsi="Times New Roman" w:cs="Times New Roman"/>
              </w:rPr>
            </w:pPr>
          </w:p>
        </w:tc>
        <w:tc>
          <w:tcPr>
            <w:tcW w:w="1140" w:type="dxa"/>
            <w:tcBorders>
              <w:left w:val="nil"/>
              <w:bottom w:val="nil"/>
              <w:right w:val="nil"/>
            </w:tcBorders>
            <w:shd w:val="clear" w:color="auto" w:fill="FFFFFF"/>
            <w:tcMar>
              <w:top w:w="30" w:type="dxa"/>
              <w:left w:w="30" w:type="dxa"/>
              <w:bottom w:w="30" w:type="dxa"/>
              <w:right w:w="30" w:type="dxa"/>
            </w:tcMar>
          </w:tcPr>
          <w:p w14:paraId="027414A4" w14:textId="77777777" w:rsidR="004204FF" w:rsidRDefault="004204FF" w:rsidP="003A775B">
            <w:pPr>
              <w:tabs>
                <w:tab w:val="left" w:pos="4185"/>
              </w:tabs>
              <w:spacing w:line="240" w:lineRule="auto"/>
              <w:jc w:val="center"/>
              <w:rPr>
                <w:rFonts w:ascii="Times New Roman" w:eastAsia="Times New Roman" w:hAnsi="Times New Roman" w:cs="Times New Roman"/>
              </w:rPr>
            </w:pPr>
          </w:p>
        </w:tc>
      </w:tr>
      <w:tr w:rsidR="004204FF" w14:paraId="43F143B1" w14:textId="77777777">
        <w:trPr>
          <w:cantSplit/>
          <w:tblHeader/>
        </w:trPr>
        <w:tc>
          <w:tcPr>
            <w:tcW w:w="6060" w:type="dxa"/>
            <w:tcBorders>
              <w:left w:val="nil"/>
              <w:bottom w:val="nil"/>
              <w:right w:val="nil"/>
            </w:tcBorders>
            <w:shd w:val="clear" w:color="auto" w:fill="FFFFFF"/>
            <w:tcMar>
              <w:top w:w="30" w:type="dxa"/>
              <w:left w:w="30" w:type="dxa"/>
              <w:bottom w:w="30" w:type="dxa"/>
              <w:right w:w="30" w:type="dxa"/>
            </w:tcMar>
          </w:tcPr>
          <w:p w14:paraId="0E9ACC47" w14:textId="77777777" w:rsidR="004204FF" w:rsidRDefault="004E35BA" w:rsidP="003A775B">
            <w:pPr>
              <w:tabs>
                <w:tab w:val="left" w:pos="4185"/>
              </w:tabs>
              <w:spacing w:line="240" w:lineRule="auto"/>
              <w:ind w:left="420" w:hanging="90"/>
              <w:rPr>
                <w:rFonts w:ascii="Times New Roman" w:eastAsia="Times New Roman" w:hAnsi="Times New Roman" w:cs="Times New Roman"/>
              </w:rPr>
            </w:pPr>
            <w:r>
              <w:rPr>
                <w:rFonts w:ascii="Times New Roman" w:eastAsia="Times New Roman" w:hAnsi="Times New Roman" w:cs="Times New Roman"/>
              </w:rPr>
              <w:t>Male</w:t>
            </w:r>
          </w:p>
        </w:tc>
        <w:tc>
          <w:tcPr>
            <w:tcW w:w="1350" w:type="dxa"/>
            <w:tcBorders>
              <w:left w:val="nil"/>
              <w:bottom w:val="nil"/>
              <w:right w:val="nil"/>
            </w:tcBorders>
            <w:shd w:val="clear" w:color="auto" w:fill="FFFFFF"/>
            <w:tcMar>
              <w:top w:w="30" w:type="dxa"/>
              <w:left w:w="30" w:type="dxa"/>
              <w:bottom w:w="30" w:type="dxa"/>
              <w:right w:w="30" w:type="dxa"/>
            </w:tcMar>
          </w:tcPr>
          <w:p w14:paraId="639B76F0"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70</w:t>
            </w:r>
          </w:p>
        </w:tc>
        <w:tc>
          <w:tcPr>
            <w:tcW w:w="1140" w:type="dxa"/>
            <w:tcBorders>
              <w:left w:val="nil"/>
              <w:bottom w:val="nil"/>
              <w:right w:val="nil"/>
            </w:tcBorders>
            <w:shd w:val="clear" w:color="auto" w:fill="FFFFFF"/>
            <w:tcMar>
              <w:top w:w="30" w:type="dxa"/>
              <w:left w:w="30" w:type="dxa"/>
              <w:bottom w:w="30" w:type="dxa"/>
              <w:right w:w="30" w:type="dxa"/>
            </w:tcMar>
          </w:tcPr>
          <w:p w14:paraId="5E2EC966"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37.6</w:t>
            </w:r>
          </w:p>
        </w:tc>
      </w:tr>
      <w:tr w:rsidR="004204FF" w14:paraId="217B218E" w14:textId="77777777">
        <w:trPr>
          <w:cantSplit/>
          <w:tblHeader/>
        </w:trPr>
        <w:tc>
          <w:tcPr>
            <w:tcW w:w="6060" w:type="dxa"/>
            <w:tcBorders>
              <w:bottom w:val="single" w:sz="4" w:space="0" w:color="000000"/>
            </w:tcBorders>
            <w:shd w:val="clear" w:color="auto" w:fill="FFFFFF"/>
            <w:tcMar>
              <w:top w:w="30" w:type="dxa"/>
              <w:left w:w="30" w:type="dxa"/>
              <w:bottom w:w="30" w:type="dxa"/>
              <w:right w:w="30" w:type="dxa"/>
            </w:tcMar>
          </w:tcPr>
          <w:p w14:paraId="19BEBDE3" w14:textId="77777777" w:rsidR="004204FF" w:rsidRDefault="004E35BA" w:rsidP="003A775B">
            <w:pPr>
              <w:tabs>
                <w:tab w:val="left" w:pos="4185"/>
              </w:tabs>
              <w:spacing w:line="240" w:lineRule="auto"/>
              <w:rPr>
                <w:rFonts w:ascii="Times New Roman" w:eastAsia="Times New Roman" w:hAnsi="Times New Roman" w:cs="Times New Roman"/>
              </w:rPr>
            </w:pPr>
            <w:r>
              <w:rPr>
                <w:rFonts w:ascii="Times New Roman" w:eastAsia="Times New Roman" w:hAnsi="Times New Roman" w:cs="Times New Roman"/>
              </w:rPr>
              <w:t xml:space="preserve">      Female</w:t>
            </w:r>
          </w:p>
        </w:tc>
        <w:tc>
          <w:tcPr>
            <w:tcW w:w="1350" w:type="dxa"/>
            <w:tcBorders>
              <w:bottom w:val="single" w:sz="4" w:space="0" w:color="000000"/>
            </w:tcBorders>
            <w:shd w:val="clear" w:color="auto" w:fill="FFFFFF"/>
            <w:tcMar>
              <w:top w:w="30" w:type="dxa"/>
              <w:left w:w="30" w:type="dxa"/>
              <w:bottom w:w="30" w:type="dxa"/>
              <w:right w:w="30" w:type="dxa"/>
            </w:tcMar>
          </w:tcPr>
          <w:p w14:paraId="4587661C"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116</w:t>
            </w:r>
          </w:p>
        </w:tc>
        <w:tc>
          <w:tcPr>
            <w:tcW w:w="1140" w:type="dxa"/>
            <w:tcBorders>
              <w:bottom w:val="single" w:sz="4" w:space="0" w:color="000000"/>
            </w:tcBorders>
            <w:shd w:val="clear" w:color="auto" w:fill="FFFFFF"/>
            <w:tcMar>
              <w:top w:w="30" w:type="dxa"/>
              <w:left w:w="30" w:type="dxa"/>
              <w:bottom w:w="30" w:type="dxa"/>
              <w:right w:w="30" w:type="dxa"/>
            </w:tcMar>
          </w:tcPr>
          <w:p w14:paraId="7665264C"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62.4</w:t>
            </w:r>
          </w:p>
        </w:tc>
      </w:tr>
      <w:tr w:rsidR="004204FF" w14:paraId="1134BAD9" w14:textId="77777777">
        <w:trPr>
          <w:cantSplit/>
        </w:trPr>
        <w:tc>
          <w:tcPr>
            <w:tcW w:w="6060" w:type="dxa"/>
            <w:shd w:val="clear" w:color="auto" w:fill="FFFFFF"/>
            <w:tcMar>
              <w:top w:w="30" w:type="dxa"/>
              <w:left w:w="30" w:type="dxa"/>
              <w:bottom w:w="30" w:type="dxa"/>
              <w:right w:w="30" w:type="dxa"/>
            </w:tcMar>
          </w:tcPr>
          <w:p w14:paraId="0BC30674" w14:textId="77777777" w:rsidR="004204FF" w:rsidRDefault="004E35BA" w:rsidP="003A775B">
            <w:pPr>
              <w:tabs>
                <w:tab w:val="left" w:pos="4185"/>
              </w:tabs>
              <w:spacing w:line="240" w:lineRule="auto"/>
              <w:rPr>
                <w:rFonts w:ascii="Times New Roman" w:eastAsia="Times New Roman" w:hAnsi="Times New Roman" w:cs="Times New Roman"/>
              </w:rPr>
            </w:pPr>
            <w:r>
              <w:rPr>
                <w:rFonts w:ascii="Times New Roman" w:eastAsia="Times New Roman" w:hAnsi="Times New Roman" w:cs="Times New Roman"/>
              </w:rPr>
              <w:t>Civil Status</w:t>
            </w:r>
          </w:p>
        </w:tc>
        <w:tc>
          <w:tcPr>
            <w:tcW w:w="1350" w:type="dxa"/>
            <w:shd w:val="clear" w:color="auto" w:fill="FFFFFF"/>
            <w:tcMar>
              <w:top w:w="30" w:type="dxa"/>
              <w:left w:w="30" w:type="dxa"/>
              <w:bottom w:w="30" w:type="dxa"/>
              <w:right w:w="30" w:type="dxa"/>
            </w:tcMar>
          </w:tcPr>
          <w:p w14:paraId="53DB36A7" w14:textId="77777777" w:rsidR="004204FF" w:rsidRDefault="004204FF" w:rsidP="003A775B">
            <w:pPr>
              <w:tabs>
                <w:tab w:val="left" w:pos="4185"/>
              </w:tabs>
              <w:spacing w:line="240" w:lineRule="auto"/>
              <w:jc w:val="center"/>
              <w:rPr>
                <w:rFonts w:ascii="Times New Roman" w:eastAsia="Times New Roman" w:hAnsi="Times New Roman" w:cs="Times New Roman"/>
              </w:rPr>
            </w:pPr>
          </w:p>
        </w:tc>
        <w:tc>
          <w:tcPr>
            <w:tcW w:w="1140" w:type="dxa"/>
            <w:shd w:val="clear" w:color="auto" w:fill="FFFFFF"/>
            <w:tcMar>
              <w:top w:w="30" w:type="dxa"/>
              <w:left w:w="30" w:type="dxa"/>
              <w:bottom w:w="30" w:type="dxa"/>
              <w:right w:w="30" w:type="dxa"/>
            </w:tcMar>
          </w:tcPr>
          <w:p w14:paraId="1BCC8C72" w14:textId="77777777" w:rsidR="004204FF" w:rsidRDefault="004204FF" w:rsidP="003A775B">
            <w:pPr>
              <w:tabs>
                <w:tab w:val="left" w:pos="4185"/>
              </w:tabs>
              <w:spacing w:line="240" w:lineRule="auto"/>
              <w:jc w:val="center"/>
              <w:rPr>
                <w:rFonts w:ascii="Times New Roman" w:eastAsia="Times New Roman" w:hAnsi="Times New Roman" w:cs="Times New Roman"/>
              </w:rPr>
            </w:pPr>
          </w:p>
        </w:tc>
      </w:tr>
      <w:tr w:rsidR="004204FF" w14:paraId="5F3D27F4" w14:textId="77777777">
        <w:trPr>
          <w:cantSplit/>
        </w:trPr>
        <w:tc>
          <w:tcPr>
            <w:tcW w:w="6060" w:type="dxa"/>
            <w:shd w:val="clear" w:color="auto" w:fill="FFFFFF"/>
            <w:tcMar>
              <w:top w:w="30" w:type="dxa"/>
              <w:left w:w="30" w:type="dxa"/>
              <w:bottom w:w="30" w:type="dxa"/>
              <w:right w:w="30" w:type="dxa"/>
            </w:tcMar>
          </w:tcPr>
          <w:p w14:paraId="2EF0CA9C" w14:textId="77777777" w:rsidR="004204FF" w:rsidRDefault="004E35BA" w:rsidP="003A775B">
            <w:pPr>
              <w:tabs>
                <w:tab w:val="left" w:pos="4185"/>
              </w:tabs>
              <w:spacing w:line="240" w:lineRule="auto"/>
              <w:ind w:left="330"/>
              <w:rPr>
                <w:rFonts w:ascii="Times New Roman" w:eastAsia="Times New Roman" w:hAnsi="Times New Roman" w:cs="Times New Roman"/>
              </w:rPr>
            </w:pPr>
            <w:r>
              <w:rPr>
                <w:rFonts w:ascii="Times New Roman" w:eastAsia="Times New Roman" w:hAnsi="Times New Roman" w:cs="Times New Roman"/>
              </w:rPr>
              <w:t>Single</w:t>
            </w:r>
          </w:p>
        </w:tc>
        <w:tc>
          <w:tcPr>
            <w:tcW w:w="1350" w:type="dxa"/>
            <w:shd w:val="clear" w:color="auto" w:fill="FFFFFF"/>
            <w:tcMar>
              <w:top w:w="30" w:type="dxa"/>
              <w:left w:w="30" w:type="dxa"/>
              <w:bottom w:w="30" w:type="dxa"/>
              <w:right w:w="30" w:type="dxa"/>
            </w:tcMar>
          </w:tcPr>
          <w:p w14:paraId="669989DA"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41</w:t>
            </w:r>
          </w:p>
        </w:tc>
        <w:tc>
          <w:tcPr>
            <w:tcW w:w="1140" w:type="dxa"/>
            <w:shd w:val="clear" w:color="auto" w:fill="FFFFFF"/>
            <w:tcMar>
              <w:top w:w="30" w:type="dxa"/>
              <w:left w:w="30" w:type="dxa"/>
              <w:bottom w:w="30" w:type="dxa"/>
              <w:right w:w="30" w:type="dxa"/>
            </w:tcMar>
          </w:tcPr>
          <w:p w14:paraId="2B4A5F77"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22.0</w:t>
            </w:r>
          </w:p>
        </w:tc>
      </w:tr>
      <w:tr w:rsidR="004204FF" w14:paraId="7CDDDA93" w14:textId="77777777">
        <w:trPr>
          <w:cantSplit/>
        </w:trPr>
        <w:tc>
          <w:tcPr>
            <w:tcW w:w="6060" w:type="dxa"/>
            <w:shd w:val="clear" w:color="auto" w:fill="FFFFFF"/>
            <w:tcMar>
              <w:top w:w="30" w:type="dxa"/>
              <w:left w:w="30" w:type="dxa"/>
              <w:bottom w:w="30" w:type="dxa"/>
              <w:right w:w="30" w:type="dxa"/>
            </w:tcMar>
          </w:tcPr>
          <w:p w14:paraId="48329FAB" w14:textId="77777777" w:rsidR="004204FF" w:rsidRDefault="004E35BA" w:rsidP="003A775B">
            <w:pPr>
              <w:tabs>
                <w:tab w:val="left" w:pos="4185"/>
              </w:tabs>
              <w:spacing w:line="240" w:lineRule="auto"/>
              <w:ind w:left="330"/>
              <w:rPr>
                <w:rFonts w:ascii="Times New Roman" w:eastAsia="Times New Roman" w:hAnsi="Times New Roman" w:cs="Times New Roman"/>
              </w:rPr>
            </w:pPr>
            <w:r>
              <w:rPr>
                <w:rFonts w:ascii="Times New Roman" w:eastAsia="Times New Roman" w:hAnsi="Times New Roman" w:cs="Times New Roman"/>
              </w:rPr>
              <w:t>Married</w:t>
            </w:r>
          </w:p>
        </w:tc>
        <w:tc>
          <w:tcPr>
            <w:tcW w:w="1350" w:type="dxa"/>
            <w:shd w:val="clear" w:color="auto" w:fill="FFFFFF"/>
            <w:tcMar>
              <w:top w:w="30" w:type="dxa"/>
              <w:left w:w="30" w:type="dxa"/>
              <w:bottom w:w="30" w:type="dxa"/>
              <w:right w:w="30" w:type="dxa"/>
            </w:tcMar>
          </w:tcPr>
          <w:p w14:paraId="59244FC4"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84</w:t>
            </w:r>
          </w:p>
        </w:tc>
        <w:tc>
          <w:tcPr>
            <w:tcW w:w="1140" w:type="dxa"/>
            <w:shd w:val="clear" w:color="auto" w:fill="FFFFFF"/>
            <w:tcMar>
              <w:top w:w="30" w:type="dxa"/>
              <w:left w:w="30" w:type="dxa"/>
              <w:bottom w:w="30" w:type="dxa"/>
              <w:right w:w="30" w:type="dxa"/>
            </w:tcMar>
          </w:tcPr>
          <w:p w14:paraId="6114FA94"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45.2</w:t>
            </w:r>
          </w:p>
        </w:tc>
      </w:tr>
      <w:tr w:rsidR="004204FF" w14:paraId="2151ACEE" w14:textId="77777777">
        <w:trPr>
          <w:cantSplit/>
        </w:trPr>
        <w:tc>
          <w:tcPr>
            <w:tcW w:w="6060" w:type="dxa"/>
            <w:shd w:val="clear" w:color="auto" w:fill="FFFFFF"/>
            <w:tcMar>
              <w:top w:w="30" w:type="dxa"/>
              <w:left w:w="30" w:type="dxa"/>
              <w:bottom w:w="30" w:type="dxa"/>
              <w:right w:w="30" w:type="dxa"/>
            </w:tcMar>
          </w:tcPr>
          <w:p w14:paraId="66173F4C" w14:textId="77777777" w:rsidR="004204FF" w:rsidRDefault="004E35BA" w:rsidP="003A775B">
            <w:pPr>
              <w:tabs>
                <w:tab w:val="left" w:pos="4185"/>
              </w:tabs>
              <w:spacing w:line="240" w:lineRule="auto"/>
              <w:ind w:left="330"/>
              <w:rPr>
                <w:rFonts w:ascii="Times New Roman" w:eastAsia="Times New Roman" w:hAnsi="Times New Roman" w:cs="Times New Roman"/>
              </w:rPr>
            </w:pPr>
            <w:r>
              <w:rPr>
                <w:rFonts w:ascii="Times New Roman" w:eastAsia="Times New Roman" w:hAnsi="Times New Roman" w:cs="Times New Roman"/>
              </w:rPr>
              <w:t>Widowed</w:t>
            </w:r>
          </w:p>
        </w:tc>
        <w:tc>
          <w:tcPr>
            <w:tcW w:w="1350" w:type="dxa"/>
            <w:shd w:val="clear" w:color="auto" w:fill="FFFFFF"/>
            <w:tcMar>
              <w:top w:w="30" w:type="dxa"/>
              <w:left w:w="30" w:type="dxa"/>
              <w:bottom w:w="30" w:type="dxa"/>
              <w:right w:w="30" w:type="dxa"/>
            </w:tcMar>
          </w:tcPr>
          <w:p w14:paraId="24E4373B"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60</w:t>
            </w:r>
          </w:p>
        </w:tc>
        <w:tc>
          <w:tcPr>
            <w:tcW w:w="1140" w:type="dxa"/>
            <w:shd w:val="clear" w:color="auto" w:fill="FFFFFF"/>
            <w:tcMar>
              <w:top w:w="30" w:type="dxa"/>
              <w:left w:w="30" w:type="dxa"/>
              <w:bottom w:w="30" w:type="dxa"/>
              <w:right w:w="30" w:type="dxa"/>
            </w:tcMar>
          </w:tcPr>
          <w:p w14:paraId="62278622"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32.3</w:t>
            </w:r>
          </w:p>
        </w:tc>
      </w:tr>
      <w:tr w:rsidR="004204FF" w14:paraId="48DAD295" w14:textId="77777777">
        <w:trPr>
          <w:cantSplit/>
        </w:trPr>
        <w:tc>
          <w:tcPr>
            <w:tcW w:w="6060" w:type="dxa"/>
            <w:tcBorders>
              <w:bottom w:val="single" w:sz="4" w:space="0" w:color="000000"/>
            </w:tcBorders>
            <w:shd w:val="clear" w:color="auto" w:fill="FFFFFF"/>
            <w:tcMar>
              <w:top w:w="30" w:type="dxa"/>
              <w:left w:w="30" w:type="dxa"/>
              <w:bottom w:w="30" w:type="dxa"/>
              <w:right w:w="30" w:type="dxa"/>
            </w:tcMar>
          </w:tcPr>
          <w:p w14:paraId="5563F37C" w14:textId="77777777" w:rsidR="004204FF" w:rsidRDefault="004E35BA" w:rsidP="003A775B">
            <w:pPr>
              <w:tabs>
                <w:tab w:val="left" w:pos="4185"/>
              </w:tabs>
              <w:spacing w:line="240" w:lineRule="auto"/>
              <w:rPr>
                <w:rFonts w:ascii="Times New Roman" w:eastAsia="Times New Roman" w:hAnsi="Times New Roman" w:cs="Times New Roman"/>
              </w:rPr>
            </w:pPr>
            <w:r>
              <w:rPr>
                <w:rFonts w:ascii="Times New Roman" w:eastAsia="Times New Roman" w:hAnsi="Times New Roman" w:cs="Times New Roman"/>
              </w:rPr>
              <w:t xml:space="preserve">      Divorced/Separated</w:t>
            </w:r>
          </w:p>
        </w:tc>
        <w:tc>
          <w:tcPr>
            <w:tcW w:w="1350" w:type="dxa"/>
            <w:tcBorders>
              <w:bottom w:val="single" w:sz="4" w:space="0" w:color="000000"/>
            </w:tcBorders>
            <w:shd w:val="clear" w:color="auto" w:fill="FFFFFF"/>
            <w:tcMar>
              <w:top w:w="30" w:type="dxa"/>
              <w:left w:w="30" w:type="dxa"/>
              <w:bottom w:w="30" w:type="dxa"/>
              <w:right w:w="30" w:type="dxa"/>
            </w:tcMar>
          </w:tcPr>
          <w:p w14:paraId="7680D1C2"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140" w:type="dxa"/>
            <w:tcBorders>
              <w:bottom w:val="single" w:sz="4" w:space="0" w:color="000000"/>
            </w:tcBorders>
            <w:shd w:val="clear" w:color="auto" w:fill="FFFFFF"/>
            <w:tcMar>
              <w:top w:w="30" w:type="dxa"/>
              <w:left w:w="30" w:type="dxa"/>
              <w:bottom w:w="30" w:type="dxa"/>
              <w:right w:w="30" w:type="dxa"/>
            </w:tcMar>
          </w:tcPr>
          <w:p w14:paraId="46FBE707"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0.5</w:t>
            </w:r>
          </w:p>
        </w:tc>
      </w:tr>
      <w:tr w:rsidR="004204FF" w14:paraId="1C85239D" w14:textId="77777777">
        <w:trPr>
          <w:cantSplit/>
        </w:trPr>
        <w:tc>
          <w:tcPr>
            <w:tcW w:w="6060" w:type="dxa"/>
            <w:shd w:val="clear" w:color="auto" w:fill="FFFFFF"/>
            <w:tcMar>
              <w:top w:w="30" w:type="dxa"/>
              <w:left w:w="30" w:type="dxa"/>
              <w:bottom w:w="30" w:type="dxa"/>
              <w:right w:w="30" w:type="dxa"/>
            </w:tcMar>
          </w:tcPr>
          <w:p w14:paraId="0DCD6C35" w14:textId="77777777" w:rsidR="004204FF" w:rsidRDefault="004E35BA" w:rsidP="003A775B">
            <w:pPr>
              <w:tabs>
                <w:tab w:val="left" w:pos="4185"/>
              </w:tabs>
              <w:spacing w:line="240" w:lineRule="auto"/>
              <w:rPr>
                <w:rFonts w:ascii="Times New Roman" w:eastAsia="Times New Roman" w:hAnsi="Times New Roman" w:cs="Times New Roman"/>
              </w:rPr>
            </w:pPr>
            <w:r>
              <w:rPr>
                <w:rFonts w:ascii="Times New Roman" w:eastAsia="Times New Roman" w:hAnsi="Times New Roman" w:cs="Times New Roman"/>
              </w:rPr>
              <w:t>Education</w:t>
            </w:r>
          </w:p>
        </w:tc>
        <w:tc>
          <w:tcPr>
            <w:tcW w:w="1350" w:type="dxa"/>
            <w:shd w:val="clear" w:color="auto" w:fill="FFFFFF"/>
            <w:tcMar>
              <w:top w:w="30" w:type="dxa"/>
              <w:left w:w="30" w:type="dxa"/>
              <w:bottom w:w="30" w:type="dxa"/>
              <w:right w:w="30" w:type="dxa"/>
            </w:tcMar>
          </w:tcPr>
          <w:p w14:paraId="1CBCEB12" w14:textId="77777777" w:rsidR="004204FF" w:rsidRDefault="004204FF" w:rsidP="003A775B">
            <w:pPr>
              <w:tabs>
                <w:tab w:val="left" w:pos="4185"/>
              </w:tabs>
              <w:spacing w:line="240" w:lineRule="auto"/>
              <w:jc w:val="center"/>
              <w:rPr>
                <w:rFonts w:ascii="Times New Roman" w:eastAsia="Times New Roman" w:hAnsi="Times New Roman" w:cs="Times New Roman"/>
              </w:rPr>
            </w:pPr>
          </w:p>
        </w:tc>
        <w:tc>
          <w:tcPr>
            <w:tcW w:w="1140" w:type="dxa"/>
            <w:shd w:val="clear" w:color="auto" w:fill="FFFFFF"/>
            <w:tcMar>
              <w:top w:w="30" w:type="dxa"/>
              <w:left w:w="30" w:type="dxa"/>
              <w:bottom w:w="30" w:type="dxa"/>
              <w:right w:w="30" w:type="dxa"/>
            </w:tcMar>
          </w:tcPr>
          <w:p w14:paraId="1692E5C3" w14:textId="77777777" w:rsidR="004204FF" w:rsidRDefault="004204FF" w:rsidP="003A775B">
            <w:pPr>
              <w:tabs>
                <w:tab w:val="left" w:pos="4185"/>
              </w:tabs>
              <w:spacing w:line="240" w:lineRule="auto"/>
              <w:jc w:val="center"/>
              <w:rPr>
                <w:rFonts w:ascii="Times New Roman" w:eastAsia="Times New Roman" w:hAnsi="Times New Roman" w:cs="Times New Roman"/>
              </w:rPr>
            </w:pPr>
          </w:p>
        </w:tc>
      </w:tr>
      <w:tr w:rsidR="004204FF" w14:paraId="0F337FD3" w14:textId="77777777">
        <w:trPr>
          <w:cantSplit/>
        </w:trPr>
        <w:tc>
          <w:tcPr>
            <w:tcW w:w="6060" w:type="dxa"/>
            <w:shd w:val="clear" w:color="auto" w:fill="FFFFFF"/>
            <w:tcMar>
              <w:top w:w="30" w:type="dxa"/>
              <w:left w:w="30" w:type="dxa"/>
              <w:bottom w:w="30" w:type="dxa"/>
              <w:right w:w="30" w:type="dxa"/>
            </w:tcMar>
          </w:tcPr>
          <w:p w14:paraId="3AB3F33C" w14:textId="77777777" w:rsidR="004204FF" w:rsidRDefault="004E35BA" w:rsidP="003A775B">
            <w:pPr>
              <w:tabs>
                <w:tab w:val="left" w:pos="4185"/>
              </w:tabs>
              <w:spacing w:line="240" w:lineRule="auto"/>
              <w:ind w:left="330"/>
              <w:rPr>
                <w:rFonts w:ascii="Times New Roman" w:eastAsia="Times New Roman" w:hAnsi="Times New Roman" w:cs="Times New Roman"/>
              </w:rPr>
            </w:pPr>
            <w:r>
              <w:rPr>
                <w:rFonts w:ascii="Times New Roman" w:eastAsia="Times New Roman" w:hAnsi="Times New Roman" w:cs="Times New Roman"/>
              </w:rPr>
              <w:t>No formal education</w:t>
            </w:r>
          </w:p>
        </w:tc>
        <w:tc>
          <w:tcPr>
            <w:tcW w:w="1350" w:type="dxa"/>
            <w:shd w:val="clear" w:color="auto" w:fill="FFFFFF"/>
            <w:tcMar>
              <w:top w:w="30" w:type="dxa"/>
              <w:left w:w="30" w:type="dxa"/>
              <w:bottom w:w="30" w:type="dxa"/>
              <w:right w:w="30" w:type="dxa"/>
            </w:tcMar>
          </w:tcPr>
          <w:p w14:paraId="24871D4A"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140" w:type="dxa"/>
            <w:shd w:val="clear" w:color="auto" w:fill="FFFFFF"/>
            <w:tcMar>
              <w:top w:w="30" w:type="dxa"/>
              <w:left w:w="30" w:type="dxa"/>
              <w:bottom w:w="30" w:type="dxa"/>
              <w:right w:w="30" w:type="dxa"/>
            </w:tcMar>
          </w:tcPr>
          <w:p w14:paraId="6E7B6736"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1.1</w:t>
            </w:r>
          </w:p>
        </w:tc>
      </w:tr>
      <w:tr w:rsidR="004204FF" w14:paraId="306F4396" w14:textId="77777777">
        <w:trPr>
          <w:cantSplit/>
        </w:trPr>
        <w:tc>
          <w:tcPr>
            <w:tcW w:w="6060" w:type="dxa"/>
            <w:shd w:val="clear" w:color="auto" w:fill="FFFFFF"/>
            <w:tcMar>
              <w:top w:w="30" w:type="dxa"/>
              <w:left w:w="30" w:type="dxa"/>
              <w:bottom w:w="30" w:type="dxa"/>
              <w:right w:w="30" w:type="dxa"/>
            </w:tcMar>
          </w:tcPr>
          <w:p w14:paraId="45BB8935" w14:textId="77777777" w:rsidR="004204FF" w:rsidRDefault="004E35BA" w:rsidP="003A775B">
            <w:pPr>
              <w:tabs>
                <w:tab w:val="left" w:pos="4185"/>
              </w:tabs>
              <w:spacing w:line="240" w:lineRule="auto"/>
              <w:ind w:left="330"/>
              <w:rPr>
                <w:rFonts w:ascii="Times New Roman" w:eastAsia="Times New Roman" w:hAnsi="Times New Roman" w:cs="Times New Roman"/>
              </w:rPr>
            </w:pPr>
            <w:r>
              <w:rPr>
                <w:rFonts w:ascii="Times New Roman" w:eastAsia="Times New Roman" w:hAnsi="Times New Roman" w:cs="Times New Roman"/>
              </w:rPr>
              <w:t>Elementary graduate</w:t>
            </w:r>
          </w:p>
        </w:tc>
        <w:tc>
          <w:tcPr>
            <w:tcW w:w="1350" w:type="dxa"/>
            <w:shd w:val="clear" w:color="auto" w:fill="FFFFFF"/>
            <w:tcMar>
              <w:top w:w="30" w:type="dxa"/>
              <w:left w:w="30" w:type="dxa"/>
              <w:bottom w:w="30" w:type="dxa"/>
              <w:right w:w="30" w:type="dxa"/>
            </w:tcMar>
          </w:tcPr>
          <w:p w14:paraId="468BA200"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57</w:t>
            </w:r>
          </w:p>
        </w:tc>
        <w:tc>
          <w:tcPr>
            <w:tcW w:w="1140" w:type="dxa"/>
            <w:shd w:val="clear" w:color="auto" w:fill="FFFFFF"/>
            <w:tcMar>
              <w:top w:w="30" w:type="dxa"/>
              <w:left w:w="30" w:type="dxa"/>
              <w:bottom w:w="30" w:type="dxa"/>
              <w:right w:w="30" w:type="dxa"/>
            </w:tcMar>
          </w:tcPr>
          <w:p w14:paraId="75D2BB7B"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30.6</w:t>
            </w:r>
          </w:p>
        </w:tc>
      </w:tr>
      <w:tr w:rsidR="004204FF" w14:paraId="595EFF81" w14:textId="77777777">
        <w:trPr>
          <w:cantSplit/>
        </w:trPr>
        <w:tc>
          <w:tcPr>
            <w:tcW w:w="6060" w:type="dxa"/>
            <w:shd w:val="clear" w:color="auto" w:fill="FFFFFF"/>
            <w:tcMar>
              <w:top w:w="30" w:type="dxa"/>
              <w:left w:w="30" w:type="dxa"/>
              <w:bottom w:w="30" w:type="dxa"/>
              <w:right w:w="30" w:type="dxa"/>
            </w:tcMar>
          </w:tcPr>
          <w:p w14:paraId="3780AC88" w14:textId="77777777" w:rsidR="004204FF" w:rsidRDefault="004E35BA" w:rsidP="003A775B">
            <w:pPr>
              <w:tabs>
                <w:tab w:val="left" w:pos="4185"/>
              </w:tabs>
              <w:spacing w:line="240" w:lineRule="auto"/>
              <w:ind w:left="330"/>
              <w:rPr>
                <w:rFonts w:ascii="Times New Roman" w:eastAsia="Times New Roman" w:hAnsi="Times New Roman" w:cs="Times New Roman"/>
              </w:rPr>
            </w:pPr>
            <w:r>
              <w:rPr>
                <w:rFonts w:ascii="Times New Roman" w:eastAsia="Times New Roman" w:hAnsi="Times New Roman" w:cs="Times New Roman"/>
              </w:rPr>
              <w:t>High school graduate</w:t>
            </w:r>
          </w:p>
        </w:tc>
        <w:tc>
          <w:tcPr>
            <w:tcW w:w="1350" w:type="dxa"/>
            <w:shd w:val="clear" w:color="auto" w:fill="FFFFFF"/>
            <w:tcMar>
              <w:top w:w="30" w:type="dxa"/>
              <w:left w:w="30" w:type="dxa"/>
              <w:bottom w:w="30" w:type="dxa"/>
              <w:right w:w="30" w:type="dxa"/>
            </w:tcMar>
          </w:tcPr>
          <w:p w14:paraId="5E67AB7B"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87</w:t>
            </w:r>
          </w:p>
        </w:tc>
        <w:tc>
          <w:tcPr>
            <w:tcW w:w="1140" w:type="dxa"/>
            <w:shd w:val="clear" w:color="auto" w:fill="FFFFFF"/>
            <w:tcMar>
              <w:top w:w="30" w:type="dxa"/>
              <w:left w:w="30" w:type="dxa"/>
              <w:bottom w:w="30" w:type="dxa"/>
              <w:right w:w="30" w:type="dxa"/>
            </w:tcMar>
          </w:tcPr>
          <w:p w14:paraId="4A2A71DD"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46.8</w:t>
            </w:r>
          </w:p>
        </w:tc>
      </w:tr>
      <w:tr w:rsidR="004204FF" w14:paraId="14D84527" w14:textId="77777777">
        <w:trPr>
          <w:cantSplit/>
        </w:trPr>
        <w:tc>
          <w:tcPr>
            <w:tcW w:w="6060" w:type="dxa"/>
            <w:tcBorders>
              <w:bottom w:val="single" w:sz="4" w:space="0" w:color="000000"/>
            </w:tcBorders>
            <w:shd w:val="clear" w:color="auto" w:fill="FFFFFF"/>
            <w:tcMar>
              <w:top w:w="30" w:type="dxa"/>
              <w:left w:w="30" w:type="dxa"/>
              <w:bottom w:w="30" w:type="dxa"/>
              <w:right w:w="30" w:type="dxa"/>
            </w:tcMar>
          </w:tcPr>
          <w:p w14:paraId="2C7CD7FF" w14:textId="77777777" w:rsidR="004204FF" w:rsidRDefault="004E35BA" w:rsidP="003A775B">
            <w:pPr>
              <w:tabs>
                <w:tab w:val="left" w:pos="4185"/>
              </w:tabs>
              <w:spacing w:line="240" w:lineRule="auto"/>
              <w:rPr>
                <w:rFonts w:ascii="Times New Roman" w:eastAsia="Times New Roman" w:hAnsi="Times New Roman" w:cs="Times New Roman"/>
              </w:rPr>
            </w:pPr>
            <w:r>
              <w:rPr>
                <w:rFonts w:ascii="Times New Roman" w:eastAsia="Times New Roman" w:hAnsi="Times New Roman" w:cs="Times New Roman"/>
              </w:rPr>
              <w:t xml:space="preserve">      College graduate</w:t>
            </w:r>
          </w:p>
        </w:tc>
        <w:tc>
          <w:tcPr>
            <w:tcW w:w="1350" w:type="dxa"/>
            <w:tcBorders>
              <w:bottom w:val="single" w:sz="4" w:space="0" w:color="000000"/>
            </w:tcBorders>
            <w:shd w:val="clear" w:color="auto" w:fill="FFFFFF"/>
            <w:tcMar>
              <w:top w:w="30" w:type="dxa"/>
              <w:left w:w="30" w:type="dxa"/>
              <w:bottom w:w="30" w:type="dxa"/>
              <w:right w:w="30" w:type="dxa"/>
            </w:tcMar>
          </w:tcPr>
          <w:p w14:paraId="4C772D33"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1140" w:type="dxa"/>
            <w:tcBorders>
              <w:bottom w:val="single" w:sz="4" w:space="0" w:color="000000"/>
            </w:tcBorders>
            <w:shd w:val="clear" w:color="auto" w:fill="FFFFFF"/>
            <w:tcMar>
              <w:top w:w="30" w:type="dxa"/>
              <w:left w:w="30" w:type="dxa"/>
              <w:bottom w:w="30" w:type="dxa"/>
              <w:right w:w="30" w:type="dxa"/>
            </w:tcMar>
          </w:tcPr>
          <w:p w14:paraId="130DD605"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21.5</w:t>
            </w:r>
          </w:p>
        </w:tc>
      </w:tr>
      <w:tr w:rsidR="004204FF" w14:paraId="5408AAB6" w14:textId="77777777">
        <w:trPr>
          <w:cantSplit/>
        </w:trPr>
        <w:tc>
          <w:tcPr>
            <w:tcW w:w="6060" w:type="dxa"/>
            <w:shd w:val="clear" w:color="auto" w:fill="FFFFFF"/>
            <w:tcMar>
              <w:top w:w="30" w:type="dxa"/>
              <w:left w:w="30" w:type="dxa"/>
              <w:bottom w:w="30" w:type="dxa"/>
              <w:right w:w="30" w:type="dxa"/>
            </w:tcMar>
          </w:tcPr>
          <w:p w14:paraId="47E199A5" w14:textId="77777777" w:rsidR="004204FF" w:rsidRDefault="004E35BA" w:rsidP="003A775B">
            <w:pPr>
              <w:tabs>
                <w:tab w:val="left" w:pos="4185"/>
              </w:tabs>
              <w:spacing w:line="240" w:lineRule="auto"/>
              <w:rPr>
                <w:rFonts w:ascii="Times New Roman" w:eastAsia="Times New Roman" w:hAnsi="Times New Roman" w:cs="Times New Roman"/>
              </w:rPr>
            </w:pPr>
            <w:r>
              <w:rPr>
                <w:rFonts w:ascii="Times New Roman" w:eastAsia="Times New Roman" w:hAnsi="Times New Roman" w:cs="Times New Roman"/>
              </w:rPr>
              <w:t>Occupation</w:t>
            </w:r>
          </w:p>
        </w:tc>
        <w:tc>
          <w:tcPr>
            <w:tcW w:w="1350" w:type="dxa"/>
            <w:shd w:val="clear" w:color="auto" w:fill="FFFFFF"/>
            <w:tcMar>
              <w:top w:w="30" w:type="dxa"/>
              <w:left w:w="30" w:type="dxa"/>
              <w:bottom w:w="30" w:type="dxa"/>
              <w:right w:w="30" w:type="dxa"/>
            </w:tcMar>
          </w:tcPr>
          <w:p w14:paraId="34D03CCA" w14:textId="77777777" w:rsidR="004204FF" w:rsidRDefault="004204FF" w:rsidP="003A775B">
            <w:pPr>
              <w:tabs>
                <w:tab w:val="left" w:pos="4185"/>
              </w:tabs>
              <w:spacing w:line="240" w:lineRule="auto"/>
              <w:jc w:val="center"/>
              <w:rPr>
                <w:rFonts w:ascii="Times New Roman" w:eastAsia="Times New Roman" w:hAnsi="Times New Roman" w:cs="Times New Roman"/>
              </w:rPr>
            </w:pPr>
          </w:p>
        </w:tc>
        <w:tc>
          <w:tcPr>
            <w:tcW w:w="1140" w:type="dxa"/>
            <w:shd w:val="clear" w:color="auto" w:fill="FFFFFF"/>
            <w:tcMar>
              <w:top w:w="30" w:type="dxa"/>
              <w:left w:w="30" w:type="dxa"/>
              <w:bottom w:w="30" w:type="dxa"/>
              <w:right w:w="30" w:type="dxa"/>
            </w:tcMar>
          </w:tcPr>
          <w:p w14:paraId="33B8CFCD" w14:textId="77777777" w:rsidR="004204FF" w:rsidRDefault="004204FF" w:rsidP="003A775B">
            <w:pPr>
              <w:tabs>
                <w:tab w:val="left" w:pos="4185"/>
              </w:tabs>
              <w:spacing w:line="240" w:lineRule="auto"/>
              <w:jc w:val="center"/>
              <w:rPr>
                <w:rFonts w:ascii="Times New Roman" w:eastAsia="Times New Roman" w:hAnsi="Times New Roman" w:cs="Times New Roman"/>
              </w:rPr>
            </w:pPr>
          </w:p>
        </w:tc>
      </w:tr>
      <w:tr w:rsidR="004204FF" w14:paraId="63DBACC2" w14:textId="77777777">
        <w:trPr>
          <w:cantSplit/>
        </w:trPr>
        <w:tc>
          <w:tcPr>
            <w:tcW w:w="6060" w:type="dxa"/>
            <w:shd w:val="clear" w:color="auto" w:fill="FFFFFF"/>
            <w:tcMar>
              <w:top w:w="30" w:type="dxa"/>
              <w:left w:w="30" w:type="dxa"/>
              <w:bottom w:w="30" w:type="dxa"/>
              <w:right w:w="30" w:type="dxa"/>
            </w:tcMar>
          </w:tcPr>
          <w:p w14:paraId="6B89EDA5" w14:textId="77777777" w:rsidR="004204FF" w:rsidRDefault="004E35BA" w:rsidP="003A775B">
            <w:pPr>
              <w:tabs>
                <w:tab w:val="left" w:pos="4185"/>
              </w:tabs>
              <w:spacing w:line="240" w:lineRule="auto"/>
              <w:ind w:firstLine="375"/>
              <w:rPr>
                <w:rFonts w:ascii="Times New Roman" w:eastAsia="Times New Roman" w:hAnsi="Times New Roman" w:cs="Times New Roman"/>
              </w:rPr>
            </w:pPr>
            <w:r>
              <w:rPr>
                <w:rFonts w:ascii="Times New Roman" w:eastAsia="Times New Roman" w:hAnsi="Times New Roman" w:cs="Times New Roman"/>
              </w:rPr>
              <w:t>None</w:t>
            </w:r>
          </w:p>
        </w:tc>
        <w:tc>
          <w:tcPr>
            <w:tcW w:w="1350" w:type="dxa"/>
            <w:shd w:val="clear" w:color="auto" w:fill="FFFFFF"/>
            <w:tcMar>
              <w:top w:w="30" w:type="dxa"/>
              <w:left w:w="30" w:type="dxa"/>
              <w:bottom w:w="30" w:type="dxa"/>
              <w:right w:w="30" w:type="dxa"/>
            </w:tcMar>
          </w:tcPr>
          <w:p w14:paraId="256EB181"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106</w:t>
            </w:r>
          </w:p>
        </w:tc>
        <w:tc>
          <w:tcPr>
            <w:tcW w:w="1140" w:type="dxa"/>
            <w:shd w:val="clear" w:color="auto" w:fill="FFFFFF"/>
            <w:tcMar>
              <w:top w:w="30" w:type="dxa"/>
              <w:left w:w="30" w:type="dxa"/>
              <w:bottom w:w="30" w:type="dxa"/>
              <w:right w:w="30" w:type="dxa"/>
            </w:tcMar>
          </w:tcPr>
          <w:p w14:paraId="229C5E55"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57.0</w:t>
            </w:r>
          </w:p>
        </w:tc>
      </w:tr>
      <w:tr w:rsidR="004204FF" w14:paraId="3ED43752" w14:textId="77777777">
        <w:trPr>
          <w:cantSplit/>
        </w:trPr>
        <w:tc>
          <w:tcPr>
            <w:tcW w:w="6060" w:type="dxa"/>
            <w:shd w:val="clear" w:color="auto" w:fill="FFFFFF"/>
            <w:tcMar>
              <w:top w:w="30" w:type="dxa"/>
              <w:left w:w="30" w:type="dxa"/>
              <w:bottom w:w="30" w:type="dxa"/>
              <w:right w:w="30" w:type="dxa"/>
            </w:tcMar>
          </w:tcPr>
          <w:p w14:paraId="7D7F6C0F" w14:textId="77777777" w:rsidR="004204FF" w:rsidRDefault="004E35BA" w:rsidP="003A775B">
            <w:pPr>
              <w:tabs>
                <w:tab w:val="left" w:pos="4185"/>
              </w:tabs>
              <w:spacing w:line="240" w:lineRule="auto"/>
              <w:ind w:firstLine="375"/>
              <w:rPr>
                <w:rFonts w:ascii="Times New Roman" w:eastAsia="Times New Roman" w:hAnsi="Times New Roman" w:cs="Times New Roman"/>
              </w:rPr>
            </w:pPr>
            <w:r>
              <w:rPr>
                <w:rFonts w:ascii="Times New Roman" w:eastAsia="Times New Roman" w:hAnsi="Times New Roman" w:cs="Times New Roman"/>
              </w:rPr>
              <w:t>Service industry</w:t>
            </w:r>
          </w:p>
        </w:tc>
        <w:tc>
          <w:tcPr>
            <w:tcW w:w="1350" w:type="dxa"/>
            <w:shd w:val="clear" w:color="auto" w:fill="FFFFFF"/>
            <w:tcMar>
              <w:top w:w="30" w:type="dxa"/>
              <w:left w:w="30" w:type="dxa"/>
              <w:bottom w:w="30" w:type="dxa"/>
              <w:right w:w="30" w:type="dxa"/>
            </w:tcMar>
          </w:tcPr>
          <w:p w14:paraId="1C6176A2"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24</w:t>
            </w:r>
          </w:p>
        </w:tc>
        <w:tc>
          <w:tcPr>
            <w:tcW w:w="1140" w:type="dxa"/>
            <w:shd w:val="clear" w:color="auto" w:fill="FFFFFF"/>
            <w:tcMar>
              <w:top w:w="30" w:type="dxa"/>
              <w:left w:w="30" w:type="dxa"/>
              <w:bottom w:w="30" w:type="dxa"/>
              <w:right w:w="30" w:type="dxa"/>
            </w:tcMar>
          </w:tcPr>
          <w:p w14:paraId="6210F001"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12.9</w:t>
            </w:r>
          </w:p>
        </w:tc>
      </w:tr>
      <w:tr w:rsidR="004204FF" w14:paraId="41248135" w14:textId="77777777">
        <w:trPr>
          <w:cantSplit/>
        </w:trPr>
        <w:tc>
          <w:tcPr>
            <w:tcW w:w="6060" w:type="dxa"/>
            <w:shd w:val="clear" w:color="auto" w:fill="FFFFFF"/>
            <w:tcMar>
              <w:top w:w="30" w:type="dxa"/>
              <w:left w:w="30" w:type="dxa"/>
              <w:bottom w:w="30" w:type="dxa"/>
              <w:right w:w="30" w:type="dxa"/>
            </w:tcMar>
          </w:tcPr>
          <w:p w14:paraId="6E5B2046" w14:textId="77777777" w:rsidR="004204FF" w:rsidRDefault="004E35BA" w:rsidP="003A775B">
            <w:pPr>
              <w:tabs>
                <w:tab w:val="left" w:pos="4185"/>
              </w:tabs>
              <w:spacing w:line="240" w:lineRule="auto"/>
              <w:ind w:firstLine="375"/>
              <w:rPr>
                <w:rFonts w:ascii="Times New Roman" w:eastAsia="Times New Roman" w:hAnsi="Times New Roman" w:cs="Times New Roman"/>
              </w:rPr>
            </w:pPr>
            <w:r>
              <w:rPr>
                <w:rFonts w:ascii="Times New Roman" w:eastAsia="Times New Roman" w:hAnsi="Times New Roman" w:cs="Times New Roman"/>
              </w:rPr>
              <w:lastRenderedPageBreak/>
              <w:t>Business/Self employment</w:t>
            </w:r>
          </w:p>
        </w:tc>
        <w:tc>
          <w:tcPr>
            <w:tcW w:w="1350" w:type="dxa"/>
            <w:shd w:val="clear" w:color="auto" w:fill="FFFFFF"/>
            <w:tcMar>
              <w:top w:w="30" w:type="dxa"/>
              <w:left w:w="30" w:type="dxa"/>
              <w:bottom w:w="30" w:type="dxa"/>
              <w:right w:w="30" w:type="dxa"/>
            </w:tcMar>
          </w:tcPr>
          <w:p w14:paraId="38F21551"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1140" w:type="dxa"/>
            <w:shd w:val="clear" w:color="auto" w:fill="FFFFFF"/>
            <w:tcMar>
              <w:top w:w="30" w:type="dxa"/>
              <w:left w:w="30" w:type="dxa"/>
              <w:bottom w:w="30" w:type="dxa"/>
              <w:right w:w="30" w:type="dxa"/>
            </w:tcMar>
          </w:tcPr>
          <w:p w14:paraId="3A288FE1"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16.1</w:t>
            </w:r>
          </w:p>
        </w:tc>
      </w:tr>
      <w:tr w:rsidR="004204FF" w14:paraId="12B63BED" w14:textId="77777777">
        <w:trPr>
          <w:cantSplit/>
        </w:trPr>
        <w:tc>
          <w:tcPr>
            <w:tcW w:w="6060" w:type="dxa"/>
            <w:shd w:val="clear" w:color="auto" w:fill="FFFFFF"/>
            <w:tcMar>
              <w:top w:w="30" w:type="dxa"/>
              <w:left w:w="30" w:type="dxa"/>
              <w:bottom w:w="30" w:type="dxa"/>
              <w:right w:w="30" w:type="dxa"/>
            </w:tcMar>
          </w:tcPr>
          <w:p w14:paraId="307D9942" w14:textId="77777777" w:rsidR="004204FF" w:rsidRDefault="004E35BA" w:rsidP="003A775B">
            <w:pPr>
              <w:tabs>
                <w:tab w:val="left" w:pos="4185"/>
              </w:tabs>
              <w:spacing w:line="240" w:lineRule="auto"/>
              <w:ind w:firstLine="375"/>
              <w:rPr>
                <w:rFonts w:ascii="Times New Roman" w:eastAsia="Times New Roman" w:hAnsi="Times New Roman" w:cs="Times New Roman"/>
              </w:rPr>
            </w:pPr>
            <w:r>
              <w:rPr>
                <w:rFonts w:ascii="Times New Roman" w:eastAsia="Times New Roman" w:hAnsi="Times New Roman" w:cs="Times New Roman"/>
              </w:rPr>
              <w:t>Transportation</w:t>
            </w:r>
          </w:p>
        </w:tc>
        <w:tc>
          <w:tcPr>
            <w:tcW w:w="1350" w:type="dxa"/>
            <w:shd w:val="clear" w:color="auto" w:fill="FFFFFF"/>
            <w:tcMar>
              <w:top w:w="30" w:type="dxa"/>
              <w:left w:w="30" w:type="dxa"/>
              <w:bottom w:w="30" w:type="dxa"/>
              <w:right w:w="30" w:type="dxa"/>
            </w:tcMar>
          </w:tcPr>
          <w:p w14:paraId="5D6D4BFF"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140" w:type="dxa"/>
            <w:shd w:val="clear" w:color="auto" w:fill="FFFFFF"/>
            <w:tcMar>
              <w:top w:w="30" w:type="dxa"/>
              <w:left w:w="30" w:type="dxa"/>
              <w:bottom w:w="30" w:type="dxa"/>
              <w:right w:w="30" w:type="dxa"/>
            </w:tcMar>
          </w:tcPr>
          <w:p w14:paraId="4509595E"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5.9</w:t>
            </w:r>
          </w:p>
        </w:tc>
      </w:tr>
      <w:tr w:rsidR="004204FF" w14:paraId="70FEA099" w14:textId="77777777">
        <w:trPr>
          <w:cantSplit/>
        </w:trPr>
        <w:tc>
          <w:tcPr>
            <w:tcW w:w="6060" w:type="dxa"/>
            <w:shd w:val="clear" w:color="auto" w:fill="FFFFFF"/>
            <w:tcMar>
              <w:top w:w="30" w:type="dxa"/>
              <w:left w:w="30" w:type="dxa"/>
              <w:bottom w:w="30" w:type="dxa"/>
              <w:right w:w="30" w:type="dxa"/>
            </w:tcMar>
          </w:tcPr>
          <w:p w14:paraId="74259F3A" w14:textId="77777777" w:rsidR="004204FF" w:rsidRDefault="004E35BA" w:rsidP="003A775B">
            <w:pPr>
              <w:tabs>
                <w:tab w:val="left" w:pos="4185"/>
              </w:tabs>
              <w:spacing w:line="240" w:lineRule="auto"/>
              <w:ind w:firstLine="375"/>
              <w:rPr>
                <w:rFonts w:ascii="Times New Roman" w:eastAsia="Times New Roman" w:hAnsi="Times New Roman" w:cs="Times New Roman"/>
              </w:rPr>
            </w:pPr>
            <w:r>
              <w:rPr>
                <w:rFonts w:ascii="Times New Roman" w:eastAsia="Times New Roman" w:hAnsi="Times New Roman" w:cs="Times New Roman"/>
              </w:rPr>
              <w:t>Government/Public service</w:t>
            </w:r>
          </w:p>
        </w:tc>
        <w:tc>
          <w:tcPr>
            <w:tcW w:w="1350" w:type="dxa"/>
            <w:shd w:val="clear" w:color="auto" w:fill="FFFFFF"/>
            <w:tcMar>
              <w:top w:w="30" w:type="dxa"/>
              <w:left w:w="30" w:type="dxa"/>
              <w:bottom w:w="30" w:type="dxa"/>
              <w:right w:w="30" w:type="dxa"/>
            </w:tcMar>
          </w:tcPr>
          <w:p w14:paraId="625A73BF"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140" w:type="dxa"/>
            <w:shd w:val="clear" w:color="auto" w:fill="FFFFFF"/>
            <w:tcMar>
              <w:top w:w="30" w:type="dxa"/>
              <w:left w:w="30" w:type="dxa"/>
              <w:bottom w:w="30" w:type="dxa"/>
              <w:right w:w="30" w:type="dxa"/>
            </w:tcMar>
          </w:tcPr>
          <w:p w14:paraId="43175402"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8.1</w:t>
            </w:r>
          </w:p>
        </w:tc>
      </w:tr>
      <w:tr w:rsidR="004204FF" w14:paraId="06374BC4" w14:textId="77777777">
        <w:trPr>
          <w:cantSplit/>
        </w:trPr>
        <w:tc>
          <w:tcPr>
            <w:tcW w:w="6060"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7363FF8C" w14:textId="77777777" w:rsidR="004204FF" w:rsidRDefault="004E35BA" w:rsidP="003A775B">
            <w:pPr>
              <w:tabs>
                <w:tab w:val="left" w:pos="4185"/>
              </w:tabs>
              <w:spacing w:line="240" w:lineRule="auto"/>
              <w:rPr>
                <w:rFonts w:ascii="Times New Roman" w:eastAsia="Times New Roman" w:hAnsi="Times New Roman" w:cs="Times New Roman"/>
              </w:rPr>
            </w:pPr>
            <w:r>
              <w:rPr>
                <w:rFonts w:ascii="Times New Roman" w:eastAsia="Times New Roman" w:hAnsi="Times New Roman" w:cs="Times New Roman"/>
              </w:rPr>
              <w:t>Total</w:t>
            </w:r>
          </w:p>
        </w:tc>
        <w:tc>
          <w:tcPr>
            <w:tcW w:w="1350"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5E4F8256"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186</w:t>
            </w:r>
          </w:p>
        </w:tc>
        <w:tc>
          <w:tcPr>
            <w:tcW w:w="1140"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2B480D69" w14:textId="77777777" w:rsidR="004204FF" w:rsidRDefault="004E35BA" w:rsidP="003A775B">
            <w:pPr>
              <w:tabs>
                <w:tab w:val="left" w:pos="4185"/>
              </w:tabs>
              <w:spacing w:line="240" w:lineRule="auto"/>
              <w:jc w:val="center"/>
              <w:rPr>
                <w:rFonts w:ascii="Times New Roman" w:eastAsia="Times New Roman" w:hAnsi="Times New Roman" w:cs="Times New Roman"/>
              </w:rPr>
            </w:pPr>
            <w:r>
              <w:rPr>
                <w:rFonts w:ascii="Times New Roman" w:eastAsia="Times New Roman" w:hAnsi="Times New Roman" w:cs="Times New Roman"/>
              </w:rPr>
              <w:t>100</w:t>
            </w:r>
          </w:p>
        </w:tc>
      </w:tr>
    </w:tbl>
    <w:p w14:paraId="126250C8" w14:textId="77777777" w:rsidR="004204FF" w:rsidRDefault="004E35BA" w:rsidP="003A775B">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Perceived Severity of Self-Medication</w:t>
      </w:r>
    </w:p>
    <w:p w14:paraId="60C1D36F" w14:textId="77777777" w:rsidR="004204FF" w:rsidRDefault="004E35BA" w:rsidP="003A775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 shows how older adults evaluated the risks of self-medication with a high mean score of 4.38, reflecting a strong and consistent awareness of the potential dangers involved. The respondents particularly emphasized that improper medication use can worsen health outcomes, demonstrating a clear understanding of how non-prescription practices can lead to serious health threats.</w:t>
      </w:r>
    </w:p>
    <w:p w14:paraId="06D92DCF"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showed that old adults correctly perceive the link between self-medication and complications such as incorrect diagnoses, inappropriate treatment, drug dependence, and even organ damage (Rathod et al., 2023; Rashid et al., 2020). Despite this high level of health literacy and cautiousness, the findings suggest a gap between knowledge and behavior; many individuals still opt to self-medicate because of the immediate relief it offers and the ease of accessing these medications (</w:t>
      </w:r>
      <w:proofErr w:type="spellStart"/>
      <w:r>
        <w:rPr>
          <w:rFonts w:ascii="Times New Roman" w:eastAsia="Times New Roman" w:hAnsi="Times New Roman" w:cs="Times New Roman"/>
          <w:sz w:val="24"/>
          <w:szCs w:val="24"/>
        </w:rPr>
        <w:t>Tohan</w:t>
      </w:r>
      <w:proofErr w:type="spellEnd"/>
      <w:r>
        <w:rPr>
          <w:rFonts w:ascii="Times New Roman" w:eastAsia="Times New Roman" w:hAnsi="Times New Roman" w:cs="Times New Roman"/>
          <w:sz w:val="24"/>
          <w:szCs w:val="24"/>
        </w:rPr>
        <w:t xml:space="preserve"> et al., 2024).</w:t>
      </w:r>
    </w:p>
    <w:tbl>
      <w:tblPr>
        <w:tblStyle w:val="a4"/>
        <w:tblW w:w="8625" w:type="dxa"/>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465"/>
        <w:gridCol w:w="900"/>
        <w:gridCol w:w="900"/>
        <w:gridCol w:w="360"/>
      </w:tblGrid>
      <w:tr w:rsidR="004204FF" w14:paraId="6379779A" w14:textId="77777777">
        <w:trPr>
          <w:cantSplit/>
          <w:trHeight w:val="577"/>
        </w:trPr>
        <w:tc>
          <w:tcPr>
            <w:tcW w:w="8625" w:type="dxa"/>
            <w:gridSpan w:val="4"/>
            <w:tcBorders>
              <w:top w:val="nil"/>
              <w:left w:val="nil"/>
              <w:bottom w:val="single" w:sz="4" w:space="0" w:color="000000"/>
              <w:right w:val="nil"/>
            </w:tcBorders>
            <w:shd w:val="clear" w:color="auto" w:fill="FFFFFF"/>
          </w:tcPr>
          <w:p w14:paraId="54BF0190" w14:textId="77777777" w:rsidR="004204FF" w:rsidRDefault="004E35BA" w:rsidP="003A775B">
            <w:pPr>
              <w:spacing w:line="240" w:lineRule="auto"/>
              <w:ind w:left="60" w:right="60"/>
              <w:rPr>
                <w:rFonts w:ascii="Times New Roman" w:eastAsia="Times New Roman" w:hAnsi="Times New Roman" w:cs="Times New Roman"/>
                <w:b/>
                <w:bCs/>
                <w:color w:val="010205"/>
                <w:sz w:val="24"/>
                <w:szCs w:val="24"/>
              </w:rPr>
            </w:pPr>
            <w:r>
              <w:rPr>
                <w:rFonts w:ascii="Times New Roman" w:eastAsia="Times New Roman" w:hAnsi="Times New Roman" w:cs="Times New Roman"/>
                <w:b/>
                <w:bCs/>
                <w:color w:val="010205"/>
                <w:sz w:val="24"/>
                <w:szCs w:val="24"/>
              </w:rPr>
              <w:t xml:space="preserve">Table 2. </w:t>
            </w:r>
          </w:p>
          <w:p w14:paraId="3EABE753" w14:textId="77777777" w:rsidR="004204FF" w:rsidRDefault="004204FF" w:rsidP="003A775B">
            <w:pPr>
              <w:spacing w:line="240" w:lineRule="auto"/>
              <w:ind w:left="60" w:right="60"/>
              <w:rPr>
                <w:rFonts w:ascii="Times New Roman" w:eastAsia="Times New Roman" w:hAnsi="Times New Roman" w:cs="Times New Roman"/>
                <w:b/>
                <w:bCs/>
                <w:color w:val="010205"/>
                <w:sz w:val="24"/>
                <w:szCs w:val="24"/>
              </w:rPr>
            </w:pPr>
          </w:p>
          <w:p w14:paraId="63D63836" w14:textId="77777777" w:rsidR="004204FF" w:rsidRDefault="004E35BA" w:rsidP="003A775B">
            <w:pPr>
              <w:spacing w:line="240" w:lineRule="auto"/>
              <w:ind w:left="60" w:right="60"/>
              <w:rPr>
                <w:rFonts w:ascii="Times New Roman" w:eastAsia="Times New Roman" w:hAnsi="Times New Roman" w:cs="Times New Roman"/>
                <w:i/>
                <w:iCs/>
                <w:color w:val="010205"/>
                <w:sz w:val="24"/>
                <w:szCs w:val="24"/>
              </w:rPr>
            </w:pPr>
            <w:r>
              <w:rPr>
                <w:rFonts w:ascii="Times New Roman" w:eastAsia="Times New Roman" w:hAnsi="Times New Roman" w:cs="Times New Roman"/>
                <w:i/>
                <w:iCs/>
                <w:color w:val="010205"/>
                <w:sz w:val="24"/>
                <w:szCs w:val="24"/>
              </w:rPr>
              <w:t>Level of Perceived Severity of Self-Medication Among Old Adults (n=186)</w:t>
            </w:r>
          </w:p>
          <w:p w14:paraId="2C376063" w14:textId="77777777" w:rsidR="004204FF" w:rsidRDefault="004204FF" w:rsidP="003A775B">
            <w:pPr>
              <w:spacing w:line="240" w:lineRule="auto"/>
              <w:ind w:left="60" w:right="60"/>
              <w:rPr>
                <w:rFonts w:ascii="Times New Roman" w:eastAsia="Times New Roman" w:hAnsi="Times New Roman" w:cs="Times New Roman"/>
                <w:i/>
                <w:iCs/>
                <w:color w:val="010205"/>
                <w:sz w:val="24"/>
                <w:szCs w:val="24"/>
              </w:rPr>
            </w:pPr>
          </w:p>
        </w:tc>
      </w:tr>
      <w:tr w:rsidR="004204FF" w14:paraId="6D7EF3EF" w14:textId="77777777">
        <w:trPr>
          <w:cantSplit/>
          <w:trHeight w:val="375"/>
        </w:trPr>
        <w:tc>
          <w:tcPr>
            <w:tcW w:w="6465" w:type="dxa"/>
            <w:tcBorders>
              <w:top w:val="single" w:sz="4" w:space="0" w:color="000000"/>
              <w:left w:val="nil"/>
              <w:bottom w:val="single" w:sz="4" w:space="0" w:color="000000"/>
              <w:right w:val="nil"/>
            </w:tcBorders>
            <w:vAlign w:val="bottom"/>
          </w:tcPr>
          <w:p w14:paraId="45EE2D48"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Items</w:t>
            </w:r>
          </w:p>
        </w:tc>
        <w:tc>
          <w:tcPr>
            <w:tcW w:w="900" w:type="dxa"/>
            <w:tcBorders>
              <w:top w:val="single" w:sz="4" w:space="0" w:color="000000"/>
              <w:left w:val="nil"/>
              <w:bottom w:val="single" w:sz="4" w:space="0" w:color="000000"/>
              <w:right w:val="single" w:sz="8" w:space="0" w:color="E0E0E0"/>
            </w:tcBorders>
            <w:vAlign w:val="bottom"/>
          </w:tcPr>
          <w:p w14:paraId="5D4BF0EE" w14:textId="77777777" w:rsidR="004204FF" w:rsidRDefault="004E35BA" w:rsidP="003A775B">
            <w:pPr>
              <w:spacing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900" w:type="dxa"/>
            <w:tcBorders>
              <w:top w:val="single" w:sz="4" w:space="0" w:color="000000"/>
              <w:left w:val="single" w:sz="8" w:space="0" w:color="E0E0E0"/>
              <w:bottom w:val="single" w:sz="4" w:space="0" w:color="000000"/>
              <w:right w:val="single" w:sz="8" w:space="0" w:color="E0E0E0"/>
            </w:tcBorders>
            <w:vAlign w:val="bottom"/>
          </w:tcPr>
          <w:p w14:paraId="4566C921" w14:textId="77777777" w:rsidR="004204FF" w:rsidRDefault="004E35BA" w:rsidP="003A775B">
            <w:pPr>
              <w:spacing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360" w:type="dxa"/>
            <w:tcBorders>
              <w:top w:val="single" w:sz="4" w:space="0" w:color="000000"/>
              <w:left w:val="single" w:sz="8" w:space="0" w:color="E0E0E0"/>
              <w:bottom w:val="single" w:sz="4" w:space="0" w:color="000000"/>
              <w:right w:val="nil"/>
            </w:tcBorders>
            <w:vAlign w:val="bottom"/>
          </w:tcPr>
          <w:p w14:paraId="133EDBB2" w14:textId="77777777" w:rsidR="004204FF" w:rsidRDefault="004204FF" w:rsidP="003A775B">
            <w:pPr>
              <w:spacing w:line="240" w:lineRule="auto"/>
              <w:ind w:left="60" w:right="60"/>
              <w:jc w:val="center"/>
              <w:rPr>
                <w:rFonts w:ascii="Times New Roman" w:eastAsia="Times New Roman" w:hAnsi="Times New Roman" w:cs="Times New Roman"/>
                <w:sz w:val="24"/>
                <w:szCs w:val="24"/>
              </w:rPr>
            </w:pPr>
          </w:p>
        </w:tc>
      </w:tr>
      <w:tr w:rsidR="004204FF" w14:paraId="421F23C0" w14:textId="77777777">
        <w:trPr>
          <w:cantSplit/>
        </w:trPr>
        <w:tc>
          <w:tcPr>
            <w:tcW w:w="6465" w:type="dxa"/>
            <w:tcBorders>
              <w:top w:val="nil"/>
              <w:left w:val="nil"/>
              <w:bottom w:val="nil"/>
              <w:right w:val="nil"/>
            </w:tcBorders>
          </w:tcPr>
          <w:p w14:paraId="3A610179" w14:textId="77777777" w:rsidR="004204FF" w:rsidRDefault="004E35BA" w:rsidP="003A775B">
            <w:pPr>
              <w:spacing w:line="240" w:lineRule="auto"/>
              <w:ind w:right="60"/>
              <w:rPr>
                <w:rFonts w:ascii="Times New Roman" w:eastAsia="Times New Roman" w:hAnsi="Times New Roman" w:cs="Times New Roman"/>
              </w:rPr>
            </w:pPr>
            <w:r>
              <w:rPr>
                <w:rFonts w:ascii="Times New Roman" w:eastAsia="Times New Roman" w:hAnsi="Times New Roman" w:cs="Times New Roman"/>
              </w:rPr>
              <w:t>Self-medication can complicate illness.</w:t>
            </w:r>
          </w:p>
        </w:tc>
        <w:tc>
          <w:tcPr>
            <w:tcW w:w="900" w:type="dxa"/>
            <w:tcBorders>
              <w:top w:val="nil"/>
              <w:left w:val="nil"/>
              <w:bottom w:val="nil"/>
              <w:right w:val="nil"/>
            </w:tcBorders>
          </w:tcPr>
          <w:p w14:paraId="36825D4B"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4.52</w:t>
            </w:r>
          </w:p>
        </w:tc>
        <w:tc>
          <w:tcPr>
            <w:tcW w:w="900" w:type="dxa"/>
            <w:tcBorders>
              <w:top w:val="nil"/>
              <w:left w:val="nil"/>
              <w:bottom w:val="nil"/>
              <w:right w:val="nil"/>
            </w:tcBorders>
          </w:tcPr>
          <w:p w14:paraId="4241D406"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0.87</w:t>
            </w:r>
          </w:p>
        </w:tc>
        <w:tc>
          <w:tcPr>
            <w:tcW w:w="360" w:type="dxa"/>
            <w:tcBorders>
              <w:top w:val="nil"/>
              <w:left w:val="nil"/>
              <w:bottom w:val="nil"/>
              <w:right w:val="nil"/>
            </w:tcBorders>
          </w:tcPr>
          <w:p w14:paraId="726FB27C" w14:textId="77777777" w:rsidR="004204FF" w:rsidRDefault="004204FF" w:rsidP="003A775B">
            <w:pPr>
              <w:spacing w:line="240" w:lineRule="auto"/>
              <w:ind w:left="60" w:right="60"/>
              <w:jc w:val="center"/>
              <w:rPr>
                <w:rFonts w:ascii="Times New Roman" w:eastAsia="Times New Roman" w:hAnsi="Times New Roman" w:cs="Times New Roman"/>
              </w:rPr>
            </w:pPr>
          </w:p>
        </w:tc>
      </w:tr>
      <w:tr w:rsidR="004204FF" w14:paraId="6DC4BCCF" w14:textId="77777777">
        <w:trPr>
          <w:cantSplit/>
        </w:trPr>
        <w:tc>
          <w:tcPr>
            <w:tcW w:w="6465" w:type="dxa"/>
            <w:tcBorders>
              <w:top w:val="nil"/>
              <w:left w:val="nil"/>
              <w:bottom w:val="nil"/>
              <w:right w:val="nil"/>
            </w:tcBorders>
          </w:tcPr>
          <w:p w14:paraId="3FAB5B63" w14:textId="77777777" w:rsidR="004204FF" w:rsidRDefault="004E35BA" w:rsidP="003A775B">
            <w:pPr>
              <w:spacing w:line="240" w:lineRule="auto"/>
              <w:ind w:right="60"/>
              <w:rPr>
                <w:rFonts w:ascii="Times New Roman" w:eastAsia="Times New Roman" w:hAnsi="Times New Roman" w:cs="Times New Roman"/>
              </w:rPr>
            </w:pPr>
            <w:r>
              <w:rPr>
                <w:rFonts w:ascii="Times New Roman" w:eastAsia="Times New Roman" w:hAnsi="Times New Roman" w:cs="Times New Roman"/>
              </w:rPr>
              <w:t xml:space="preserve">I believe it is important to be cautious when using medications                             </w:t>
            </w:r>
          </w:p>
          <w:p w14:paraId="2BDDA841" w14:textId="77777777" w:rsidR="004204FF" w:rsidRDefault="004E35BA" w:rsidP="003A775B">
            <w:pPr>
              <w:spacing w:line="240" w:lineRule="auto"/>
              <w:ind w:left="720" w:right="57"/>
              <w:rPr>
                <w:rFonts w:ascii="Times New Roman" w:eastAsia="Times New Roman" w:hAnsi="Times New Roman" w:cs="Times New Roman"/>
              </w:rPr>
            </w:pPr>
            <w:r>
              <w:rPr>
                <w:rFonts w:ascii="Times New Roman" w:eastAsia="Times New Roman" w:hAnsi="Times New Roman" w:cs="Times New Roman"/>
              </w:rPr>
              <w:t>without prescription.</w:t>
            </w:r>
          </w:p>
        </w:tc>
        <w:tc>
          <w:tcPr>
            <w:tcW w:w="900" w:type="dxa"/>
            <w:tcBorders>
              <w:top w:val="nil"/>
              <w:left w:val="nil"/>
              <w:bottom w:val="nil"/>
              <w:right w:val="nil"/>
            </w:tcBorders>
          </w:tcPr>
          <w:p w14:paraId="718C7D6F"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4.47</w:t>
            </w:r>
          </w:p>
        </w:tc>
        <w:tc>
          <w:tcPr>
            <w:tcW w:w="900" w:type="dxa"/>
            <w:tcBorders>
              <w:top w:val="nil"/>
              <w:left w:val="nil"/>
              <w:bottom w:val="nil"/>
              <w:right w:val="nil"/>
            </w:tcBorders>
          </w:tcPr>
          <w:p w14:paraId="35B4F187"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1.21</w:t>
            </w:r>
          </w:p>
        </w:tc>
        <w:tc>
          <w:tcPr>
            <w:tcW w:w="360" w:type="dxa"/>
            <w:tcBorders>
              <w:top w:val="nil"/>
              <w:left w:val="nil"/>
              <w:bottom w:val="nil"/>
              <w:right w:val="nil"/>
            </w:tcBorders>
          </w:tcPr>
          <w:p w14:paraId="79A29896" w14:textId="77777777" w:rsidR="004204FF" w:rsidRDefault="004204FF" w:rsidP="003A775B">
            <w:pPr>
              <w:spacing w:line="240" w:lineRule="auto"/>
              <w:ind w:left="60" w:right="60"/>
              <w:jc w:val="center"/>
              <w:rPr>
                <w:rFonts w:ascii="Times New Roman" w:eastAsia="Times New Roman" w:hAnsi="Times New Roman" w:cs="Times New Roman"/>
              </w:rPr>
            </w:pPr>
          </w:p>
        </w:tc>
      </w:tr>
      <w:tr w:rsidR="004204FF" w14:paraId="5527631A" w14:textId="77777777">
        <w:trPr>
          <w:cantSplit/>
        </w:trPr>
        <w:tc>
          <w:tcPr>
            <w:tcW w:w="6465" w:type="dxa"/>
            <w:tcBorders>
              <w:top w:val="nil"/>
              <w:left w:val="nil"/>
              <w:bottom w:val="nil"/>
              <w:right w:val="nil"/>
            </w:tcBorders>
          </w:tcPr>
          <w:p w14:paraId="2F8C3707" w14:textId="77777777" w:rsidR="004204FF" w:rsidRDefault="004E35BA" w:rsidP="003A775B">
            <w:pPr>
              <w:spacing w:line="240" w:lineRule="auto"/>
              <w:ind w:right="60"/>
              <w:rPr>
                <w:rFonts w:ascii="Times New Roman" w:eastAsia="Times New Roman" w:hAnsi="Times New Roman" w:cs="Times New Roman"/>
              </w:rPr>
            </w:pPr>
            <w:r>
              <w:rPr>
                <w:rFonts w:ascii="Times New Roman" w:eastAsia="Times New Roman" w:hAnsi="Times New Roman" w:cs="Times New Roman"/>
              </w:rPr>
              <w:t xml:space="preserve">I recognize self-medication may lead to serious health problems. </w:t>
            </w:r>
          </w:p>
        </w:tc>
        <w:tc>
          <w:tcPr>
            <w:tcW w:w="900" w:type="dxa"/>
            <w:tcBorders>
              <w:top w:val="nil"/>
              <w:left w:val="nil"/>
              <w:bottom w:val="nil"/>
              <w:right w:val="nil"/>
            </w:tcBorders>
          </w:tcPr>
          <w:p w14:paraId="3127DBB0"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4.44</w:t>
            </w:r>
          </w:p>
        </w:tc>
        <w:tc>
          <w:tcPr>
            <w:tcW w:w="900" w:type="dxa"/>
            <w:tcBorders>
              <w:top w:val="nil"/>
              <w:left w:val="nil"/>
              <w:bottom w:val="nil"/>
              <w:right w:val="nil"/>
            </w:tcBorders>
          </w:tcPr>
          <w:p w14:paraId="6123C81A"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1.25</w:t>
            </w:r>
          </w:p>
        </w:tc>
        <w:tc>
          <w:tcPr>
            <w:tcW w:w="360" w:type="dxa"/>
            <w:tcBorders>
              <w:top w:val="nil"/>
              <w:left w:val="nil"/>
              <w:bottom w:val="nil"/>
              <w:right w:val="nil"/>
            </w:tcBorders>
          </w:tcPr>
          <w:p w14:paraId="34C06D21" w14:textId="77777777" w:rsidR="004204FF" w:rsidRDefault="004204FF" w:rsidP="003A775B">
            <w:pPr>
              <w:spacing w:line="240" w:lineRule="auto"/>
              <w:ind w:left="60" w:right="60"/>
              <w:jc w:val="center"/>
              <w:rPr>
                <w:rFonts w:ascii="Times New Roman" w:eastAsia="Times New Roman" w:hAnsi="Times New Roman" w:cs="Times New Roman"/>
              </w:rPr>
            </w:pPr>
          </w:p>
        </w:tc>
      </w:tr>
      <w:tr w:rsidR="004204FF" w14:paraId="7BC7FA6B" w14:textId="77777777">
        <w:trPr>
          <w:cantSplit/>
        </w:trPr>
        <w:tc>
          <w:tcPr>
            <w:tcW w:w="6465" w:type="dxa"/>
            <w:tcBorders>
              <w:top w:val="nil"/>
              <w:left w:val="nil"/>
              <w:bottom w:val="nil"/>
              <w:right w:val="nil"/>
            </w:tcBorders>
          </w:tcPr>
          <w:p w14:paraId="6311CDA9" w14:textId="77777777" w:rsidR="004204FF" w:rsidRDefault="004E35BA" w:rsidP="003A775B">
            <w:pPr>
              <w:spacing w:line="240" w:lineRule="auto"/>
              <w:ind w:right="60"/>
              <w:rPr>
                <w:rFonts w:ascii="Times New Roman" w:eastAsia="Times New Roman" w:hAnsi="Times New Roman" w:cs="Times New Roman"/>
              </w:rPr>
            </w:pPr>
            <w:r>
              <w:rPr>
                <w:rFonts w:ascii="Times New Roman" w:eastAsia="Times New Roman" w:hAnsi="Times New Roman" w:cs="Times New Roman"/>
              </w:rPr>
              <w:t>I think about the health risks before self-medicating.</w:t>
            </w:r>
          </w:p>
        </w:tc>
        <w:tc>
          <w:tcPr>
            <w:tcW w:w="900" w:type="dxa"/>
            <w:tcBorders>
              <w:top w:val="nil"/>
              <w:left w:val="nil"/>
              <w:bottom w:val="nil"/>
              <w:right w:val="nil"/>
            </w:tcBorders>
          </w:tcPr>
          <w:p w14:paraId="3D0BB7D8"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4.42</w:t>
            </w:r>
          </w:p>
        </w:tc>
        <w:tc>
          <w:tcPr>
            <w:tcW w:w="900" w:type="dxa"/>
            <w:tcBorders>
              <w:top w:val="nil"/>
              <w:left w:val="nil"/>
              <w:bottom w:val="nil"/>
              <w:right w:val="nil"/>
            </w:tcBorders>
          </w:tcPr>
          <w:p w14:paraId="05989F15"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0.97</w:t>
            </w:r>
          </w:p>
        </w:tc>
        <w:tc>
          <w:tcPr>
            <w:tcW w:w="360" w:type="dxa"/>
            <w:tcBorders>
              <w:top w:val="nil"/>
              <w:left w:val="nil"/>
              <w:bottom w:val="nil"/>
              <w:right w:val="nil"/>
            </w:tcBorders>
          </w:tcPr>
          <w:p w14:paraId="4B1B924A" w14:textId="77777777" w:rsidR="004204FF" w:rsidRDefault="004204FF" w:rsidP="003A775B">
            <w:pPr>
              <w:spacing w:line="240" w:lineRule="auto"/>
              <w:ind w:left="60" w:right="60"/>
              <w:jc w:val="center"/>
              <w:rPr>
                <w:rFonts w:ascii="Times New Roman" w:eastAsia="Times New Roman" w:hAnsi="Times New Roman" w:cs="Times New Roman"/>
              </w:rPr>
            </w:pPr>
          </w:p>
        </w:tc>
      </w:tr>
      <w:tr w:rsidR="004204FF" w14:paraId="195C830E" w14:textId="77777777">
        <w:trPr>
          <w:cantSplit/>
        </w:trPr>
        <w:tc>
          <w:tcPr>
            <w:tcW w:w="6465" w:type="dxa"/>
            <w:tcBorders>
              <w:top w:val="nil"/>
              <w:left w:val="nil"/>
              <w:bottom w:val="nil"/>
              <w:right w:val="nil"/>
            </w:tcBorders>
          </w:tcPr>
          <w:p w14:paraId="41DEDD65" w14:textId="77777777" w:rsidR="004204FF" w:rsidRDefault="004E35BA" w:rsidP="003A775B">
            <w:pPr>
              <w:spacing w:line="240" w:lineRule="auto"/>
              <w:ind w:right="60"/>
              <w:rPr>
                <w:rFonts w:ascii="Times New Roman" w:eastAsia="Times New Roman" w:hAnsi="Times New Roman" w:cs="Times New Roman"/>
              </w:rPr>
            </w:pPr>
            <w:r>
              <w:rPr>
                <w:rFonts w:ascii="Times New Roman" w:eastAsia="Times New Roman" w:hAnsi="Times New Roman" w:cs="Times New Roman"/>
              </w:rPr>
              <w:t xml:space="preserve">Self-medication can delay one from seeking hospital intervention.                                    </w:t>
            </w:r>
          </w:p>
        </w:tc>
        <w:tc>
          <w:tcPr>
            <w:tcW w:w="900" w:type="dxa"/>
            <w:tcBorders>
              <w:top w:val="nil"/>
              <w:left w:val="nil"/>
              <w:bottom w:val="nil"/>
              <w:right w:val="nil"/>
            </w:tcBorders>
          </w:tcPr>
          <w:p w14:paraId="1DE055B8"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4.38</w:t>
            </w:r>
          </w:p>
        </w:tc>
        <w:tc>
          <w:tcPr>
            <w:tcW w:w="900" w:type="dxa"/>
            <w:tcBorders>
              <w:top w:val="nil"/>
              <w:left w:val="nil"/>
              <w:bottom w:val="nil"/>
              <w:right w:val="nil"/>
            </w:tcBorders>
          </w:tcPr>
          <w:p w14:paraId="42452825"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0.92</w:t>
            </w:r>
          </w:p>
        </w:tc>
        <w:tc>
          <w:tcPr>
            <w:tcW w:w="360" w:type="dxa"/>
            <w:tcBorders>
              <w:top w:val="nil"/>
              <w:left w:val="nil"/>
              <w:bottom w:val="nil"/>
              <w:right w:val="nil"/>
            </w:tcBorders>
          </w:tcPr>
          <w:p w14:paraId="7221E509" w14:textId="77777777" w:rsidR="004204FF" w:rsidRDefault="004204FF" w:rsidP="003A775B">
            <w:pPr>
              <w:spacing w:line="240" w:lineRule="auto"/>
              <w:ind w:left="60" w:right="60"/>
              <w:jc w:val="center"/>
              <w:rPr>
                <w:rFonts w:ascii="Times New Roman" w:eastAsia="Times New Roman" w:hAnsi="Times New Roman" w:cs="Times New Roman"/>
              </w:rPr>
            </w:pPr>
          </w:p>
        </w:tc>
      </w:tr>
      <w:tr w:rsidR="004204FF" w14:paraId="256B234A" w14:textId="77777777">
        <w:trPr>
          <w:cantSplit/>
        </w:trPr>
        <w:tc>
          <w:tcPr>
            <w:tcW w:w="6465" w:type="dxa"/>
            <w:tcBorders>
              <w:top w:val="nil"/>
              <w:left w:val="nil"/>
              <w:bottom w:val="nil"/>
              <w:right w:val="nil"/>
            </w:tcBorders>
          </w:tcPr>
          <w:p w14:paraId="0D1C8270" w14:textId="77777777" w:rsidR="004204FF" w:rsidRDefault="004E35BA" w:rsidP="003A775B">
            <w:pPr>
              <w:spacing w:line="240" w:lineRule="auto"/>
              <w:ind w:right="60"/>
              <w:rPr>
                <w:rFonts w:ascii="Times New Roman" w:eastAsia="Times New Roman" w:hAnsi="Times New Roman" w:cs="Times New Roman"/>
              </w:rPr>
            </w:pPr>
            <w:r>
              <w:rPr>
                <w:rFonts w:ascii="Times New Roman" w:eastAsia="Times New Roman" w:hAnsi="Times New Roman" w:cs="Times New Roman"/>
              </w:rPr>
              <w:t>Self-medication can cause problems.</w:t>
            </w:r>
          </w:p>
        </w:tc>
        <w:tc>
          <w:tcPr>
            <w:tcW w:w="900" w:type="dxa"/>
            <w:tcBorders>
              <w:top w:val="nil"/>
              <w:left w:val="nil"/>
              <w:bottom w:val="nil"/>
              <w:right w:val="nil"/>
            </w:tcBorders>
          </w:tcPr>
          <w:p w14:paraId="19C4A7B4"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4.38</w:t>
            </w:r>
          </w:p>
        </w:tc>
        <w:tc>
          <w:tcPr>
            <w:tcW w:w="900" w:type="dxa"/>
            <w:tcBorders>
              <w:top w:val="nil"/>
              <w:left w:val="nil"/>
              <w:bottom w:val="nil"/>
              <w:right w:val="nil"/>
            </w:tcBorders>
          </w:tcPr>
          <w:p w14:paraId="286273E4"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0.91</w:t>
            </w:r>
          </w:p>
        </w:tc>
        <w:tc>
          <w:tcPr>
            <w:tcW w:w="360" w:type="dxa"/>
            <w:tcBorders>
              <w:top w:val="nil"/>
              <w:left w:val="nil"/>
              <w:bottom w:val="nil"/>
              <w:right w:val="nil"/>
            </w:tcBorders>
          </w:tcPr>
          <w:p w14:paraId="6404C0F3" w14:textId="77777777" w:rsidR="004204FF" w:rsidRDefault="004204FF" w:rsidP="003A775B">
            <w:pPr>
              <w:spacing w:line="240" w:lineRule="auto"/>
              <w:ind w:left="60" w:right="60"/>
              <w:jc w:val="center"/>
              <w:rPr>
                <w:rFonts w:ascii="Times New Roman" w:eastAsia="Times New Roman" w:hAnsi="Times New Roman" w:cs="Times New Roman"/>
              </w:rPr>
            </w:pPr>
          </w:p>
        </w:tc>
      </w:tr>
      <w:tr w:rsidR="004204FF" w14:paraId="290585DC" w14:textId="77777777">
        <w:trPr>
          <w:cantSplit/>
        </w:trPr>
        <w:tc>
          <w:tcPr>
            <w:tcW w:w="6465" w:type="dxa"/>
            <w:tcBorders>
              <w:top w:val="nil"/>
              <w:left w:val="nil"/>
              <w:bottom w:val="nil"/>
              <w:right w:val="nil"/>
            </w:tcBorders>
          </w:tcPr>
          <w:p w14:paraId="1A358EC6" w14:textId="77777777" w:rsidR="004204FF" w:rsidRDefault="004E35BA" w:rsidP="003A775B">
            <w:pPr>
              <w:spacing w:line="240" w:lineRule="auto"/>
              <w:ind w:right="60"/>
              <w:rPr>
                <w:rFonts w:ascii="Times New Roman" w:eastAsia="Times New Roman" w:hAnsi="Times New Roman" w:cs="Times New Roman"/>
              </w:rPr>
            </w:pPr>
            <w:r>
              <w:rPr>
                <w:rFonts w:ascii="Times New Roman" w:eastAsia="Times New Roman" w:hAnsi="Times New Roman" w:cs="Times New Roman"/>
              </w:rPr>
              <w:t>Self-medication can lead to drug resistance.</w:t>
            </w:r>
          </w:p>
        </w:tc>
        <w:tc>
          <w:tcPr>
            <w:tcW w:w="900" w:type="dxa"/>
            <w:tcBorders>
              <w:top w:val="nil"/>
              <w:left w:val="nil"/>
              <w:bottom w:val="nil"/>
              <w:right w:val="nil"/>
            </w:tcBorders>
          </w:tcPr>
          <w:p w14:paraId="13B300F3"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4.33</w:t>
            </w:r>
          </w:p>
        </w:tc>
        <w:tc>
          <w:tcPr>
            <w:tcW w:w="900" w:type="dxa"/>
            <w:tcBorders>
              <w:top w:val="nil"/>
              <w:left w:val="nil"/>
              <w:bottom w:val="nil"/>
              <w:right w:val="nil"/>
            </w:tcBorders>
          </w:tcPr>
          <w:p w14:paraId="55381489"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0.89</w:t>
            </w:r>
          </w:p>
        </w:tc>
        <w:tc>
          <w:tcPr>
            <w:tcW w:w="360" w:type="dxa"/>
            <w:tcBorders>
              <w:top w:val="nil"/>
              <w:left w:val="nil"/>
              <w:bottom w:val="nil"/>
              <w:right w:val="nil"/>
            </w:tcBorders>
          </w:tcPr>
          <w:p w14:paraId="6378B6B1" w14:textId="77777777" w:rsidR="004204FF" w:rsidRDefault="004204FF" w:rsidP="003A775B">
            <w:pPr>
              <w:spacing w:line="240" w:lineRule="auto"/>
              <w:ind w:left="60" w:right="60"/>
              <w:jc w:val="center"/>
              <w:rPr>
                <w:rFonts w:ascii="Times New Roman" w:eastAsia="Times New Roman" w:hAnsi="Times New Roman" w:cs="Times New Roman"/>
              </w:rPr>
            </w:pPr>
          </w:p>
        </w:tc>
      </w:tr>
      <w:tr w:rsidR="004204FF" w14:paraId="61B117B2" w14:textId="77777777">
        <w:trPr>
          <w:cantSplit/>
        </w:trPr>
        <w:tc>
          <w:tcPr>
            <w:tcW w:w="6465" w:type="dxa"/>
            <w:tcBorders>
              <w:top w:val="nil"/>
              <w:left w:val="nil"/>
              <w:bottom w:val="nil"/>
              <w:right w:val="nil"/>
            </w:tcBorders>
          </w:tcPr>
          <w:p w14:paraId="53ED0F6E" w14:textId="77777777" w:rsidR="004204FF" w:rsidRDefault="004E35BA" w:rsidP="003A775B">
            <w:pPr>
              <w:spacing w:line="240" w:lineRule="auto"/>
              <w:ind w:right="60"/>
              <w:rPr>
                <w:rFonts w:ascii="Times New Roman" w:eastAsia="Times New Roman" w:hAnsi="Times New Roman" w:cs="Times New Roman"/>
              </w:rPr>
            </w:pPr>
            <w:r>
              <w:rPr>
                <w:rFonts w:ascii="Times New Roman" w:eastAsia="Times New Roman" w:hAnsi="Times New Roman" w:cs="Times New Roman"/>
              </w:rPr>
              <w:t>Self-medication can result in harmful effects.</w:t>
            </w:r>
          </w:p>
        </w:tc>
        <w:tc>
          <w:tcPr>
            <w:tcW w:w="900" w:type="dxa"/>
            <w:tcBorders>
              <w:top w:val="nil"/>
              <w:left w:val="nil"/>
              <w:bottom w:val="nil"/>
              <w:right w:val="nil"/>
            </w:tcBorders>
          </w:tcPr>
          <w:p w14:paraId="4875C5E1"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4.32</w:t>
            </w:r>
          </w:p>
        </w:tc>
        <w:tc>
          <w:tcPr>
            <w:tcW w:w="900" w:type="dxa"/>
            <w:tcBorders>
              <w:top w:val="nil"/>
              <w:left w:val="nil"/>
              <w:bottom w:val="nil"/>
              <w:right w:val="nil"/>
            </w:tcBorders>
          </w:tcPr>
          <w:p w14:paraId="69351730"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0.99</w:t>
            </w:r>
          </w:p>
        </w:tc>
        <w:tc>
          <w:tcPr>
            <w:tcW w:w="360" w:type="dxa"/>
            <w:tcBorders>
              <w:top w:val="nil"/>
              <w:left w:val="nil"/>
              <w:bottom w:val="nil"/>
              <w:right w:val="nil"/>
            </w:tcBorders>
          </w:tcPr>
          <w:p w14:paraId="34C76D19" w14:textId="77777777" w:rsidR="004204FF" w:rsidRDefault="004204FF" w:rsidP="003A775B">
            <w:pPr>
              <w:spacing w:line="240" w:lineRule="auto"/>
              <w:ind w:left="60" w:right="60"/>
              <w:jc w:val="center"/>
              <w:rPr>
                <w:rFonts w:ascii="Times New Roman" w:eastAsia="Times New Roman" w:hAnsi="Times New Roman" w:cs="Times New Roman"/>
              </w:rPr>
            </w:pPr>
          </w:p>
        </w:tc>
      </w:tr>
      <w:tr w:rsidR="004204FF" w14:paraId="4DAEC2FA" w14:textId="77777777">
        <w:trPr>
          <w:cantSplit/>
        </w:trPr>
        <w:tc>
          <w:tcPr>
            <w:tcW w:w="6465" w:type="dxa"/>
            <w:tcBorders>
              <w:top w:val="nil"/>
              <w:left w:val="nil"/>
              <w:bottom w:val="nil"/>
              <w:right w:val="nil"/>
            </w:tcBorders>
          </w:tcPr>
          <w:p w14:paraId="61E6E9AB" w14:textId="77777777" w:rsidR="004204FF" w:rsidRDefault="004E35BA" w:rsidP="003A775B">
            <w:pPr>
              <w:spacing w:line="240" w:lineRule="auto"/>
              <w:ind w:right="60"/>
              <w:rPr>
                <w:rFonts w:ascii="Times New Roman" w:eastAsia="Times New Roman" w:hAnsi="Times New Roman" w:cs="Times New Roman"/>
              </w:rPr>
            </w:pPr>
            <w:r>
              <w:rPr>
                <w:rFonts w:ascii="Times New Roman" w:eastAsia="Times New Roman" w:hAnsi="Times New Roman" w:cs="Times New Roman"/>
              </w:rPr>
              <w:t>Self-medication can cause damage to the organ body.</w:t>
            </w:r>
          </w:p>
        </w:tc>
        <w:tc>
          <w:tcPr>
            <w:tcW w:w="900" w:type="dxa"/>
            <w:tcBorders>
              <w:top w:val="nil"/>
              <w:left w:val="nil"/>
              <w:bottom w:val="nil"/>
              <w:right w:val="nil"/>
            </w:tcBorders>
          </w:tcPr>
          <w:p w14:paraId="729F3570"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4.30</w:t>
            </w:r>
          </w:p>
        </w:tc>
        <w:tc>
          <w:tcPr>
            <w:tcW w:w="900" w:type="dxa"/>
            <w:tcBorders>
              <w:top w:val="nil"/>
              <w:left w:val="nil"/>
              <w:bottom w:val="nil"/>
              <w:right w:val="nil"/>
            </w:tcBorders>
          </w:tcPr>
          <w:p w14:paraId="60D1EE3D"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0.97</w:t>
            </w:r>
          </w:p>
        </w:tc>
        <w:tc>
          <w:tcPr>
            <w:tcW w:w="360" w:type="dxa"/>
            <w:tcBorders>
              <w:top w:val="nil"/>
              <w:left w:val="nil"/>
              <w:bottom w:val="nil"/>
              <w:right w:val="nil"/>
            </w:tcBorders>
          </w:tcPr>
          <w:p w14:paraId="70AD915E" w14:textId="77777777" w:rsidR="004204FF" w:rsidRDefault="004204FF" w:rsidP="003A775B">
            <w:pPr>
              <w:spacing w:line="240" w:lineRule="auto"/>
              <w:ind w:left="60" w:right="60"/>
              <w:jc w:val="center"/>
              <w:rPr>
                <w:rFonts w:ascii="Times New Roman" w:eastAsia="Times New Roman" w:hAnsi="Times New Roman" w:cs="Times New Roman"/>
              </w:rPr>
            </w:pPr>
          </w:p>
        </w:tc>
      </w:tr>
      <w:tr w:rsidR="004204FF" w14:paraId="1FC40114" w14:textId="77777777">
        <w:trPr>
          <w:cantSplit/>
        </w:trPr>
        <w:tc>
          <w:tcPr>
            <w:tcW w:w="6465" w:type="dxa"/>
            <w:tcBorders>
              <w:top w:val="nil"/>
              <w:left w:val="nil"/>
              <w:bottom w:val="nil"/>
              <w:right w:val="nil"/>
            </w:tcBorders>
          </w:tcPr>
          <w:p w14:paraId="447AC62A" w14:textId="77777777" w:rsidR="004204FF" w:rsidRDefault="004E35BA" w:rsidP="003A775B">
            <w:pPr>
              <w:spacing w:line="240" w:lineRule="auto"/>
              <w:ind w:right="60"/>
              <w:rPr>
                <w:rFonts w:ascii="Times New Roman" w:eastAsia="Times New Roman" w:hAnsi="Times New Roman" w:cs="Times New Roman"/>
              </w:rPr>
            </w:pPr>
            <w:r>
              <w:rPr>
                <w:rFonts w:ascii="Times New Roman" w:eastAsia="Times New Roman" w:hAnsi="Times New Roman" w:cs="Times New Roman"/>
              </w:rPr>
              <w:t xml:space="preserve">I am aware that taking medicines without guidance may worsen </w:t>
            </w:r>
            <w:proofErr w:type="gramStart"/>
            <w:r>
              <w:rPr>
                <w:rFonts w:ascii="Times New Roman" w:eastAsia="Times New Roman" w:hAnsi="Times New Roman" w:cs="Times New Roman"/>
              </w:rPr>
              <w:t>my</w:t>
            </w:r>
            <w:proofErr w:type="gramEnd"/>
            <w:r>
              <w:rPr>
                <w:rFonts w:ascii="Times New Roman" w:eastAsia="Times New Roman" w:hAnsi="Times New Roman" w:cs="Times New Roman"/>
              </w:rPr>
              <w:t xml:space="preserve"> </w:t>
            </w:r>
          </w:p>
          <w:p w14:paraId="35110ED4" w14:textId="77777777" w:rsidR="004204FF" w:rsidRDefault="004E35BA" w:rsidP="003A775B">
            <w:pPr>
              <w:spacing w:line="240" w:lineRule="auto"/>
              <w:ind w:left="720" w:right="57"/>
              <w:rPr>
                <w:rFonts w:ascii="Times New Roman" w:eastAsia="Times New Roman" w:hAnsi="Times New Roman" w:cs="Times New Roman"/>
              </w:rPr>
            </w:pPr>
            <w:r>
              <w:rPr>
                <w:rFonts w:ascii="Times New Roman" w:eastAsia="Times New Roman" w:hAnsi="Times New Roman" w:cs="Times New Roman"/>
              </w:rPr>
              <w:t>condition.</w:t>
            </w:r>
          </w:p>
        </w:tc>
        <w:tc>
          <w:tcPr>
            <w:tcW w:w="900" w:type="dxa"/>
            <w:tcBorders>
              <w:top w:val="nil"/>
              <w:left w:val="nil"/>
              <w:bottom w:val="nil"/>
              <w:right w:val="nil"/>
            </w:tcBorders>
          </w:tcPr>
          <w:p w14:paraId="6A729F20"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4.22</w:t>
            </w:r>
          </w:p>
        </w:tc>
        <w:tc>
          <w:tcPr>
            <w:tcW w:w="900" w:type="dxa"/>
            <w:tcBorders>
              <w:top w:val="nil"/>
              <w:left w:val="nil"/>
              <w:bottom w:val="nil"/>
              <w:right w:val="nil"/>
            </w:tcBorders>
          </w:tcPr>
          <w:p w14:paraId="4A4F6CBC"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0.97</w:t>
            </w:r>
          </w:p>
        </w:tc>
        <w:tc>
          <w:tcPr>
            <w:tcW w:w="360" w:type="dxa"/>
            <w:tcBorders>
              <w:top w:val="nil"/>
              <w:left w:val="nil"/>
              <w:bottom w:val="nil"/>
              <w:right w:val="nil"/>
            </w:tcBorders>
          </w:tcPr>
          <w:p w14:paraId="640B4787" w14:textId="77777777" w:rsidR="004204FF" w:rsidRDefault="004204FF" w:rsidP="003A775B">
            <w:pPr>
              <w:spacing w:line="240" w:lineRule="auto"/>
              <w:ind w:left="60" w:right="60"/>
              <w:jc w:val="center"/>
              <w:rPr>
                <w:rFonts w:ascii="Times New Roman" w:eastAsia="Times New Roman" w:hAnsi="Times New Roman" w:cs="Times New Roman"/>
              </w:rPr>
            </w:pPr>
          </w:p>
        </w:tc>
      </w:tr>
      <w:tr w:rsidR="004204FF" w14:paraId="2A606CE2" w14:textId="77777777">
        <w:trPr>
          <w:cantSplit/>
        </w:trPr>
        <w:tc>
          <w:tcPr>
            <w:tcW w:w="8625" w:type="dxa"/>
            <w:gridSpan w:val="4"/>
            <w:tcBorders>
              <w:top w:val="single" w:sz="4" w:space="0" w:color="000000"/>
              <w:left w:val="nil"/>
              <w:bottom w:val="single" w:sz="4" w:space="0" w:color="000000"/>
              <w:right w:val="single" w:sz="8" w:space="0" w:color="E0E0E0"/>
            </w:tcBorders>
          </w:tcPr>
          <w:p w14:paraId="3D6A197C"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b/>
                <w:bCs/>
              </w:rPr>
              <w:t xml:space="preserve">                     </w:t>
            </w:r>
            <w:proofErr w:type="gramStart"/>
            <w:r>
              <w:rPr>
                <w:rFonts w:ascii="Times New Roman" w:eastAsia="Times New Roman" w:hAnsi="Times New Roman" w:cs="Times New Roman"/>
              </w:rPr>
              <w:t>Overall  Mean</w:t>
            </w:r>
            <w:proofErr w:type="gramEnd"/>
            <w:r>
              <w:rPr>
                <w:rFonts w:ascii="Times New Roman" w:eastAsia="Times New Roman" w:hAnsi="Times New Roman" w:cs="Times New Roman"/>
              </w:rPr>
              <w:t xml:space="preserve"> </w:t>
            </w:r>
            <w:r>
              <w:rPr>
                <w:rFonts w:ascii="Times New Roman" w:eastAsia="Times New Roman" w:hAnsi="Times New Roman" w:cs="Times New Roman"/>
                <w:b/>
                <w:bCs/>
              </w:rPr>
              <w:t xml:space="preserve">                                                 </w:t>
            </w:r>
            <w:r>
              <w:rPr>
                <w:rFonts w:ascii="Times New Roman" w:eastAsia="Times New Roman" w:hAnsi="Times New Roman" w:cs="Times New Roman"/>
              </w:rPr>
              <w:t xml:space="preserve"> 4.38</w:t>
            </w:r>
          </w:p>
        </w:tc>
      </w:tr>
    </w:tbl>
    <w:p w14:paraId="503DF4D7" w14:textId="77777777" w:rsidR="004204FF" w:rsidRDefault="004204FF" w:rsidP="003A775B">
      <w:pPr>
        <w:spacing w:line="240" w:lineRule="auto"/>
        <w:rPr>
          <w:rFonts w:ascii="Times New Roman" w:eastAsia="Times New Roman" w:hAnsi="Times New Roman" w:cs="Times New Roman"/>
          <w:b/>
          <w:bCs/>
          <w:sz w:val="24"/>
          <w:szCs w:val="24"/>
        </w:rPr>
      </w:pPr>
    </w:p>
    <w:p w14:paraId="73E6B4AB" w14:textId="77777777" w:rsidR="004204FF" w:rsidRDefault="004204FF" w:rsidP="003A775B">
      <w:pPr>
        <w:spacing w:line="240" w:lineRule="auto"/>
        <w:rPr>
          <w:rFonts w:ascii="Times New Roman" w:eastAsia="Times New Roman" w:hAnsi="Times New Roman" w:cs="Times New Roman"/>
          <w:b/>
          <w:bCs/>
          <w:sz w:val="24"/>
          <w:szCs w:val="24"/>
        </w:rPr>
      </w:pPr>
    </w:p>
    <w:p w14:paraId="74ADF8C8" w14:textId="77777777" w:rsidR="004204FF" w:rsidRDefault="004204FF" w:rsidP="003A775B">
      <w:pPr>
        <w:spacing w:line="240" w:lineRule="auto"/>
        <w:rPr>
          <w:rFonts w:ascii="Times New Roman" w:eastAsia="Times New Roman" w:hAnsi="Times New Roman" w:cs="Times New Roman"/>
          <w:b/>
          <w:bCs/>
          <w:sz w:val="24"/>
          <w:szCs w:val="24"/>
        </w:rPr>
      </w:pPr>
    </w:p>
    <w:p w14:paraId="512E09D1" w14:textId="77777777" w:rsidR="004204FF" w:rsidRDefault="004204FF" w:rsidP="003A775B">
      <w:pPr>
        <w:spacing w:line="240" w:lineRule="auto"/>
        <w:rPr>
          <w:rFonts w:ascii="Times New Roman" w:eastAsia="Times New Roman" w:hAnsi="Times New Roman" w:cs="Times New Roman"/>
          <w:b/>
          <w:bCs/>
          <w:sz w:val="24"/>
          <w:szCs w:val="24"/>
        </w:rPr>
      </w:pPr>
    </w:p>
    <w:p w14:paraId="6E3B65D3" w14:textId="77777777" w:rsidR="004204FF" w:rsidRDefault="004204FF" w:rsidP="003A775B">
      <w:pPr>
        <w:spacing w:line="240" w:lineRule="auto"/>
        <w:rPr>
          <w:rFonts w:ascii="Times New Roman" w:eastAsia="Times New Roman" w:hAnsi="Times New Roman" w:cs="Times New Roman"/>
          <w:b/>
          <w:bCs/>
          <w:sz w:val="24"/>
          <w:szCs w:val="24"/>
        </w:rPr>
      </w:pPr>
    </w:p>
    <w:p w14:paraId="77BE33C1" w14:textId="77777777" w:rsidR="004204FF" w:rsidRDefault="004204FF" w:rsidP="003A775B">
      <w:pPr>
        <w:spacing w:line="240" w:lineRule="auto"/>
        <w:rPr>
          <w:rFonts w:ascii="Times New Roman" w:eastAsia="Times New Roman" w:hAnsi="Times New Roman" w:cs="Times New Roman"/>
          <w:b/>
          <w:bCs/>
          <w:sz w:val="24"/>
          <w:szCs w:val="24"/>
        </w:rPr>
      </w:pPr>
    </w:p>
    <w:p w14:paraId="56D466BA" w14:textId="77777777" w:rsidR="004204FF" w:rsidRDefault="004204FF" w:rsidP="003A775B">
      <w:pPr>
        <w:spacing w:line="240" w:lineRule="auto"/>
        <w:rPr>
          <w:rFonts w:ascii="Times New Roman" w:eastAsia="Times New Roman" w:hAnsi="Times New Roman" w:cs="Times New Roman"/>
          <w:b/>
          <w:bCs/>
          <w:sz w:val="24"/>
          <w:szCs w:val="24"/>
        </w:rPr>
      </w:pPr>
    </w:p>
    <w:p w14:paraId="2D75D1E7"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Self-Medication Practices</w:t>
      </w:r>
    </w:p>
    <w:p w14:paraId="1C0246B7"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Table 3 indicates that the overall level of self-medication practices among old adults was low considering the mean of 1.64, suggesting that the respondents generally do not frequently engage in self-medication behaviors. The consistently low ratings across all indicators reflect cautious medication practices and possible awareness of the risks associated with taking medicines without proper consultation.</w:t>
      </w:r>
    </w:p>
    <w:p w14:paraId="1E5F8C03"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highest rated item, social influence and structural barriers, are primary drivers of self-medication among old adults. High scores for family and peer encouragement align with research indicating that informal advice often influences health behaviors when professional care seems out of reach (Oliveira et al., 2020). Additionally, barriers such as long wait times and high healthcare costs frequently motivate old adults to self-manage minor health issues rather than seeking professional medical insight (</w:t>
      </w:r>
      <w:proofErr w:type="spellStart"/>
      <w:r>
        <w:rPr>
          <w:rFonts w:ascii="Times New Roman" w:eastAsia="Times New Roman" w:hAnsi="Times New Roman" w:cs="Times New Roman"/>
          <w:sz w:val="24"/>
          <w:szCs w:val="24"/>
        </w:rPr>
        <w:t>Awad</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AlRuthia</w:t>
      </w:r>
      <w:proofErr w:type="spellEnd"/>
      <w:r>
        <w:rPr>
          <w:rFonts w:ascii="Times New Roman" w:eastAsia="Times New Roman" w:hAnsi="Times New Roman" w:cs="Times New Roman"/>
          <w:sz w:val="24"/>
          <w:szCs w:val="24"/>
        </w:rPr>
        <w:t>, 2023).</w:t>
      </w:r>
    </w:p>
    <w:p w14:paraId="528B050A"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moderate endorsement of the belief that self-medicated drugs are safe aligns with research demonstrating that familiarity with common over-the-counter medications can create a perception of safety, even when risks exist (</w:t>
      </w:r>
      <w:proofErr w:type="spellStart"/>
      <w:r>
        <w:rPr>
          <w:rFonts w:ascii="Times New Roman" w:eastAsia="Times New Roman" w:hAnsi="Times New Roman" w:cs="Times New Roman"/>
          <w:sz w:val="24"/>
          <w:szCs w:val="24"/>
        </w:rPr>
        <w:t>Basak</w:t>
      </w:r>
      <w:proofErr w:type="spellEnd"/>
      <w:r>
        <w:rPr>
          <w:rFonts w:ascii="Times New Roman" w:eastAsia="Times New Roman" w:hAnsi="Times New Roman" w:cs="Times New Roman"/>
          <w:sz w:val="24"/>
          <w:szCs w:val="24"/>
        </w:rPr>
        <w:t xml:space="preserve"> et al., 2022).</w:t>
      </w:r>
    </w:p>
    <w:p w14:paraId="3A4D2215"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lowest-rated items suggest limited habitual self-medication in this population. This is consistent with the findings cited in this study indicating that old adults often discontinue self-medication when expected benefits are not observed (Pérez &amp; Salazar, 2024). </w:t>
      </w:r>
    </w:p>
    <w:p w14:paraId="3C21441D" w14:textId="77777777" w:rsidR="004204FF" w:rsidRDefault="004204FF" w:rsidP="003A775B">
      <w:pPr>
        <w:spacing w:line="240" w:lineRule="auto"/>
        <w:rPr>
          <w:rFonts w:ascii="Times New Roman" w:eastAsia="Times New Roman" w:hAnsi="Times New Roman" w:cs="Times New Roman"/>
          <w:sz w:val="24"/>
          <w:szCs w:val="24"/>
        </w:rPr>
      </w:pPr>
    </w:p>
    <w:p w14:paraId="633EE71F" w14:textId="77777777" w:rsidR="004204FF" w:rsidRDefault="004204FF" w:rsidP="003A775B">
      <w:pPr>
        <w:spacing w:line="240" w:lineRule="auto"/>
        <w:rPr>
          <w:rFonts w:ascii="Times New Roman" w:eastAsia="Times New Roman" w:hAnsi="Times New Roman" w:cs="Times New Roman"/>
          <w:sz w:val="24"/>
          <w:szCs w:val="24"/>
        </w:rPr>
      </w:pPr>
    </w:p>
    <w:p w14:paraId="7F358140" w14:textId="77777777" w:rsidR="004204FF" w:rsidRDefault="004204FF" w:rsidP="003A775B">
      <w:pPr>
        <w:spacing w:line="240" w:lineRule="auto"/>
        <w:rPr>
          <w:rFonts w:ascii="Times New Roman" w:eastAsia="Times New Roman" w:hAnsi="Times New Roman" w:cs="Times New Roman"/>
          <w:sz w:val="24"/>
          <w:szCs w:val="24"/>
        </w:rPr>
      </w:pPr>
    </w:p>
    <w:p w14:paraId="42AC7128"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3. </w:t>
      </w:r>
    </w:p>
    <w:p w14:paraId="6C7DDD93" w14:textId="77777777" w:rsidR="004204FF" w:rsidRDefault="004E35BA" w:rsidP="003A775B">
      <w:pPr>
        <w:spacing w:line="240" w:lineRule="auto"/>
        <w:rPr>
          <w:rFonts w:ascii="Times New Roman" w:eastAsia="Times New Roman" w:hAnsi="Times New Roman" w:cs="Times New Roman"/>
          <w:i/>
          <w:iCs/>
          <w:color w:val="010205"/>
          <w:sz w:val="24"/>
          <w:szCs w:val="24"/>
        </w:rPr>
      </w:pPr>
      <w:r>
        <w:rPr>
          <w:rFonts w:ascii="Times New Roman" w:eastAsia="Times New Roman" w:hAnsi="Times New Roman" w:cs="Times New Roman"/>
          <w:i/>
          <w:iCs/>
          <w:color w:val="010205"/>
          <w:sz w:val="24"/>
          <w:szCs w:val="24"/>
        </w:rPr>
        <w:t>Level of Self-Medication Practices Among Old Adults</w:t>
      </w:r>
      <w:r>
        <w:rPr>
          <w:rFonts w:ascii="Times New Roman" w:eastAsia="Times New Roman" w:hAnsi="Times New Roman" w:cs="Times New Roman"/>
          <w:color w:val="010205"/>
          <w:sz w:val="24"/>
          <w:szCs w:val="24"/>
        </w:rPr>
        <w:t xml:space="preserve"> </w:t>
      </w:r>
      <w:r>
        <w:rPr>
          <w:rFonts w:ascii="Times New Roman" w:eastAsia="Times New Roman" w:hAnsi="Times New Roman" w:cs="Times New Roman"/>
          <w:i/>
          <w:iCs/>
          <w:color w:val="010205"/>
          <w:sz w:val="24"/>
          <w:szCs w:val="24"/>
        </w:rPr>
        <w:t>(n=186).</w:t>
      </w:r>
    </w:p>
    <w:tbl>
      <w:tblPr>
        <w:tblStyle w:val="a5"/>
        <w:tblW w:w="78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4965"/>
        <w:gridCol w:w="1530"/>
        <w:gridCol w:w="1395"/>
      </w:tblGrid>
      <w:tr w:rsidR="004204FF" w14:paraId="274AC2FD" w14:textId="77777777">
        <w:trPr>
          <w:cantSplit/>
        </w:trPr>
        <w:tc>
          <w:tcPr>
            <w:tcW w:w="7890" w:type="dxa"/>
            <w:gridSpan w:val="3"/>
            <w:tcBorders>
              <w:top w:val="nil"/>
              <w:left w:val="nil"/>
              <w:bottom w:val="single" w:sz="4" w:space="0" w:color="000000"/>
              <w:right w:val="nil"/>
            </w:tcBorders>
          </w:tcPr>
          <w:p w14:paraId="33AA4CA2" w14:textId="77777777" w:rsidR="004204FF" w:rsidRDefault="004204FF" w:rsidP="003A775B">
            <w:pPr>
              <w:spacing w:line="240" w:lineRule="auto"/>
              <w:ind w:right="60"/>
              <w:rPr>
                <w:rFonts w:ascii="Times New Roman" w:eastAsia="Times New Roman" w:hAnsi="Times New Roman" w:cs="Times New Roman"/>
                <w:color w:val="010205"/>
                <w:sz w:val="24"/>
                <w:szCs w:val="24"/>
              </w:rPr>
            </w:pPr>
          </w:p>
        </w:tc>
      </w:tr>
      <w:tr w:rsidR="004204FF" w14:paraId="79AD1D11" w14:textId="77777777">
        <w:trPr>
          <w:cantSplit/>
          <w:trHeight w:val="270"/>
        </w:trPr>
        <w:tc>
          <w:tcPr>
            <w:tcW w:w="4965" w:type="dxa"/>
            <w:tcBorders>
              <w:top w:val="single" w:sz="4" w:space="0" w:color="000000"/>
              <w:left w:val="nil"/>
              <w:bottom w:val="single" w:sz="4" w:space="0" w:color="000000"/>
              <w:right w:val="nil"/>
            </w:tcBorders>
            <w:vAlign w:val="bottom"/>
          </w:tcPr>
          <w:p w14:paraId="7A27191B"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Items</w:t>
            </w:r>
          </w:p>
        </w:tc>
        <w:tc>
          <w:tcPr>
            <w:tcW w:w="1530" w:type="dxa"/>
            <w:tcBorders>
              <w:top w:val="single" w:sz="4" w:space="0" w:color="000000"/>
              <w:left w:val="nil"/>
              <w:bottom w:val="single" w:sz="4" w:space="0" w:color="000000"/>
              <w:right w:val="single" w:sz="8" w:space="0" w:color="FFFFFF"/>
            </w:tcBorders>
            <w:vAlign w:val="bottom"/>
          </w:tcPr>
          <w:p w14:paraId="48FB1FA9" w14:textId="77777777" w:rsidR="004204FF" w:rsidRDefault="004E35BA" w:rsidP="003A775B">
            <w:pPr>
              <w:spacing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395" w:type="dxa"/>
            <w:tcBorders>
              <w:top w:val="single" w:sz="4" w:space="0" w:color="000000"/>
              <w:left w:val="single" w:sz="8" w:space="0" w:color="FFFFFF"/>
              <w:bottom w:val="single" w:sz="4" w:space="0" w:color="000000"/>
              <w:right w:val="single" w:sz="8" w:space="0" w:color="FFFFFF"/>
            </w:tcBorders>
            <w:vAlign w:val="bottom"/>
          </w:tcPr>
          <w:p w14:paraId="64FA842A" w14:textId="77777777" w:rsidR="004204FF" w:rsidRDefault="004E35BA" w:rsidP="003A775B">
            <w:pPr>
              <w:spacing w:line="24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r>
      <w:tr w:rsidR="004204FF" w14:paraId="0B3883C3" w14:textId="77777777">
        <w:trPr>
          <w:cantSplit/>
        </w:trPr>
        <w:tc>
          <w:tcPr>
            <w:tcW w:w="4965" w:type="dxa"/>
            <w:tcBorders>
              <w:top w:val="nil"/>
              <w:left w:val="nil"/>
              <w:bottom w:val="nil"/>
              <w:right w:val="nil"/>
            </w:tcBorders>
          </w:tcPr>
          <w:p w14:paraId="0140FEE7" w14:textId="77777777" w:rsidR="004204FF" w:rsidRDefault="004E35BA" w:rsidP="003A775B">
            <w:pPr>
              <w:spacing w:line="240" w:lineRule="auto"/>
              <w:ind w:right="60"/>
              <w:rPr>
                <w:rFonts w:ascii="Times New Roman" w:eastAsia="Times New Roman" w:hAnsi="Times New Roman" w:cs="Times New Roman"/>
                <w:color w:val="010205"/>
              </w:rPr>
            </w:pPr>
            <w:r>
              <w:rPr>
                <w:rFonts w:ascii="Times New Roman" w:eastAsia="Times New Roman" w:hAnsi="Times New Roman" w:cs="Times New Roman"/>
              </w:rPr>
              <w:t xml:space="preserve">I </w:t>
            </w:r>
            <w:r>
              <w:rPr>
                <w:rFonts w:ascii="Times New Roman" w:eastAsia="Times New Roman" w:hAnsi="Times New Roman" w:cs="Times New Roman"/>
                <w:color w:val="010205"/>
              </w:rPr>
              <w:t xml:space="preserve">am encouraged by my family or friends to take </w:t>
            </w:r>
          </w:p>
          <w:p w14:paraId="357FA2C9" w14:textId="77777777" w:rsidR="004204FF" w:rsidRDefault="004E35BA" w:rsidP="003A775B">
            <w:pPr>
              <w:spacing w:line="240" w:lineRule="auto"/>
              <w:ind w:left="720" w:right="57"/>
              <w:rPr>
                <w:rFonts w:ascii="Times New Roman" w:eastAsia="Times New Roman" w:hAnsi="Times New Roman" w:cs="Times New Roman"/>
              </w:rPr>
            </w:pPr>
            <w:r>
              <w:rPr>
                <w:rFonts w:ascii="Times New Roman" w:eastAsia="Times New Roman" w:hAnsi="Times New Roman" w:cs="Times New Roman"/>
                <w:color w:val="010205"/>
              </w:rPr>
              <w:t>over-the-counter medication.</w:t>
            </w:r>
          </w:p>
        </w:tc>
        <w:tc>
          <w:tcPr>
            <w:tcW w:w="1530" w:type="dxa"/>
            <w:tcBorders>
              <w:top w:val="nil"/>
              <w:left w:val="nil"/>
              <w:bottom w:val="nil"/>
              <w:right w:val="nil"/>
            </w:tcBorders>
          </w:tcPr>
          <w:p w14:paraId="7C94BBB4"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1.95</w:t>
            </w:r>
          </w:p>
        </w:tc>
        <w:tc>
          <w:tcPr>
            <w:tcW w:w="1395" w:type="dxa"/>
            <w:tcBorders>
              <w:top w:val="nil"/>
              <w:left w:val="nil"/>
              <w:bottom w:val="nil"/>
              <w:right w:val="nil"/>
            </w:tcBorders>
          </w:tcPr>
          <w:p w14:paraId="70F1E704"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1.01</w:t>
            </w:r>
          </w:p>
        </w:tc>
      </w:tr>
      <w:tr w:rsidR="004204FF" w14:paraId="3622B8E6" w14:textId="77777777">
        <w:trPr>
          <w:cantSplit/>
        </w:trPr>
        <w:tc>
          <w:tcPr>
            <w:tcW w:w="4965" w:type="dxa"/>
            <w:tcBorders>
              <w:top w:val="nil"/>
              <w:left w:val="nil"/>
              <w:bottom w:val="nil"/>
              <w:right w:val="nil"/>
            </w:tcBorders>
          </w:tcPr>
          <w:p w14:paraId="12237455" w14:textId="77777777" w:rsidR="004204FF" w:rsidRDefault="004E35BA" w:rsidP="003A775B">
            <w:pPr>
              <w:spacing w:line="240" w:lineRule="auto"/>
              <w:ind w:right="60"/>
              <w:rPr>
                <w:rFonts w:ascii="Times New Roman" w:eastAsia="Times New Roman" w:hAnsi="Times New Roman" w:cs="Times New Roman"/>
              </w:rPr>
            </w:pPr>
            <w:r>
              <w:rPr>
                <w:rFonts w:ascii="Times New Roman" w:eastAsia="Times New Roman" w:hAnsi="Times New Roman" w:cs="Times New Roman"/>
              </w:rPr>
              <w:t xml:space="preserve">I engage in self-medication due to limited access to a </w:t>
            </w:r>
          </w:p>
          <w:p w14:paraId="7532A5F6" w14:textId="77777777" w:rsidR="004204FF" w:rsidRDefault="004E35BA" w:rsidP="003A775B">
            <w:pPr>
              <w:spacing w:line="240" w:lineRule="auto"/>
              <w:ind w:left="720" w:right="57"/>
              <w:rPr>
                <w:rFonts w:ascii="Times New Roman" w:eastAsia="Times New Roman" w:hAnsi="Times New Roman" w:cs="Times New Roman"/>
              </w:rPr>
            </w:pPr>
            <w:r>
              <w:rPr>
                <w:rFonts w:ascii="Times New Roman" w:eastAsia="Times New Roman" w:hAnsi="Times New Roman" w:cs="Times New Roman"/>
              </w:rPr>
              <w:t>physician or other healthcare providers.</w:t>
            </w:r>
          </w:p>
        </w:tc>
        <w:tc>
          <w:tcPr>
            <w:tcW w:w="1530" w:type="dxa"/>
            <w:tcBorders>
              <w:top w:val="nil"/>
              <w:left w:val="nil"/>
              <w:bottom w:val="nil"/>
              <w:right w:val="nil"/>
            </w:tcBorders>
          </w:tcPr>
          <w:p w14:paraId="3315BA57"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1.80</w:t>
            </w:r>
          </w:p>
        </w:tc>
        <w:tc>
          <w:tcPr>
            <w:tcW w:w="1395" w:type="dxa"/>
            <w:tcBorders>
              <w:top w:val="nil"/>
              <w:left w:val="nil"/>
              <w:bottom w:val="nil"/>
              <w:right w:val="nil"/>
            </w:tcBorders>
          </w:tcPr>
          <w:p w14:paraId="639A6BB4"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1.09</w:t>
            </w:r>
          </w:p>
        </w:tc>
      </w:tr>
      <w:tr w:rsidR="004204FF" w14:paraId="1D953FF4" w14:textId="77777777">
        <w:trPr>
          <w:cantSplit/>
        </w:trPr>
        <w:tc>
          <w:tcPr>
            <w:tcW w:w="4965" w:type="dxa"/>
            <w:tcBorders>
              <w:top w:val="nil"/>
              <w:left w:val="nil"/>
              <w:bottom w:val="nil"/>
              <w:right w:val="nil"/>
            </w:tcBorders>
          </w:tcPr>
          <w:p w14:paraId="6D1C2798" w14:textId="77777777" w:rsidR="004204FF" w:rsidRDefault="004E35BA" w:rsidP="003A775B">
            <w:pPr>
              <w:spacing w:line="240" w:lineRule="auto"/>
              <w:ind w:right="60"/>
              <w:rPr>
                <w:rFonts w:ascii="Times New Roman" w:eastAsia="Times New Roman" w:hAnsi="Times New Roman" w:cs="Times New Roman"/>
              </w:rPr>
            </w:pPr>
            <w:r>
              <w:rPr>
                <w:rFonts w:ascii="Times New Roman" w:eastAsia="Times New Roman" w:hAnsi="Times New Roman" w:cs="Times New Roman"/>
                <w:sz w:val="24"/>
                <w:szCs w:val="24"/>
              </w:rPr>
              <w:t xml:space="preserve">I </w:t>
            </w:r>
            <w:r>
              <w:rPr>
                <w:rFonts w:ascii="Times New Roman" w:eastAsia="Times New Roman" w:hAnsi="Times New Roman" w:cs="Times New Roman"/>
              </w:rPr>
              <w:t xml:space="preserve">believed the medicines I took for self-medication </w:t>
            </w:r>
          </w:p>
          <w:p w14:paraId="6C27DC77" w14:textId="77777777" w:rsidR="004204FF" w:rsidRDefault="004E35BA" w:rsidP="003A775B">
            <w:pPr>
              <w:spacing w:line="240" w:lineRule="auto"/>
              <w:ind w:left="720" w:right="57"/>
              <w:rPr>
                <w:rFonts w:ascii="Times New Roman" w:eastAsia="Times New Roman" w:hAnsi="Times New Roman" w:cs="Times New Roman"/>
              </w:rPr>
            </w:pPr>
            <w:r>
              <w:rPr>
                <w:rFonts w:ascii="Times New Roman" w:eastAsia="Times New Roman" w:hAnsi="Times New Roman" w:cs="Times New Roman"/>
              </w:rPr>
              <w:t>were safe.</w:t>
            </w:r>
          </w:p>
        </w:tc>
        <w:tc>
          <w:tcPr>
            <w:tcW w:w="1530" w:type="dxa"/>
            <w:tcBorders>
              <w:top w:val="nil"/>
              <w:left w:val="nil"/>
              <w:bottom w:val="nil"/>
              <w:right w:val="nil"/>
            </w:tcBorders>
          </w:tcPr>
          <w:p w14:paraId="5041B0F3"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1.76</w:t>
            </w:r>
          </w:p>
        </w:tc>
        <w:tc>
          <w:tcPr>
            <w:tcW w:w="1395" w:type="dxa"/>
            <w:tcBorders>
              <w:top w:val="nil"/>
              <w:left w:val="nil"/>
              <w:bottom w:val="nil"/>
              <w:right w:val="nil"/>
            </w:tcBorders>
          </w:tcPr>
          <w:p w14:paraId="032E2D87"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1.1</w:t>
            </w:r>
          </w:p>
        </w:tc>
      </w:tr>
      <w:tr w:rsidR="004204FF" w14:paraId="2A191822" w14:textId="77777777">
        <w:trPr>
          <w:cantSplit/>
        </w:trPr>
        <w:tc>
          <w:tcPr>
            <w:tcW w:w="4965" w:type="dxa"/>
            <w:tcBorders>
              <w:top w:val="nil"/>
              <w:left w:val="nil"/>
              <w:bottom w:val="nil"/>
              <w:right w:val="nil"/>
            </w:tcBorders>
          </w:tcPr>
          <w:p w14:paraId="01C3380E" w14:textId="77777777" w:rsidR="004204FF" w:rsidRDefault="004E35BA" w:rsidP="003A775B">
            <w:pPr>
              <w:spacing w:line="240" w:lineRule="auto"/>
              <w:ind w:right="60"/>
              <w:rPr>
                <w:rFonts w:ascii="Times New Roman" w:eastAsia="Times New Roman" w:hAnsi="Times New Roman" w:cs="Times New Roman"/>
              </w:rPr>
            </w:pPr>
            <w:r>
              <w:rPr>
                <w:rFonts w:ascii="Times New Roman" w:eastAsia="Times New Roman" w:hAnsi="Times New Roman" w:cs="Times New Roman"/>
              </w:rPr>
              <w:t xml:space="preserve">I avoid going to the doctor because consultation fees </w:t>
            </w:r>
          </w:p>
          <w:p w14:paraId="394A3559" w14:textId="77777777" w:rsidR="004204FF" w:rsidRDefault="004E35BA" w:rsidP="003A775B">
            <w:pPr>
              <w:spacing w:line="240" w:lineRule="auto"/>
              <w:ind w:left="720" w:right="57"/>
              <w:rPr>
                <w:rFonts w:ascii="Times New Roman" w:eastAsia="Times New Roman" w:hAnsi="Times New Roman" w:cs="Times New Roman"/>
              </w:rPr>
            </w:pPr>
            <w:r>
              <w:rPr>
                <w:rFonts w:ascii="Times New Roman" w:eastAsia="Times New Roman" w:hAnsi="Times New Roman" w:cs="Times New Roman"/>
              </w:rPr>
              <w:t>are too high.</w:t>
            </w:r>
          </w:p>
        </w:tc>
        <w:tc>
          <w:tcPr>
            <w:tcW w:w="1530" w:type="dxa"/>
            <w:tcBorders>
              <w:top w:val="nil"/>
              <w:left w:val="nil"/>
              <w:bottom w:val="nil"/>
              <w:right w:val="nil"/>
            </w:tcBorders>
          </w:tcPr>
          <w:p w14:paraId="6EED5D04"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1.61</w:t>
            </w:r>
          </w:p>
        </w:tc>
        <w:tc>
          <w:tcPr>
            <w:tcW w:w="1395" w:type="dxa"/>
            <w:tcBorders>
              <w:top w:val="nil"/>
              <w:left w:val="nil"/>
              <w:bottom w:val="nil"/>
              <w:right w:val="nil"/>
            </w:tcBorders>
          </w:tcPr>
          <w:p w14:paraId="23165073"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1.2</w:t>
            </w:r>
          </w:p>
        </w:tc>
      </w:tr>
      <w:tr w:rsidR="004204FF" w14:paraId="15C0C51F" w14:textId="77777777">
        <w:trPr>
          <w:cantSplit/>
        </w:trPr>
        <w:tc>
          <w:tcPr>
            <w:tcW w:w="4965" w:type="dxa"/>
            <w:tcBorders>
              <w:top w:val="nil"/>
              <w:left w:val="nil"/>
              <w:bottom w:val="nil"/>
              <w:right w:val="nil"/>
            </w:tcBorders>
          </w:tcPr>
          <w:p w14:paraId="1FBF875A" w14:textId="77777777" w:rsidR="004204FF" w:rsidRDefault="004E35BA" w:rsidP="003A775B">
            <w:pPr>
              <w:spacing w:line="24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do not have health insurance, so I prefer </w:t>
            </w:r>
          </w:p>
          <w:p w14:paraId="11B8479D" w14:textId="77777777" w:rsidR="004204FF" w:rsidRDefault="004E35BA" w:rsidP="003A775B">
            <w:pPr>
              <w:spacing w:line="240" w:lineRule="auto"/>
              <w:ind w:left="720" w:right="57"/>
              <w:rPr>
                <w:rFonts w:ascii="Times New Roman" w:eastAsia="Times New Roman" w:hAnsi="Times New Roman" w:cs="Times New Roman"/>
              </w:rPr>
            </w:pPr>
            <w:r>
              <w:rPr>
                <w:rFonts w:ascii="Times New Roman" w:eastAsia="Times New Roman" w:hAnsi="Times New Roman" w:cs="Times New Roman"/>
                <w:sz w:val="24"/>
                <w:szCs w:val="24"/>
              </w:rPr>
              <w:t>self-medication.</w:t>
            </w:r>
          </w:p>
        </w:tc>
        <w:tc>
          <w:tcPr>
            <w:tcW w:w="1530" w:type="dxa"/>
            <w:tcBorders>
              <w:top w:val="nil"/>
              <w:left w:val="nil"/>
              <w:bottom w:val="nil"/>
              <w:right w:val="nil"/>
            </w:tcBorders>
          </w:tcPr>
          <w:p w14:paraId="65A00330"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1.55</w:t>
            </w:r>
          </w:p>
        </w:tc>
        <w:tc>
          <w:tcPr>
            <w:tcW w:w="1395" w:type="dxa"/>
            <w:tcBorders>
              <w:top w:val="nil"/>
              <w:left w:val="nil"/>
              <w:bottom w:val="nil"/>
              <w:right w:val="nil"/>
            </w:tcBorders>
          </w:tcPr>
          <w:p w14:paraId="46A72845"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1.02</w:t>
            </w:r>
          </w:p>
        </w:tc>
      </w:tr>
      <w:tr w:rsidR="004204FF" w14:paraId="375E1D89" w14:textId="77777777">
        <w:trPr>
          <w:cantSplit/>
        </w:trPr>
        <w:tc>
          <w:tcPr>
            <w:tcW w:w="4965" w:type="dxa"/>
            <w:tcBorders>
              <w:top w:val="nil"/>
              <w:left w:val="nil"/>
              <w:bottom w:val="nil"/>
              <w:right w:val="nil"/>
            </w:tcBorders>
          </w:tcPr>
          <w:p w14:paraId="1F56F8E0" w14:textId="77777777" w:rsidR="004204FF" w:rsidRDefault="004E35BA" w:rsidP="003A775B">
            <w:pPr>
              <w:spacing w:line="240" w:lineRule="auto"/>
              <w:ind w:right="60"/>
              <w:rPr>
                <w:rFonts w:ascii="Times New Roman" w:eastAsia="Times New Roman" w:hAnsi="Times New Roman" w:cs="Times New Roman"/>
              </w:rPr>
            </w:pPr>
            <w:r>
              <w:rPr>
                <w:rFonts w:ascii="Times New Roman" w:eastAsia="Times New Roman" w:hAnsi="Times New Roman" w:cs="Times New Roman"/>
                <w:sz w:val="24"/>
                <w:szCs w:val="24"/>
              </w:rPr>
              <w:t>I</w:t>
            </w:r>
            <w:r>
              <w:rPr>
                <w:rFonts w:ascii="Times New Roman" w:eastAsia="Times New Roman" w:hAnsi="Times New Roman" w:cs="Times New Roman"/>
              </w:rPr>
              <w:t xml:space="preserve"> self-medicate because medicines are readily </w:t>
            </w:r>
          </w:p>
          <w:p w14:paraId="66966F35" w14:textId="77777777" w:rsidR="004204FF" w:rsidRDefault="004E35BA" w:rsidP="003A775B">
            <w:pPr>
              <w:spacing w:line="240" w:lineRule="auto"/>
              <w:ind w:left="720" w:right="57"/>
              <w:rPr>
                <w:rFonts w:ascii="Times New Roman" w:eastAsia="Times New Roman" w:hAnsi="Times New Roman" w:cs="Times New Roman"/>
              </w:rPr>
            </w:pPr>
            <w:r>
              <w:rPr>
                <w:rFonts w:ascii="Times New Roman" w:eastAsia="Times New Roman" w:hAnsi="Times New Roman" w:cs="Times New Roman"/>
              </w:rPr>
              <w:t xml:space="preserve">available. </w:t>
            </w:r>
          </w:p>
        </w:tc>
        <w:tc>
          <w:tcPr>
            <w:tcW w:w="1530" w:type="dxa"/>
            <w:tcBorders>
              <w:top w:val="nil"/>
              <w:left w:val="nil"/>
              <w:bottom w:val="nil"/>
              <w:right w:val="nil"/>
            </w:tcBorders>
          </w:tcPr>
          <w:p w14:paraId="3435292F"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1.55</w:t>
            </w:r>
          </w:p>
        </w:tc>
        <w:tc>
          <w:tcPr>
            <w:tcW w:w="1395" w:type="dxa"/>
            <w:tcBorders>
              <w:top w:val="nil"/>
              <w:left w:val="nil"/>
              <w:bottom w:val="nil"/>
              <w:right w:val="nil"/>
            </w:tcBorders>
          </w:tcPr>
          <w:p w14:paraId="7679BD3F"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0.90</w:t>
            </w:r>
          </w:p>
        </w:tc>
      </w:tr>
      <w:tr w:rsidR="004204FF" w14:paraId="5645F45B" w14:textId="77777777">
        <w:trPr>
          <w:cantSplit/>
        </w:trPr>
        <w:tc>
          <w:tcPr>
            <w:tcW w:w="4965" w:type="dxa"/>
            <w:tcBorders>
              <w:top w:val="nil"/>
              <w:left w:val="nil"/>
              <w:bottom w:val="nil"/>
              <w:right w:val="nil"/>
            </w:tcBorders>
          </w:tcPr>
          <w:p w14:paraId="309FF028" w14:textId="77777777" w:rsidR="004204FF" w:rsidRDefault="004E35BA" w:rsidP="003A775B">
            <w:pPr>
              <w:spacing w:line="24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continue self-medicating even when the </w:t>
            </w:r>
          </w:p>
          <w:p w14:paraId="02CCEAC7" w14:textId="77777777" w:rsidR="004204FF" w:rsidRDefault="004E35BA" w:rsidP="003A775B">
            <w:pPr>
              <w:spacing w:line="240" w:lineRule="auto"/>
              <w:ind w:left="720" w:right="57"/>
              <w:rPr>
                <w:rFonts w:ascii="Times New Roman" w:eastAsia="Times New Roman" w:hAnsi="Times New Roman" w:cs="Times New Roman"/>
              </w:rPr>
            </w:pPr>
            <w:r>
              <w:rPr>
                <w:rFonts w:ascii="Times New Roman" w:eastAsia="Times New Roman" w:hAnsi="Times New Roman" w:cs="Times New Roman"/>
                <w:sz w:val="24"/>
                <w:szCs w:val="24"/>
              </w:rPr>
              <w:t>medication is no longer effective.</w:t>
            </w:r>
          </w:p>
        </w:tc>
        <w:tc>
          <w:tcPr>
            <w:tcW w:w="1530" w:type="dxa"/>
            <w:tcBorders>
              <w:top w:val="nil"/>
              <w:left w:val="nil"/>
              <w:bottom w:val="nil"/>
              <w:right w:val="nil"/>
            </w:tcBorders>
          </w:tcPr>
          <w:p w14:paraId="0A578945"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1.49</w:t>
            </w:r>
          </w:p>
        </w:tc>
        <w:tc>
          <w:tcPr>
            <w:tcW w:w="1395" w:type="dxa"/>
            <w:tcBorders>
              <w:top w:val="nil"/>
              <w:left w:val="nil"/>
              <w:bottom w:val="nil"/>
              <w:right w:val="nil"/>
            </w:tcBorders>
          </w:tcPr>
          <w:p w14:paraId="5B39DFA7"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0.99</w:t>
            </w:r>
          </w:p>
        </w:tc>
      </w:tr>
      <w:tr w:rsidR="004204FF" w14:paraId="09D6C12F" w14:textId="77777777">
        <w:trPr>
          <w:cantSplit/>
        </w:trPr>
        <w:tc>
          <w:tcPr>
            <w:tcW w:w="4965" w:type="dxa"/>
            <w:tcBorders>
              <w:top w:val="nil"/>
              <w:left w:val="nil"/>
              <w:bottom w:val="nil"/>
              <w:right w:val="nil"/>
            </w:tcBorders>
          </w:tcPr>
          <w:p w14:paraId="54BC2ACA" w14:textId="77777777" w:rsidR="004204FF" w:rsidRDefault="004E35BA" w:rsidP="003A775B">
            <w:pPr>
              <w:spacing w:line="240" w:lineRule="auto"/>
              <w:ind w:right="60"/>
              <w:rPr>
                <w:rFonts w:ascii="Times New Roman" w:eastAsia="Times New Roman" w:hAnsi="Times New Roman" w:cs="Times New Roman"/>
              </w:rPr>
            </w:pPr>
            <w:r>
              <w:rPr>
                <w:rFonts w:ascii="Times New Roman" w:eastAsia="Times New Roman" w:hAnsi="Times New Roman" w:cs="Times New Roman"/>
                <w:sz w:val="24"/>
                <w:szCs w:val="24"/>
              </w:rPr>
              <w:lastRenderedPageBreak/>
              <w:t xml:space="preserve">I </w:t>
            </w:r>
            <w:r>
              <w:rPr>
                <w:rFonts w:ascii="Times New Roman" w:eastAsia="Times New Roman" w:hAnsi="Times New Roman" w:cs="Times New Roman"/>
              </w:rPr>
              <w:t xml:space="preserve">believed the medicines I took for self-medication </w:t>
            </w:r>
          </w:p>
          <w:p w14:paraId="51C25828" w14:textId="77777777" w:rsidR="004204FF" w:rsidRDefault="004E35BA" w:rsidP="003A775B">
            <w:pPr>
              <w:spacing w:line="240" w:lineRule="auto"/>
              <w:ind w:left="720" w:right="57"/>
              <w:rPr>
                <w:rFonts w:ascii="Times New Roman" w:eastAsia="Times New Roman" w:hAnsi="Times New Roman" w:cs="Times New Roman"/>
              </w:rPr>
            </w:pPr>
            <w:r>
              <w:rPr>
                <w:rFonts w:ascii="Times New Roman" w:eastAsia="Times New Roman" w:hAnsi="Times New Roman" w:cs="Times New Roman"/>
              </w:rPr>
              <w:t>were safe.</w:t>
            </w:r>
          </w:p>
        </w:tc>
        <w:tc>
          <w:tcPr>
            <w:tcW w:w="1530" w:type="dxa"/>
            <w:tcBorders>
              <w:top w:val="nil"/>
              <w:left w:val="nil"/>
              <w:bottom w:val="nil"/>
              <w:right w:val="nil"/>
            </w:tcBorders>
          </w:tcPr>
          <w:p w14:paraId="27BCC907"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1.44</w:t>
            </w:r>
          </w:p>
        </w:tc>
        <w:tc>
          <w:tcPr>
            <w:tcW w:w="1395" w:type="dxa"/>
            <w:tcBorders>
              <w:top w:val="nil"/>
              <w:left w:val="nil"/>
              <w:bottom w:val="nil"/>
              <w:right w:val="nil"/>
            </w:tcBorders>
          </w:tcPr>
          <w:p w14:paraId="1078EADC"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0.86</w:t>
            </w:r>
          </w:p>
        </w:tc>
      </w:tr>
      <w:tr w:rsidR="004204FF" w14:paraId="0B3A63BD" w14:textId="77777777">
        <w:trPr>
          <w:cantSplit/>
        </w:trPr>
        <w:tc>
          <w:tcPr>
            <w:tcW w:w="4965" w:type="dxa"/>
            <w:tcBorders>
              <w:top w:val="nil"/>
              <w:left w:val="nil"/>
              <w:bottom w:val="nil"/>
              <w:right w:val="nil"/>
            </w:tcBorders>
          </w:tcPr>
          <w:p w14:paraId="0EBDD196" w14:textId="77777777" w:rsidR="004204FF" w:rsidRDefault="004E35BA" w:rsidP="003A775B">
            <w:pPr>
              <w:spacing w:line="240" w:lineRule="auto"/>
              <w:ind w:right="60"/>
              <w:rPr>
                <w:rFonts w:ascii="Times New Roman" w:eastAsia="Times New Roman" w:hAnsi="Times New Roman" w:cs="Times New Roman"/>
              </w:rPr>
            </w:pPr>
            <w:r>
              <w:rPr>
                <w:rFonts w:ascii="Times New Roman" w:eastAsia="Times New Roman" w:hAnsi="Times New Roman" w:cs="Times New Roman"/>
                <w:sz w:val="24"/>
                <w:szCs w:val="24"/>
              </w:rPr>
              <w:t xml:space="preserve">I </w:t>
            </w:r>
            <w:r>
              <w:rPr>
                <w:rFonts w:ascii="Times New Roman" w:eastAsia="Times New Roman" w:hAnsi="Times New Roman" w:cs="Times New Roman"/>
              </w:rPr>
              <w:t xml:space="preserve">practiced self-medication because of previous </w:t>
            </w:r>
          </w:p>
          <w:p w14:paraId="231E3319" w14:textId="77777777" w:rsidR="004204FF" w:rsidRDefault="004E35BA" w:rsidP="003A775B">
            <w:pPr>
              <w:spacing w:line="240" w:lineRule="auto"/>
              <w:ind w:left="720" w:right="57"/>
              <w:rPr>
                <w:rFonts w:ascii="Times New Roman" w:eastAsia="Times New Roman" w:hAnsi="Times New Roman" w:cs="Times New Roman"/>
              </w:rPr>
            </w:pPr>
            <w:r>
              <w:rPr>
                <w:rFonts w:ascii="Times New Roman" w:eastAsia="Times New Roman" w:hAnsi="Times New Roman" w:cs="Times New Roman"/>
              </w:rPr>
              <w:t>positive results.</w:t>
            </w:r>
          </w:p>
        </w:tc>
        <w:tc>
          <w:tcPr>
            <w:tcW w:w="1530" w:type="dxa"/>
            <w:tcBorders>
              <w:top w:val="nil"/>
              <w:left w:val="nil"/>
              <w:bottom w:val="nil"/>
              <w:right w:val="nil"/>
            </w:tcBorders>
          </w:tcPr>
          <w:p w14:paraId="589B041F"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1.44</w:t>
            </w:r>
          </w:p>
        </w:tc>
        <w:tc>
          <w:tcPr>
            <w:tcW w:w="1395" w:type="dxa"/>
            <w:tcBorders>
              <w:top w:val="nil"/>
              <w:left w:val="nil"/>
              <w:bottom w:val="nil"/>
              <w:right w:val="nil"/>
            </w:tcBorders>
          </w:tcPr>
          <w:p w14:paraId="4DFA0263" w14:textId="77777777" w:rsidR="004204FF" w:rsidRDefault="004E35BA" w:rsidP="003A775B">
            <w:pPr>
              <w:spacing w:line="240" w:lineRule="auto"/>
              <w:ind w:left="60" w:right="60"/>
              <w:jc w:val="center"/>
              <w:rPr>
                <w:rFonts w:ascii="Times New Roman" w:eastAsia="Times New Roman" w:hAnsi="Times New Roman" w:cs="Times New Roman"/>
              </w:rPr>
            </w:pPr>
            <w:r>
              <w:rPr>
                <w:rFonts w:ascii="Times New Roman" w:eastAsia="Times New Roman" w:hAnsi="Times New Roman" w:cs="Times New Roman"/>
              </w:rPr>
              <w:t>0.86</w:t>
            </w:r>
          </w:p>
        </w:tc>
      </w:tr>
      <w:tr w:rsidR="004204FF" w14:paraId="23726CFE" w14:textId="77777777">
        <w:trPr>
          <w:cantSplit/>
        </w:trPr>
        <w:tc>
          <w:tcPr>
            <w:tcW w:w="4965" w:type="dxa"/>
            <w:tcBorders>
              <w:top w:val="nil"/>
              <w:left w:val="nil"/>
              <w:bottom w:val="single" w:sz="4" w:space="0" w:color="000000"/>
              <w:right w:val="nil"/>
            </w:tcBorders>
          </w:tcPr>
          <w:p w14:paraId="5A10FFFB" w14:textId="77777777" w:rsidR="004204FF" w:rsidRDefault="004204FF" w:rsidP="003A775B">
            <w:pPr>
              <w:spacing w:line="240" w:lineRule="auto"/>
              <w:ind w:left="284" w:right="60"/>
              <w:rPr>
                <w:rFonts w:ascii="Times New Roman" w:eastAsia="Times New Roman" w:hAnsi="Times New Roman" w:cs="Times New Roman"/>
              </w:rPr>
            </w:pPr>
          </w:p>
        </w:tc>
        <w:tc>
          <w:tcPr>
            <w:tcW w:w="1530" w:type="dxa"/>
            <w:tcBorders>
              <w:top w:val="nil"/>
              <w:left w:val="nil"/>
              <w:bottom w:val="single" w:sz="4" w:space="0" w:color="000000"/>
              <w:right w:val="nil"/>
            </w:tcBorders>
          </w:tcPr>
          <w:p w14:paraId="59393479" w14:textId="77777777" w:rsidR="004204FF" w:rsidRDefault="004204FF" w:rsidP="003A775B">
            <w:pPr>
              <w:spacing w:line="240" w:lineRule="auto"/>
              <w:ind w:left="60" w:right="60"/>
              <w:jc w:val="center"/>
              <w:rPr>
                <w:rFonts w:ascii="Times New Roman" w:eastAsia="Times New Roman" w:hAnsi="Times New Roman" w:cs="Times New Roman"/>
              </w:rPr>
            </w:pPr>
          </w:p>
        </w:tc>
        <w:tc>
          <w:tcPr>
            <w:tcW w:w="1395" w:type="dxa"/>
            <w:tcBorders>
              <w:top w:val="nil"/>
              <w:left w:val="nil"/>
              <w:bottom w:val="single" w:sz="4" w:space="0" w:color="000000"/>
              <w:right w:val="nil"/>
            </w:tcBorders>
          </w:tcPr>
          <w:p w14:paraId="029EDC34" w14:textId="77777777" w:rsidR="004204FF" w:rsidRDefault="004204FF" w:rsidP="003A775B">
            <w:pPr>
              <w:spacing w:line="240" w:lineRule="auto"/>
              <w:ind w:left="60" w:right="60"/>
              <w:jc w:val="center"/>
              <w:rPr>
                <w:rFonts w:ascii="Times New Roman" w:eastAsia="Times New Roman" w:hAnsi="Times New Roman" w:cs="Times New Roman"/>
              </w:rPr>
            </w:pPr>
          </w:p>
        </w:tc>
      </w:tr>
      <w:tr w:rsidR="004204FF" w14:paraId="68F407DA" w14:textId="77777777">
        <w:trPr>
          <w:cantSplit/>
        </w:trPr>
        <w:tc>
          <w:tcPr>
            <w:tcW w:w="7890" w:type="dxa"/>
            <w:gridSpan w:val="3"/>
            <w:tcBorders>
              <w:top w:val="single" w:sz="4" w:space="0" w:color="000000"/>
              <w:left w:val="nil"/>
              <w:bottom w:val="single" w:sz="4" w:space="0" w:color="000000"/>
            </w:tcBorders>
          </w:tcPr>
          <w:p w14:paraId="77CC054B" w14:textId="77777777" w:rsidR="004204FF" w:rsidRDefault="004E35BA" w:rsidP="003A775B">
            <w:pPr>
              <w:spacing w:line="240" w:lineRule="auto"/>
              <w:ind w:left="60" w:right="60"/>
              <w:rPr>
                <w:rFonts w:ascii="Times New Roman" w:eastAsia="Times New Roman" w:hAnsi="Times New Roman" w:cs="Times New Roman"/>
                <w:b/>
                <w:bCs/>
              </w:rPr>
            </w:pPr>
            <w:r>
              <w:rPr>
                <w:rFonts w:ascii="Times New Roman" w:eastAsia="Times New Roman" w:hAnsi="Times New Roman" w:cs="Times New Roman"/>
                <w:b/>
                <w:bCs/>
                <w:sz w:val="18"/>
                <w:szCs w:val="18"/>
              </w:rPr>
              <w:tab/>
            </w:r>
            <w:r>
              <w:rPr>
                <w:rFonts w:ascii="Times New Roman" w:eastAsia="Times New Roman" w:hAnsi="Times New Roman" w:cs="Times New Roman"/>
                <w:b/>
                <w:bCs/>
                <w:sz w:val="18"/>
                <w:szCs w:val="18"/>
              </w:rPr>
              <w:tab/>
              <w:t xml:space="preserve">                   </w:t>
            </w:r>
            <w:r>
              <w:rPr>
                <w:rFonts w:ascii="Times New Roman" w:eastAsia="Times New Roman" w:hAnsi="Times New Roman" w:cs="Times New Roman"/>
              </w:rPr>
              <w:t xml:space="preserve">Overall Mean                                     1.64  </w:t>
            </w:r>
            <w:r>
              <w:rPr>
                <w:rFonts w:ascii="Times New Roman" w:eastAsia="Times New Roman" w:hAnsi="Times New Roman" w:cs="Times New Roman"/>
                <w:b/>
                <w:bCs/>
              </w:rPr>
              <w:t xml:space="preserve"> </w:t>
            </w:r>
            <w:r>
              <w:rPr>
                <w:rFonts w:ascii="Times New Roman" w:eastAsia="Times New Roman" w:hAnsi="Times New Roman" w:cs="Times New Roman"/>
                <w:b/>
                <w:bCs/>
                <w:sz w:val="18"/>
                <w:szCs w:val="18"/>
              </w:rPr>
              <w:t xml:space="preserve">     </w:t>
            </w:r>
          </w:p>
        </w:tc>
      </w:tr>
    </w:tbl>
    <w:p w14:paraId="74DE2EE7" w14:textId="77777777" w:rsidR="004204FF" w:rsidRDefault="004204FF" w:rsidP="003A775B">
      <w:pPr>
        <w:spacing w:line="240" w:lineRule="auto"/>
        <w:rPr>
          <w:rFonts w:ascii="Times New Roman" w:eastAsia="Times New Roman" w:hAnsi="Times New Roman" w:cs="Times New Roman"/>
          <w:sz w:val="24"/>
          <w:szCs w:val="24"/>
        </w:rPr>
      </w:pPr>
    </w:p>
    <w:p w14:paraId="0ABA45AA" w14:textId="77777777" w:rsidR="004204FF" w:rsidRDefault="004204FF" w:rsidP="003A775B">
      <w:pPr>
        <w:spacing w:line="240" w:lineRule="auto"/>
        <w:jc w:val="center"/>
        <w:rPr>
          <w:rFonts w:ascii="Times New Roman" w:eastAsia="Times New Roman" w:hAnsi="Times New Roman" w:cs="Times New Roman"/>
          <w:b/>
          <w:bCs/>
          <w:sz w:val="24"/>
          <w:szCs w:val="24"/>
        </w:rPr>
      </w:pPr>
    </w:p>
    <w:p w14:paraId="270F340C" w14:textId="77777777" w:rsidR="004204FF" w:rsidRDefault="004E35BA" w:rsidP="003A775B">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Inferential Analysis</w:t>
      </w:r>
    </w:p>
    <w:p w14:paraId="0D4C670F"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Relationship between Perceived Severity and Self-Medication Practices</w:t>
      </w:r>
    </w:p>
    <w:p w14:paraId="471A74DA"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Table 4 shows the association between perceived severity and self-medication practices among old adults. The association between variables was determined using Spearman's Rank-Order Correlation.</w:t>
      </w:r>
    </w:p>
    <w:p w14:paraId="5D01B732"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revealed that perceived severity has a moderate negative and statistically significant relationship with self-medication practices among old adults    </w:t>
      </w:r>
      <w:proofErr w:type="gramStart"/>
      <w:r>
        <w:rPr>
          <w:rFonts w:ascii="Times New Roman" w:eastAsia="Times New Roman" w:hAnsi="Times New Roman" w:cs="Times New Roman"/>
          <w:sz w:val="24"/>
          <w:szCs w:val="24"/>
        </w:rPr>
        <w:t xml:space="preserve">   (</w:t>
      </w:r>
      <w:proofErr w:type="spellStart"/>
      <w:proofErr w:type="gramEnd"/>
      <w:r>
        <w:rPr>
          <w:rFonts w:ascii="Times New Roman" w:eastAsia="Times New Roman" w:hAnsi="Times New Roman" w:cs="Times New Roman"/>
          <w:sz w:val="24"/>
          <w:szCs w:val="24"/>
        </w:rPr>
        <w:t>rs</w:t>
      </w:r>
      <w:proofErr w:type="spellEnd"/>
      <w:r>
        <w:rPr>
          <w:rFonts w:ascii="Times New Roman" w:eastAsia="Times New Roman" w:hAnsi="Times New Roman" w:cs="Times New Roman"/>
          <w:sz w:val="24"/>
          <w:szCs w:val="24"/>
        </w:rPr>
        <w:t xml:space="preserve"> = -0.464, p &lt; .001). Since the p-value is less than 0.001, the null hypothesis was rejected, which means there is a relationship between perceived severity and self-medication practices. This indicates that as the perceived severity of illness increases, the practice of self-medication among old adults decreases. Old persons who believe their health situation is serious are less likely to self-medicate and may be more likely to seek professional medical care. Those who believe their disease is less serious are more inclined to self-medicate. The substantial finding implies that perceived severity influences self-medication habits in old adults. </w:t>
      </w:r>
    </w:p>
    <w:tbl>
      <w:tblPr>
        <w:tblStyle w:val="a6"/>
        <w:tblW w:w="8595" w:type="dxa"/>
        <w:tblInd w:w="45" w:type="dxa"/>
        <w:tblLayout w:type="fixed"/>
        <w:tblLook w:val="0400" w:firstRow="0" w:lastRow="0" w:firstColumn="0" w:lastColumn="0" w:noHBand="0" w:noVBand="1"/>
      </w:tblPr>
      <w:tblGrid>
        <w:gridCol w:w="5085"/>
        <w:gridCol w:w="3150"/>
        <w:gridCol w:w="360"/>
      </w:tblGrid>
      <w:tr w:rsidR="004204FF" w14:paraId="1C10EECA" w14:textId="77777777">
        <w:trPr>
          <w:cantSplit/>
          <w:trHeight w:val="1821"/>
          <w:tblHeader/>
        </w:trPr>
        <w:tc>
          <w:tcPr>
            <w:tcW w:w="8595" w:type="dxa"/>
            <w:gridSpan w:val="3"/>
            <w:tcBorders>
              <w:top w:val="nil"/>
              <w:left w:val="nil"/>
              <w:bottom w:val="single" w:sz="4" w:space="0" w:color="000000"/>
              <w:right w:val="nil"/>
            </w:tcBorders>
            <w:shd w:val="clear" w:color="auto" w:fill="FFFFFF"/>
            <w:tcMar>
              <w:top w:w="30" w:type="dxa"/>
              <w:left w:w="30" w:type="dxa"/>
              <w:bottom w:w="30" w:type="dxa"/>
              <w:right w:w="30" w:type="dxa"/>
            </w:tcMar>
            <w:vAlign w:val="bottom"/>
          </w:tcPr>
          <w:p w14:paraId="25DDD780"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w:t>
            </w:r>
            <w:r>
              <w:rPr>
                <w:rFonts w:ascii="Times New Roman" w:eastAsia="Times New Roman" w:hAnsi="Times New Roman" w:cs="Times New Roman"/>
                <w:sz w:val="24"/>
                <w:szCs w:val="24"/>
              </w:rPr>
              <w:t xml:space="preserve">. </w:t>
            </w:r>
          </w:p>
          <w:p w14:paraId="4AA11746" w14:textId="77777777" w:rsidR="004204FF" w:rsidRDefault="004204FF" w:rsidP="003A775B">
            <w:pPr>
              <w:spacing w:line="240" w:lineRule="auto"/>
              <w:rPr>
                <w:rFonts w:ascii="Times New Roman" w:eastAsia="Times New Roman" w:hAnsi="Times New Roman" w:cs="Times New Roman"/>
                <w:sz w:val="24"/>
                <w:szCs w:val="24"/>
              </w:rPr>
            </w:pPr>
          </w:p>
          <w:p w14:paraId="2106C71A" w14:textId="77777777" w:rsidR="004204FF" w:rsidRDefault="004E35BA" w:rsidP="003A775B">
            <w:pPr>
              <w:widowControl w:val="0"/>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Relationship between the level of perceived severity and level of self-medication practices among old adults (df=184)</w:t>
            </w:r>
          </w:p>
        </w:tc>
      </w:tr>
      <w:tr w:rsidR="004204FF" w14:paraId="2A6C52F3" w14:textId="77777777">
        <w:trPr>
          <w:gridAfter w:val="1"/>
          <w:wAfter w:w="360" w:type="dxa"/>
          <w:cantSplit/>
          <w:trHeight w:val="647"/>
          <w:tblHeader/>
        </w:trPr>
        <w:tc>
          <w:tcPr>
            <w:tcW w:w="5085"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50A573A7"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Perceived Severity</w:t>
            </w:r>
          </w:p>
        </w:tc>
        <w:tc>
          <w:tcPr>
            <w:tcW w:w="3150" w:type="dxa"/>
            <w:tcBorders>
              <w:top w:val="single" w:sz="4" w:space="0" w:color="000000"/>
              <w:left w:val="nil"/>
              <w:bottom w:val="single" w:sz="4" w:space="0" w:color="000000"/>
              <w:right w:val="nil"/>
            </w:tcBorders>
            <w:shd w:val="clear" w:color="auto" w:fill="FFFFFF"/>
          </w:tcPr>
          <w:p w14:paraId="7652B750" w14:textId="77777777" w:rsidR="004204FF" w:rsidRDefault="004204FF" w:rsidP="003A775B">
            <w:pPr>
              <w:spacing w:line="240" w:lineRule="auto"/>
              <w:jc w:val="center"/>
              <w:rPr>
                <w:rFonts w:ascii="Times New Roman" w:eastAsia="Times New Roman" w:hAnsi="Times New Roman" w:cs="Times New Roman"/>
                <w:sz w:val="24"/>
                <w:szCs w:val="24"/>
              </w:rPr>
            </w:pPr>
          </w:p>
          <w:p w14:paraId="5E4F7C9C"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Self-medication Practices</w:t>
            </w:r>
          </w:p>
        </w:tc>
      </w:tr>
      <w:tr w:rsidR="004204FF" w14:paraId="26D5F5D2" w14:textId="77777777">
        <w:trPr>
          <w:gridAfter w:val="1"/>
          <w:wAfter w:w="360" w:type="dxa"/>
          <w:cantSplit/>
          <w:tblHeader/>
        </w:trPr>
        <w:tc>
          <w:tcPr>
            <w:tcW w:w="5085" w:type="dxa"/>
            <w:vMerge w:val="restart"/>
            <w:tcBorders>
              <w:top w:val="single" w:sz="4" w:space="0" w:color="000000"/>
              <w:left w:val="nil"/>
              <w:right w:val="nil"/>
            </w:tcBorders>
            <w:shd w:val="clear" w:color="auto" w:fill="FFFFFF"/>
            <w:tcMar>
              <w:top w:w="30" w:type="dxa"/>
              <w:left w:w="30" w:type="dxa"/>
              <w:bottom w:w="30" w:type="dxa"/>
              <w:right w:w="30" w:type="dxa"/>
            </w:tcMar>
          </w:tcPr>
          <w:p w14:paraId="18B70BCC" w14:textId="77777777" w:rsidR="004204FF" w:rsidRDefault="004E35BA" w:rsidP="003A775B">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rs</w:t>
            </w:r>
            <w:proofErr w:type="spellEnd"/>
            <w:r>
              <w:rPr>
                <w:rFonts w:ascii="Times New Roman" w:eastAsia="Times New Roman" w:hAnsi="Times New Roman" w:cs="Times New Roman"/>
                <w:sz w:val="24"/>
                <w:szCs w:val="24"/>
              </w:rPr>
              <w:t xml:space="preserve"> = -0.464</w:t>
            </w:r>
          </w:p>
        </w:tc>
        <w:tc>
          <w:tcPr>
            <w:tcW w:w="3150" w:type="dxa"/>
            <w:tcBorders>
              <w:top w:val="single" w:sz="4" w:space="0" w:color="000000"/>
              <w:left w:val="nil"/>
              <w:right w:val="nil"/>
            </w:tcBorders>
            <w:shd w:val="clear" w:color="auto" w:fill="FFFFFF"/>
          </w:tcPr>
          <w:p w14:paraId="414C4A94" w14:textId="77777777" w:rsidR="004204FF" w:rsidRDefault="004E35BA" w:rsidP="003A77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 &lt; 0.001*</w:t>
            </w:r>
          </w:p>
        </w:tc>
      </w:tr>
      <w:tr w:rsidR="004204FF" w14:paraId="1F33F4AE" w14:textId="77777777">
        <w:trPr>
          <w:gridAfter w:val="1"/>
          <w:wAfter w:w="360" w:type="dxa"/>
          <w:cantSplit/>
          <w:tblHeader/>
        </w:trPr>
        <w:tc>
          <w:tcPr>
            <w:tcW w:w="5085" w:type="dxa"/>
            <w:vMerge/>
            <w:tcBorders>
              <w:top w:val="single" w:sz="4" w:space="0" w:color="000000"/>
              <w:left w:val="nil"/>
              <w:right w:val="nil"/>
            </w:tcBorders>
            <w:shd w:val="clear" w:color="auto" w:fill="FFFFFF"/>
            <w:tcMar>
              <w:top w:w="30" w:type="dxa"/>
              <w:left w:w="30" w:type="dxa"/>
              <w:bottom w:w="30" w:type="dxa"/>
              <w:right w:w="30" w:type="dxa"/>
            </w:tcMar>
          </w:tcPr>
          <w:p w14:paraId="79443BE6" w14:textId="77777777" w:rsidR="004204FF" w:rsidRDefault="004204FF" w:rsidP="003A775B">
            <w:pPr>
              <w:widowControl w:val="0"/>
              <w:spacing w:line="240" w:lineRule="auto"/>
              <w:rPr>
                <w:rFonts w:ascii="Times New Roman" w:eastAsia="Times New Roman" w:hAnsi="Times New Roman" w:cs="Times New Roman"/>
                <w:sz w:val="24"/>
                <w:szCs w:val="24"/>
              </w:rPr>
            </w:pPr>
          </w:p>
        </w:tc>
        <w:tc>
          <w:tcPr>
            <w:tcW w:w="3150" w:type="dxa"/>
            <w:tcBorders>
              <w:left w:val="nil"/>
              <w:right w:val="nil"/>
            </w:tcBorders>
            <w:shd w:val="clear" w:color="auto" w:fill="FFFFFF"/>
          </w:tcPr>
          <w:p w14:paraId="49BAD2C0" w14:textId="77777777" w:rsidR="004204FF" w:rsidRDefault="004204FF" w:rsidP="003A775B">
            <w:pPr>
              <w:spacing w:line="240" w:lineRule="auto"/>
              <w:jc w:val="center"/>
              <w:rPr>
                <w:rFonts w:ascii="Times New Roman" w:eastAsia="Times New Roman" w:hAnsi="Times New Roman" w:cs="Times New Roman"/>
                <w:sz w:val="24"/>
                <w:szCs w:val="24"/>
              </w:rPr>
            </w:pPr>
          </w:p>
        </w:tc>
      </w:tr>
      <w:tr w:rsidR="004204FF" w14:paraId="04422190" w14:textId="77777777">
        <w:trPr>
          <w:gridAfter w:val="1"/>
          <w:wAfter w:w="360" w:type="dxa"/>
          <w:cantSplit/>
          <w:tblHeader/>
        </w:trPr>
        <w:tc>
          <w:tcPr>
            <w:tcW w:w="5085"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tcPr>
          <w:p w14:paraId="273E8464" w14:textId="77777777" w:rsidR="004204FF" w:rsidRDefault="004E35BA" w:rsidP="003A775B">
            <w:pPr>
              <w:spacing w:line="240" w:lineRule="auto"/>
              <w:rPr>
                <w:rFonts w:ascii="Times New Roman" w:eastAsia="Times New Roman" w:hAnsi="Times New Roman" w:cs="Times New Roman"/>
              </w:rPr>
            </w:pPr>
            <w:r>
              <w:rPr>
                <w:rFonts w:ascii="Times New Roman" w:eastAsia="Times New Roman" w:hAnsi="Times New Roman" w:cs="Times New Roman"/>
              </w:rPr>
              <w:t>*Significant at 0.05</w:t>
            </w:r>
          </w:p>
        </w:tc>
        <w:tc>
          <w:tcPr>
            <w:tcW w:w="3150" w:type="dxa"/>
            <w:tcBorders>
              <w:top w:val="single" w:sz="4" w:space="0" w:color="000000"/>
              <w:left w:val="nil"/>
              <w:bottom w:val="single" w:sz="4" w:space="0" w:color="000000"/>
              <w:right w:val="nil"/>
            </w:tcBorders>
            <w:shd w:val="clear" w:color="auto" w:fill="FFFFFF"/>
          </w:tcPr>
          <w:p w14:paraId="2469A741" w14:textId="77777777" w:rsidR="004204FF" w:rsidRDefault="004204FF" w:rsidP="003A775B">
            <w:pPr>
              <w:spacing w:line="240" w:lineRule="auto"/>
              <w:jc w:val="center"/>
              <w:rPr>
                <w:rFonts w:ascii="Times New Roman" w:eastAsia="Times New Roman" w:hAnsi="Times New Roman" w:cs="Times New Roman"/>
                <w:sz w:val="24"/>
                <w:szCs w:val="24"/>
              </w:rPr>
            </w:pPr>
          </w:p>
        </w:tc>
      </w:tr>
    </w:tbl>
    <w:p w14:paraId="780E4695" w14:textId="77777777" w:rsidR="004204FF" w:rsidRDefault="004204FF" w:rsidP="003A775B">
      <w:pPr>
        <w:spacing w:line="240" w:lineRule="auto"/>
        <w:rPr>
          <w:rFonts w:ascii="Times New Roman" w:eastAsia="Times New Roman" w:hAnsi="Times New Roman" w:cs="Times New Roman"/>
          <w:b/>
          <w:bCs/>
          <w:sz w:val="24"/>
          <w:szCs w:val="24"/>
        </w:rPr>
      </w:pPr>
    </w:p>
    <w:p w14:paraId="56B6C7F3"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are further supported by recent research that shows perceived severity of illness has a major influence and a significant determinant in self-medication practices among old adults. Similar to the negative connection seen in the present study reported, old adults commonly engaged in self-medication during the COVID-19 pandemic, viewing their symptoms as non-serious (Yu Zheng et al., 2024). The Health Belief Model identifies perceived severity as a significant psychological factor influencing health-related behaviors, including self-medication, among the elderly. It was also found that attitudes, beliefs, and perceptions influence self-medication prevalence in older groups which strengthened the findings in table 4 (</w:t>
      </w:r>
      <w:proofErr w:type="spellStart"/>
      <w:r>
        <w:rPr>
          <w:rFonts w:ascii="Times New Roman" w:eastAsia="Times New Roman" w:hAnsi="Times New Roman" w:cs="Times New Roman"/>
          <w:sz w:val="24"/>
          <w:szCs w:val="24"/>
        </w:rPr>
        <w:t>Rafati</w:t>
      </w:r>
      <w:proofErr w:type="spellEnd"/>
      <w:r>
        <w:rPr>
          <w:rFonts w:ascii="Times New Roman" w:eastAsia="Times New Roman" w:hAnsi="Times New Roman" w:cs="Times New Roman"/>
          <w:sz w:val="24"/>
          <w:szCs w:val="24"/>
        </w:rPr>
        <w:t xml:space="preserve"> et al., 2021; </w:t>
      </w:r>
      <w:proofErr w:type="spellStart"/>
      <w:r>
        <w:rPr>
          <w:rFonts w:ascii="Times New Roman" w:eastAsia="Times New Roman" w:hAnsi="Times New Roman" w:cs="Times New Roman"/>
          <w:sz w:val="24"/>
          <w:szCs w:val="24"/>
        </w:rPr>
        <w:t>Awad</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AlRuthia</w:t>
      </w:r>
      <w:proofErr w:type="spellEnd"/>
      <w:r>
        <w:rPr>
          <w:rFonts w:ascii="Times New Roman" w:eastAsia="Times New Roman" w:hAnsi="Times New Roman" w:cs="Times New Roman"/>
          <w:sz w:val="24"/>
          <w:szCs w:val="24"/>
        </w:rPr>
        <w:t xml:space="preserve">, 2023; </w:t>
      </w:r>
      <w:proofErr w:type="spellStart"/>
      <w:r>
        <w:rPr>
          <w:rFonts w:ascii="Times New Roman" w:eastAsia="Times New Roman" w:hAnsi="Times New Roman" w:cs="Times New Roman"/>
          <w:sz w:val="24"/>
          <w:szCs w:val="24"/>
        </w:rPr>
        <w:t>Basak</w:t>
      </w:r>
      <w:proofErr w:type="spellEnd"/>
      <w:r>
        <w:rPr>
          <w:rFonts w:ascii="Times New Roman" w:eastAsia="Times New Roman" w:hAnsi="Times New Roman" w:cs="Times New Roman"/>
          <w:sz w:val="24"/>
          <w:szCs w:val="24"/>
        </w:rPr>
        <w:t xml:space="preserve"> et al., 2022).</w:t>
      </w:r>
    </w:p>
    <w:p w14:paraId="4DDDA827" w14:textId="77777777" w:rsidR="004204FF" w:rsidRDefault="004E35BA" w:rsidP="003A775B">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Conclusions and Recommendations</w:t>
      </w:r>
    </w:p>
    <w:p w14:paraId="4B88C240"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Summary </w:t>
      </w:r>
    </w:p>
    <w:p w14:paraId="5890E22C" w14:textId="1CABC429"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r w:rsidR="00CD68A1">
        <w:rPr>
          <w:rFonts w:ascii="Times New Roman" w:eastAsia="Times New Roman" w:hAnsi="Times New Roman" w:cs="Times New Roman"/>
          <w:sz w:val="24"/>
          <w:szCs w:val="24"/>
        </w:rPr>
        <w:t>article</w:t>
      </w:r>
      <w:r>
        <w:rPr>
          <w:rFonts w:ascii="Times New Roman" w:eastAsia="Times New Roman" w:hAnsi="Times New Roman" w:cs="Times New Roman"/>
          <w:sz w:val="24"/>
          <w:szCs w:val="24"/>
        </w:rPr>
        <w:t xml:space="preserve"> summarizes findings, conclusions, and recommendations on the self-medication: perceived severity and practices among old adults in a selected municipality in Iloilo.</w:t>
      </w:r>
    </w:p>
    <w:p w14:paraId="4941926B"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This study used a descriptive-correlational design with a survey approach to determine the relationship between perceived severity and self-medication practices among old adults in selected barangay in Iloilo. The respondents of the study consisted of 186 old adults. Specifically, the study sought to describe the profile of the respondents in terms of age, sex, civil status, educational attainment, occupation, and monthly family income. Furthermore, it assessed the level of perceived severity of self-medication among old adults and examined their level of self-medication practices. Finally, it determined whether a significant relationship existed between the level of perceived severity and the level of self-medication practices among the respondents. </w:t>
      </w:r>
    </w:p>
    <w:p w14:paraId="739AE3F1" w14:textId="77777777" w:rsidR="004204FF" w:rsidRDefault="004204FF" w:rsidP="003A775B">
      <w:pPr>
        <w:spacing w:line="240" w:lineRule="auto"/>
        <w:rPr>
          <w:rFonts w:ascii="Times New Roman" w:eastAsia="Times New Roman" w:hAnsi="Times New Roman" w:cs="Times New Roman"/>
          <w:b/>
          <w:bCs/>
          <w:sz w:val="24"/>
          <w:szCs w:val="24"/>
        </w:rPr>
      </w:pPr>
    </w:p>
    <w:p w14:paraId="182782EC" w14:textId="77777777" w:rsidR="004204FF" w:rsidRDefault="004E35BA" w:rsidP="003A775B">
      <w:pPr>
        <w:spacing w:line="240"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Major Findings</w:t>
      </w:r>
    </w:p>
    <w:p w14:paraId="3ED660A4"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The objective of this study was to determine the profile of the respondents in terms of age, sex, civil status, educational attainment, occupation, and monthly family income. The findings revealed that the respondents were old adults who were described across these various demographic characteristics. The data provided a comprehensive background profile of the elderly participants in the selected municipality. These demographic variables were the essential basis for understanding their health perceptions and</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behaviors and were used to contextualize the results related to perceived severity and self-medication practices. </w:t>
      </w:r>
    </w:p>
    <w:p w14:paraId="4146434D"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Moreover, the study aimed to assess the level of perceived severity associated with self-medication among old adults. The results indicated an overall mean score of 4.3 for perceived severity, reflecting a high level of concern. The respondents demonstrated strong awareness of the potential risks and serious consequences of self-</w:t>
      </w:r>
      <w:proofErr w:type="gramStart"/>
      <w:r>
        <w:rPr>
          <w:rFonts w:ascii="Times New Roman" w:eastAsia="Times New Roman" w:hAnsi="Times New Roman" w:cs="Times New Roman"/>
          <w:sz w:val="24"/>
          <w:szCs w:val="24"/>
        </w:rPr>
        <w:t xml:space="preserve">medication,   </w:t>
      </w:r>
      <w:proofErr w:type="gramEnd"/>
      <w:r>
        <w:rPr>
          <w:rFonts w:ascii="Times New Roman" w:eastAsia="Times New Roman" w:hAnsi="Times New Roman" w:cs="Times New Roman"/>
          <w:sz w:val="24"/>
          <w:szCs w:val="24"/>
        </w:rPr>
        <w:t xml:space="preserve"> such as health complications, organ damage, and delays in seeking appropriate medical intervention. These findings suggest that the respondents recognized the dangers associated with improper use of medication.</w:t>
      </w:r>
    </w:p>
    <w:p w14:paraId="3F90C501" w14:textId="77777777" w:rsidR="004204FF" w:rsidRDefault="004E35BA" w:rsidP="003A775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findings evaluated the prevalence of self-medication practices among old adults. The results showed an overall mean score of 1.64 for self-medication practices, categorized as low. This result indicates that respondents rarely engaged in self-medicating behaviors and generally observed caution when taking medications without professional consultation. The data suggest that the respondents maintained controlled and responsible medication practices.</w:t>
      </w:r>
    </w:p>
    <w:p w14:paraId="2FE27DA6"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color w:val="FF0000"/>
          <w:sz w:val="24"/>
          <w:szCs w:val="24"/>
        </w:rPr>
        <w:tab/>
      </w:r>
      <w:proofErr w:type="gramStart"/>
      <w:r>
        <w:rPr>
          <w:rFonts w:ascii="Times New Roman" w:eastAsia="Times New Roman" w:hAnsi="Times New Roman" w:cs="Times New Roman"/>
          <w:sz w:val="24"/>
          <w:szCs w:val="24"/>
        </w:rPr>
        <w:t>Finally,  the</w:t>
      </w:r>
      <w:proofErr w:type="gramEnd"/>
      <w:r>
        <w:rPr>
          <w:rFonts w:ascii="Times New Roman" w:eastAsia="Times New Roman" w:hAnsi="Times New Roman" w:cs="Times New Roman"/>
          <w:sz w:val="24"/>
          <w:szCs w:val="24"/>
        </w:rPr>
        <w:t xml:space="preserve"> results determined whether there is a significant relationship between perceived severity and self-medication practices among old adults.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Statistical analysis was done to find out the association between perceived severity and practice of </w:t>
      </w:r>
      <w:proofErr w:type="spellStart"/>
      <w:r>
        <w:rPr>
          <w:rFonts w:ascii="Times New Roman" w:eastAsia="Times New Roman" w:hAnsi="Times New Roman" w:cs="Times New Roman"/>
          <w:sz w:val="24"/>
          <w:szCs w:val="24"/>
        </w:rPr>
        <w:t>self medication</w:t>
      </w:r>
      <w:proofErr w:type="spellEnd"/>
      <w:r>
        <w:rPr>
          <w:rFonts w:ascii="Times New Roman" w:eastAsia="Times New Roman" w:hAnsi="Times New Roman" w:cs="Times New Roman"/>
          <w:sz w:val="24"/>
          <w:szCs w:val="24"/>
        </w:rPr>
        <w:t xml:space="preserve"> among old adults. The results showed that there was a significant relationship between the severity of risks of </w:t>
      </w:r>
      <w:proofErr w:type="spellStart"/>
      <w:r>
        <w:rPr>
          <w:rFonts w:ascii="Times New Roman" w:eastAsia="Times New Roman" w:hAnsi="Times New Roman" w:cs="Times New Roman"/>
          <w:sz w:val="24"/>
          <w:szCs w:val="24"/>
        </w:rPr>
        <w:t>self medication</w:t>
      </w:r>
      <w:proofErr w:type="spellEnd"/>
      <w:r>
        <w:rPr>
          <w:rFonts w:ascii="Times New Roman" w:eastAsia="Times New Roman" w:hAnsi="Times New Roman" w:cs="Times New Roman"/>
          <w:sz w:val="24"/>
          <w:szCs w:val="24"/>
        </w:rPr>
        <w:t xml:space="preserve"> with their practice helping to conclude the association between perceived severity and practice of </w:t>
      </w:r>
      <w:proofErr w:type="spellStart"/>
      <w:r>
        <w:rPr>
          <w:rFonts w:ascii="Times New Roman" w:eastAsia="Times New Roman" w:hAnsi="Times New Roman" w:cs="Times New Roman"/>
          <w:sz w:val="24"/>
          <w:szCs w:val="24"/>
        </w:rPr>
        <w:t>self medication</w:t>
      </w:r>
      <w:proofErr w:type="spellEnd"/>
      <w:r>
        <w:rPr>
          <w:rFonts w:ascii="Times New Roman" w:eastAsia="Times New Roman" w:hAnsi="Times New Roman" w:cs="Times New Roman"/>
          <w:sz w:val="24"/>
          <w:szCs w:val="24"/>
        </w:rPr>
        <w:t xml:space="preserve"> among old adults.</w:t>
      </w:r>
    </w:p>
    <w:p w14:paraId="1EFB0B52" w14:textId="77777777" w:rsidR="004204FF" w:rsidRDefault="004204FF" w:rsidP="003A775B">
      <w:pPr>
        <w:spacing w:line="240" w:lineRule="auto"/>
        <w:rPr>
          <w:rFonts w:ascii="Times New Roman" w:eastAsia="Times New Roman" w:hAnsi="Times New Roman" w:cs="Times New Roman"/>
          <w:b/>
          <w:bCs/>
          <w:sz w:val="24"/>
          <w:szCs w:val="24"/>
        </w:rPr>
      </w:pPr>
    </w:p>
    <w:p w14:paraId="1FEDFD3E"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Conclusions </w:t>
      </w:r>
    </w:p>
    <w:p w14:paraId="0818ECB3" w14:textId="77777777" w:rsidR="004204FF" w:rsidRDefault="004E35BA" w:rsidP="003A775B">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b/>
          <w:bCs/>
          <w:sz w:val="24"/>
          <w:szCs w:val="24"/>
        </w:rPr>
        <w:lastRenderedPageBreak/>
        <w:t xml:space="preserve">             </w:t>
      </w:r>
      <w:r>
        <w:rPr>
          <w:rFonts w:ascii="Times New Roman" w:eastAsia="Times New Roman" w:hAnsi="Times New Roman" w:cs="Times New Roman"/>
          <w:sz w:val="24"/>
          <w:szCs w:val="24"/>
        </w:rPr>
        <w:t xml:space="preserve">The study established an objective involving the profile of respondents aged 60 years and above from the selected municipality of Iloilo, analyzing their demographics to understand the socioeconomic factors influencing their health choices. Moreover, findings showed a high level of perceived severity indicating that these seniors are deeply aware of the serious risk such as organ damage and other health complications associated with </w:t>
      </w:r>
      <w:proofErr w:type="spellStart"/>
      <w:r>
        <w:rPr>
          <w:rFonts w:ascii="Times New Roman" w:eastAsia="Times New Roman" w:hAnsi="Times New Roman" w:cs="Times New Roman"/>
          <w:sz w:val="24"/>
          <w:szCs w:val="24"/>
        </w:rPr>
        <w:t>self medication</w:t>
      </w:r>
      <w:proofErr w:type="spellEnd"/>
      <w:r>
        <w:rPr>
          <w:rFonts w:ascii="Times New Roman" w:eastAsia="Times New Roman" w:hAnsi="Times New Roman" w:cs="Times New Roman"/>
          <w:sz w:val="24"/>
          <w:szCs w:val="24"/>
        </w:rPr>
        <w:t xml:space="preserve">. Furthermore, the results of the study assessed the actual practice of </w:t>
      </w:r>
      <w:proofErr w:type="spellStart"/>
      <w:r>
        <w:rPr>
          <w:rFonts w:ascii="Times New Roman" w:eastAsia="Times New Roman" w:hAnsi="Times New Roman" w:cs="Times New Roman"/>
          <w:sz w:val="24"/>
          <w:szCs w:val="24"/>
        </w:rPr>
        <w:t>self medication</w:t>
      </w:r>
      <w:proofErr w:type="spellEnd"/>
      <w:r>
        <w:rPr>
          <w:rFonts w:ascii="Times New Roman" w:eastAsia="Times New Roman" w:hAnsi="Times New Roman" w:cs="Times New Roman"/>
          <w:sz w:val="24"/>
          <w:szCs w:val="24"/>
        </w:rPr>
        <w:t xml:space="preserve"> that was found to be low, as most participants exercise caution and prefer seeking professional medical advice over </w:t>
      </w:r>
      <w:proofErr w:type="spellStart"/>
      <w:r>
        <w:rPr>
          <w:rFonts w:ascii="Times New Roman" w:eastAsia="Times New Roman" w:hAnsi="Times New Roman" w:cs="Times New Roman"/>
          <w:sz w:val="24"/>
          <w:szCs w:val="24"/>
        </w:rPr>
        <w:t>self treatment</w:t>
      </w:r>
      <w:proofErr w:type="spellEnd"/>
      <w:r>
        <w:rPr>
          <w:rFonts w:ascii="Times New Roman" w:eastAsia="Times New Roman" w:hAnsi="Times New Roman" w:cs="Times New Roman"/>
          <w:sz w:val="24"/>
          <w:szCs w:val="24"/>
        </w:rPr>
        <w:t xml:space="preserve">. The study also highlighted the correlation between perceived severity and </w:t>
      </w:r>
      <w:proofErr w:type="spellStart"/>
      <w:r>
        <w:rPr>
          <w:rFonts w:ascii="Times New Roman" w:eastAsia="Times New Roman" w:hAnsi="Times New Roman" w:cs="Times New Roman"/>
          <w:sz w:val="24"/>
          <w:szCs w:val="24"/>
        </w:rPr>
        <w:t>self medication</w:t>
      </w:r>
      <w:proofErr w:type="spellEnd"/>
      <w:r>
        <w:rPr>
          <w:rFonts w:ascii="Times New Roman" w:eastAsia="Times New Roman" w:hAnsi="Times New Roman" w:cs="Times New Roman"/>
          <w:sz w:val="24"/>
          <w:szCs w:val="24"/>
        </w:rPr>
        <w:t xml:space="preserve"> practices among old adults, which showed how health beliefs directly shape behavior. Statistical results indicated that as awareness of the serious consequences of </w:t>
      </w:r>
      <w:proofErr w:type="spellStart"/>
      <w:r>
        <w:rPr>
          <w:rFonts w:ascii="Times New Roman" w:eastAsia="Times New Roman" w:hAnsi="Times New Roman" w:cs="Times New Roman"/>
          <w:sz w:val="24"/>
          <w:szCs w:val="24"/>
        </w:rPr>
        <w:t>self treatment</w:t>
      </w:r>
      <w:proofErr w:type="spellEnd"/>
      <w:r>
        <w:rPr>
          <w:rFonts w:ascii="Times New Roman" w:eastAsia="Times New Roman" w:hAnsi="Times New Roman" w:cs="Times New Roman"/>
          <w:sz w:val="24"/>
          <w:szCs w:val="24"/>
        </w:rPr>
        <w:t xml:space="preserve"> increased, actual engagement in the practice significantly decreased. This suggests that a better understanding of health risks serves as a primary deterrent, encouraging seniors to prioritize professional medical advice over improper medication use. </w:t>
      </w:r>
    </w:p>
    <w:p w14:paraId="3F3D32D8" w14:textId="77777777" w:rsidR="004204FF" w:rsidRDefault="004204FF" w:rsidP="003A775B">
      <w:pPr>
        <w:spacing w:line="240" w:lineRule="auto"/>
        <w:rPr>
          <w:rFonts w:ascii="Times New Roman" w:eastAsia="Times New Roman" w:hAnsi="Times New Roman" w:cs="Times New Roman"/>
          <w:b/>
          <w:bCs/>
          <w:sz w:val="24"/>
          <w:szCs w:val="24"/>
        </w:rPr>
      </w:pPr>
    </w:p>
    <w:p w14:paraId="29D45B91" w14:textId="77777777" w:rsidR="004204FF" w:rsidRDefault="004E35BA" w:rsidP="003A775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Recommendations</w:t>
      </w:r>
    </w:p>
    <w:p w14:paraId="52C98E02"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ab/>
      </w:r>
      <w:r>
        <w:rPr>
          <w:rFonts w:ascii="Times New Roman" w:eastAsia="Times New Roman" w:hAnsi="Times New Roman" w:cs="Times New Roman"/>
          <w:sz w:val="24"/>
          <w:szCs w:val="24"/>
        </w:rPr>
        <w:t>Based on the findings and conclusions, the following recommendations are hereby presented:</w:t>
      </w:r>
    </w:p>
    <w:p w14:paraId="1959D5BF"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Old Adults</w:t>
      </w:r>
      <w:r>
        <w:rPr>
          <w:rFonts w:ascii="Times New Roman" w:eastAsia="Times New Roman" w:hAnsi="Times New Roman" w:cs="Times New Roman"/>
          <w:sz w:val="24"/>
          <w:szCs w:val="24"/>
        </w:rPr>
        <w:t>. Since this study focused on the old adults as the respondents, it is recommended that these individuals uphold a cautious stance toward unprescribed treatment, treating professional consultation as a primary standard for care. Utilizing evidence-based health information is essential for this demographic to avoid the increased physiological risks of drug toxicity and complex medication interactions associated with aging.</w:t>
      </w:r>
    </w:p>
    <w:p w14:paraId="2669ACE5" w14:textId="77777777" w:rsidR="004204FF" w:rsidRDefault="004E35BA" w:rsidP="003A775B">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b/>
          <w:bCs/>
          <w:sz w:val="24"/>
          <w:szCs w:val="24"/>
        </w:rPr>
        <w:t xml:space="preserve">Families and Caregivers. </w:t>
      </w:r>
      <w:r>
        <w:rPr>
          <w:rFonts w:ascii="Times New Roman" w:eastAsia="Times New Roman" w:hAnsi="Times New Roman" w:cs="Times New Roman"/>
          <w:sz w:val="24"/>
          <w:szCs w:val="24"/>
        </w:rPr>
        <w:t xml:space="preserve">Based on the results of the study, there was an influence from the families which led for recommendation to maintain a proactive and observant role in monitoring medication use within the household. As a primary support system, the caregivers are responsible for ensuring that elderly relatives strictly adhere to professional medical advice rather than relying on informal social suggestions or past habits and by actively discouraging the use of unprescribed treatments. </w:t>
      </w:r>
      <w:proofErr w:type="gramStart"/>
      <w:r>
        <w:rPr>
          <w:rFonts w:ascii="Times New Roman" w:eastAsia="Times New Roman" w:hAnsi="Times New Roman" w:cs="Times New Roman"/>
          <w:sz w:val="24"/>
          <w:szCs w:val="24"/>
        </w:rPr>
        <w:t>Moreover</w:t>
      </w:r>
      <w:proofErr w:type="gramEnd"/>
      <w:r>
        <w:rPr>
          <w:rFonts w:ascii="Times New Roman" w:eastAsia="Times New Roman" w:hAnsi="Times New Roman" w:cs="Times New Roman"/>
          <w:sz w:val="24"/>
          <w:szCs w:val="24"/>
        </w:rPr>
        <w:t xml:space="preserve"> caregivers can foster a significantly safer and more controlled health environment for senior family members.</w:t>
      </w:r>
    </w:p>
    <w:p w14:paraId="3F1AA2FC"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ab/>
      </w:r>
      <w:r>
        <w:rPr>
          <w:rFonts w:ascii="Times New Roman" w:eastAsia="Times New Roman" w:hAnsi="Times New Roman" w:cs="Times New Roman"/>
          <w:b/>
          <w:bCs/>
          <w:sz w:val="24"/>
          <w:szCs w:val="24"/>
        </w:rPr>
        <w:t>Healthcare Providers.</w:t>
      </w:r>
      <w:r>
        <w:rPr>
          <w:rFonts w:ascii="Times New Roman" w:eastAsia="Times New Roman" w:hAnsi="Times New Roman" w:cs="Times New Roman"/>
          <w:sz w:val="24"/>
          <w:szCs w:val="24"/>
        </w:rPr>
        <w:t xml:space="preserve"> In this study, the results highly recommend that the healthcare providers should create user-friendly educational initiatives that specifically address the dangers of </w:t>
      </w:r>
      <w:proofErr w:type="spellStart"/>
      <w:r>
        <w:rPr>
          <w:rFonts w:ascii="Times New Roman" w:eastAsia="Times New Roman" w:hAnsi="Times New Roman" w:cs="Times New Roman"/>
          <w:sz w:val="24"/>
          <w:szCs w:val="24"/>
        </w:rPr>
        <w:t>self medication</w:t>
      </w:r>
      <w:proofErr w:type="spellEnd"/>
      <w:r>
        <w:rPr>
          <w:rFonts w:ascii="Times New Roman" w:eastAsia="Times New Roman" w:hAnsi="Times New Roman" w:cs="Times New Roman"/>
          <w:sz w:val="24"/>
          <w:szCs w:val="24"/>
        </w:rPr>
        <w:t xml:space="preserve"> in old adults. By making medical services easily accessible and convenient, providers can significantly reduce the reliance of seniors on self-treatment and encourage them to seek professional medical advice instead.   </w:t>
      </w:r>
    </w:p>
    <w:p w14:paraId="7BEB768F"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 xml:space="preserve">Future Researchers. </w:t>
      </w:r>
      <w:r>
        <w:rPr>
          <w:rFonts w:ascii="Times New Roman" w:eastAsia="Times New Roman" w:hAnsi="Times New Roman" w:cs="Times New Roman"/>
          <w:sz w:val="24"/>
          <w:szCs w:val="24"/>
        </w:rPr>
        <w:t xml:space="preserve">The findings of this study led to the recommendation that future researchers use this study as a starting point to investigate other factors influencing why seniors self-medicate, such as the price of medicine or their distance from hospital. To address the current limitation, future work should expand to include larger populations from various locations. Furthermore, conducting an in-person interview is recommended to obtain more detailed and complete information. </w:t>
      </w:r>
    </w:p>
    <w:p w14:paraId="13304410" w14:textId="77777777" w:rsidR="004204FF" w:rsidRDefault="004204FF" w:rsidP="003A775B">
      <w:pPr>
        <w:spacing w:line="240" w:lineRule="auto"/>
        <w:rPr>
          <w:rFonts w:ascii="Times New Roman" w:eastAsia="Times New Roman" w:hAnsi="Times New Roman" w:cs="Times New Roman"/>
          <w:sz w:val="24"/>
          <w:szCs w:val="24"/>
        </w:rPr>
      </w:pPr>
    </w:p>
    <w:p w14:paraId="3DAFD3E2" w14:textId="77777777" w:rsidR="004204FF" w:rsidRDefault="004204FF" w:rsidP="003A775B">
      <w:pPr>
        <w:spacing w:line="240" w:lineRule="auto"/>
        <w:rPr>
          <w:rFonts w:ascii="Times New Roman" w:eastAsia="Times New Roman" w:hAnsi="Times New Roman" w:cs="Times New Roman"/>
          <w:sz w:val="24"/>
          <w:szCs w:val="24"/>
        </w:rPr>
      </w:pPr>
    </w:p>
    <w:p w14:paraId="1D60562D" w14:textId="77777777" w:rsidR="004204FF" w:rsidRDefault="004E35BA" w:rsidP="003A775B">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13D6C45B" w14:textId="77777777" w:rsidR="004204FF" w:rsidRDefault="004E35BA" w:rsidP="003A775B">
      <w:pPr>
        <w:spacing w:line="240"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Akande-</w:t>
      </w:r>
      <w:proofErr w:type="spellStart"/>
      <w:r>
        <w:rPr>
          <w:rFonts w:ascii="Times New Roman" w:eastAsia="Times New Roman" w:hAnsi="Times New Roman" w:cs="Times New Roman"/>
          <w:sz w:val="24"/>
          <w:szCs w:val="24"/>
        </w:rPr>
        <w:t>Sholabi</w:t>
      </w:r>
      <w:proofErr w:type="spellEnd"/>
      <w:r>
        <w:rPr>
          <w:rFonts w:ascii="Times New Roman" w:eastAsia="Times New Roman" w:hAnsi="Times New Roman" w:cs="Times New Roman"/>
          <w:sz w:val="24"/>
          <w:szCs w:val="24"/>
        </w:rPr>
        <w:t xml:space="preserve">, W., Ajamu, A. T., &amp; </w:t>
      </w:r>
      <w:proofErr w:type="spellStart"/>
      <w:r>
        <w:rPr>
          <w:rFonts w:ascii="Times New Roman" w:eastAsia="Times New Roman" w:hAnsi="Times New Roman" w:cs="Times New Roman"/>
          <w:sz w:val="24"/>
          <w:szCs w:val="24"/>
        </w:rPr>
        <w:t>Adisa</w:t>
      </w:r>
      <w:proofErr w:type="spellEnd"/>
      <w:r>
        <w:rPr>
          <w:rFonts w:ascii="Times New Roman" w:eastAsia="Times New Roman" w:hAnsi="Times New Roman" w:cs="Times New Roman"/>
          <w:sz w:val="24"/>
          <w:szCs w:val="24"/>
        </w:rPr>
        <w:t xml:space="preserve">, R. (2021). </w:t>
      </w:r>
      <w:r>
        <w:rPr>
          <w:rFonts w:ascii="Times New Roman" w:eastAsia="Times New Roman" w:hAnsi="Times New Roman" w:cs="Times New Roman"/>
          <w:i/>
          <w:iCs/>
          <w:sz w:val="24"/>
          <w:szCs w:val="24"/>
        </w:rPr>
        <w:t>Perceived severity of     self-medication among healthcare students.</w:t>
      </w:r>
      <w:r>
        <w:rPr>
          <w:rFonts w:ascii="Times New Roman" w:eastAsia="Times New Roman" w:hAnsi="Times New Roman" w:cs="Times New Roman"/>
          <w:sz w:val="24"/>
          <w:szCs w:val="24"/>
        </w:rPr>
        <w:t xml:space="preserve"> Retrieved from</w:t>
      </w:r>
      <w:hyperlink r:id="rId15" w:anchor="d=gs_qabs&amp;t=1759582242784&amp;u=%23p%3DP7ZrHTiAKzMJ">
        <w:r w:rsidR="004204FF">
          <w:rPr>
            <w:rFonts w:ascii="Times New Roman" w:eastAsia="Times New Roman" w:hAnsi="Times New Roman" w:cs="Times New Roman"/>
            <w:sz w:val="24"/>
            <w:szCs w:val="24"/>
          </w:rPr>
          <w:t xml:space="preserve"> </w:t>
        </w:r>
      </w:hyperlink>
      <w:hyperlink r:id="rId16" w:anchor="d=gs_qabs&amp;t=1759582242784&amp;u=%23p%3DP7ZrHTiAKzMJ">
        <w:r w:rsidR="004204FF">
          <w:rPr>
            <w:rFonts w:ascii="Times New Roman" w:eastAsia="Times New Roman" w:hAnsi="Times New Roman" w:cs="Times New Roman"/>
            <w:sz w:val="24"/>
            <w:szCs w:val="24"/>
            <w:u w:val="single"/>
          </w:rPr>
          <w:t>https://scholar.google.com/scholar?hl=en&amp;as_sdt=0%2C5&amp;q=Sa+Perceived+Severity+of+self+Medication&amp;btnG=#d=gs_qabs&amp;t=1759582242784&amp;u=%23p%3DP7ZrHTiAKzMJ</w:t>
        </w:r>
      </w:hyperlink>
    </w:p>
    <w:p w14:paraId="31379FE4" w14:textId="77777777" w:rsidR="004204FF" w:rsidRDefault="004204FF" w:rsidP="003A775B">
      <w:pPr>
        <w:spacing w:line="240" w:lineRule="auto"/>
        <w:ind w:left="720"/>
        <w:rPr>
          <w:rFonts w:ascii="Times New Roman" w:eastAsia="Times New Roman" w:hAnsi="Times New Roman" w:cs="Times New Roman"/>
          <w:sz w:val="24"/>
          <w:szCs w:val="24"/>
          <w:u w:val="single"/>
        </w:rPr>
      </w:pPr>
    </w:p>
    <w:p w14:paraId="3DFDB695" w14:textId="77777777" w:rsidR="004204FF" w:rsidRDefault="004E35BA" w:rsidP="003A775B">
      <w:pPr>
        <w:spacing w:line="240" w:lineRule="auto"/>
        <w:ind w:left="720"/>
        <w:rPr>
          <w:rFonts w:ascii="Times New Roman" w:eastAsia="Times New Roman" w:hAnsi="Times New Roman" w:cs="Times New Roman"/>
          <w:sz w:val="24"/>
          <w:szCs w:val="24"/>
          <w:u w:val="single"/>
        </w:rPr>
      </w:pPr>
      <w:r w:rsidRPr="00EB5077">
        <w:rPr>
          <w:rFonts w:ascii="Times New Roman" w:eastAsia="Times New Roman" w:hAnsi="Times New Roman" w:cs="Times New Roman"/>
          <w:sz w:val="24"/>
          <w:szCs w:val="24"/>
          <w:lang w:val="es-US"/>
        </w:rPr>
        <w:t xml:space="preserve">Alfonso, P. I. D., </w:t>
      </w:r>
      <w:proofErr w:type="spellStart"/>
      <w:r w:rsidRPr="00EB5077">
        <w:rPr>
          <w:rFonts w:ascii="Times New Roman" w:eastAsia="Times New Roman" w:hAnsi="Times New Roman" w:cs="Times New Roman"/>
          <w:sz w:val="24"/>
          <w:szCs w:val="24"/>
          <w:lang w:val="es-US"/>
        </w:rPr>
        <w:t>Danganan</w:t>
      </w:r>
      <w:proofErr w:type="spellEnd"/>
      <w:r w:rsidRPr="00EB5077">
        <w:rPr>
          <w:rFonts w:ascii="Times New Roman" w:eastAsia="Times New Roman" w:hAnsi="Times New Roman" w:cs="Times New Roman"/>
          <w:sz w:val="24"/>
          <w:szCs w:val="24"/>
          <w:lang w:val="es-US"/>
        </w:rPr>
        <w:t xml:space="preserve">, H. D., &amp; Alunes, J. L. (2020). </w:t>
      </w:r>
      <w:r>
        <w:rPr>
          <w:rFonts w:ascii="Times New Roman" w:eastAsia="Times New Roman" w:hAnsi="Times New Roman" w:cs="Times New Roman"/>
          <w:sz w:val="24"/>
          <w:szCs w:val="24"/>
        </w:rPr>
        <w:t xml:space="preserve">Factors on self‑medication among adult hypertensive patients in a rural community. </w:t>
      </w:r>
      <w:r>
        <w:rPr>
          <w:rFonts w:ascii="Times New Roman" w:eastAsia="Times New Roman" w:hAnsi="Times New Roman" w:cs="Times New Roman"/>
          <w:i/>
          <w:iCs/>
          <w:sz w:val="24"/>
          <w:szCs w:val="24"/>
        </w:rPr>
        <w:t>Philippine Academy of Family Physicians Journal.</w:t>
      </w:r>
      <w:hyperlink r:id="rId17">
        <w:r w:rsidR="004204FF">
          <w:rPr>
            <w:rFonts w:ascii="Times New Roman" w:eastAsia="Times New Roman" w:hAnsi="Times New Roman" w:cs="Times New Roman"/>
            <w:sz w:val="24"/>
            <w:szCs w:val="24"/>
          </w:rPr>
          <w:t xml:space="preserve"> </w:t>
        </w:r>
      </w:hyperlink>
      <w:hyperlink r:id="rId18">
        <w:r w:rsidR="004204FF">
          <w:rPr>
            <w:rFonts w:ascii="Times New Roman" w:eastAsia="Times New Roman" w:hAnsi="Times New Roman" w:cs="Times New Roman"/>
            <w:sz w:val="24"/>
            <w:szCs w:val="24"/>
            <w:u w:val="single"/>
          </w:rPr>
          <w:t>https://thepafp.org/journal/abstract/factors-on-self-medication-among-adult-hypertensive-patients-in-a-rural-community/</w:t>
        </w:r>
      </w:hyperlink>
    </w:p>
    <w:p w14:paraId="49525A47" w14:textId="77777777" w:rsidR="004204FF" w:rsidRDefault="004204FF" w:rsidP="003A775B">
      <w:pPr>
        <w:spacing w:line="240" w:lineRule="auto"/>
        <w:ind w:left="720"/>
        <w:rPr>
          <w:rFonts w:ascii="Times New Roman" w:eastAsia="Times New Roman" w:hAnsi="Times New Roman" w:cs="Times New Roman"/>
          <w:sz w:val="24"/>
          <w:szCs w:val="24"/>
        </w:rPr>
      </w:pPr>
    </w:p>
    <w:p w14:paraId="775E4210" w14:textId="77777777" w:rsidR="004204FF" w:rsidRDefault="004E35BA" w:rsidP="003A775B">
      <w:pPr>
        <w:spacing w:line="240" w:lineRule="auto"/>
        <w:ind w:left="720"/>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Alyafei</w:t>
      </w:r>
      <w:proofErr w:type="spellEnd"/>
      <w:r>
        <w:rPr>
          <w:rFonts w:ascii="Times New Roman" w:eastAsia="Times New Roman" w:hAnsi="Times New Roman" w:cs="Times New Roman"/>
          <w:sz w:val="24"/>
          <w:szCs w:val="24"/>
        </w:rPr>
        <w:t>, A., &amp; Easton-</w:t>
      </w:r>
      <w:proofErr w:type="spellStart"/>
      <w:r>
        <w:rPr>
          <w:rFonts w:ascii="Times New Roman" w:eastAsia="Times New Roman" w:hAnsi="Times New Roman" w:cs="Times New Roman"/>
          <w:sz w:val="24"/>
          <w:szCs w:val="24"/>
        </w:rPr>
        <w:t>Carr</w:t>
      </w:r>
      <w:proofErr w:type="spellEnd"/>
      <w:r>
        <w:rPr>
          <w:rFonts w:ascii="Times New Roman" w:eastAsia="Times New Roman" w:hAnsi="Times New Roman" w:cs="Times New Roman"/>
          <w:sz w:val="24"/>
          <w:szCs w:val="24"/>
        </w:rPr>
        <w:t xml:space="preserve">, R. (2024, May 19). </w:t>
      </w:r>
      <w:r>
        <w:rPr>
          <w:rFonts w:ascii="Times New Roman" w:eastAsia="Times New Roman" w:hAnsi="Times New Roman" w:cs="Times New Roman"/>
          <w:i/>
          <w:iCs/>
          <w:sz w:val="24"/>
          <w:szCs w:val="24"/>
        </w:rPr>
        <w:t>The Health Belief Model of behavior change.</w:t>
      </w:r>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i/>
          <w:iCs/>
          <w:sz w:val="24"/>
          <w:szCs w:val="24"/>
        </w:rPr>
        <w:t>StatPearls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w:t>
      </w:r>
      <w:hyperlink r:id="rId19">
        <w:r w:rsidR="004204FF">
          <w:rPr>
            <w:rFonts w:ascii="Times New Roman" w:eastAsia="Times New Roman" w:hAnsi="Times New Roman" w:cs="Times New Roman"/>
            <w:sz w:val="24"/>
            <w:szCs w:val="24"/>
          </w:rPr>
          <w:t xml:space="preserve"> </w:t>
        </w:r>
      </w:hyperlink>
      <w:hyperlink r:id="rId20">
        <w:r w:rsidR="004204FF">
          <w:rPr>
            <w:rFonts w:ascii="Times New Roman" w:eastAsia="Times New Roman" w:hAnsi="Times New Roman" w:cs="Times New Roman"/>
            <w:sz w:val="24"/>
            <w:szCs w:val="24"/>
            <w:u w:val="single"/>
          </w:rPr>
          <w:t>https://www.statpearls.com/point-of-care/161679</w:t>
        </w:r>
      </w:hyperlink>
    </w:p>
    <w:p w14:paraId="76194BB5" w14:textId="77777777" w:rsidR="004204FF" w:rsidRDefault="004204FF" w:rsidP="003A775B">
      <w:pPr>
        <w:spacing w:line="240" w:lineRule="auto"/>
        <w:ind w:left="720"/>
        <w:rPr>
          <w:rFonts w:ascii="Times New Roman" w:eastAsia="Times New Roman" w:hAnsi="Times New Roman" w:cs="Times New Roman"/>
          <w:sz w:val="24"/>
          <w:szCs w:val="24"/>
          <w:u w:val="single"/>
        </w:rPr>
      </w:pPr>
    </w:p>
    <w:p w14:paraId="437A4E2C" w14:textId="77777777" w:rsidR="004204FF" w:rsidRDefault="004E35BA" w:rsidP="003A775B">
      <w:pPr>
        <w:spacing w:line="240"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Arianna, M. L., Pepito, V. C. F., &amp; </w:t>
      </w:r>
      <w:proofErr w:type="spellStart"/>
      <w:r>
        <w:rPr>
          <w:rFonts w:ascii="Times New Roman" w:eastAsia="Times New Roman" w:hAnsi="Times New Roman" w:cs="Times New Roman"/>
          <w:sz w:val="24"/>
          <w:szCs w:val="24"/>
        </w:rPr>
        <w:t>Dayrit</w:t>
      </w:r>
      <w:proofErr w:type="spellEnd"/>
      <w:r>
        <w:rPr>
          <w:rFonts w:ascii="Times New Roman" w:eastAsia="Times New Roman" w:hAnsi="Times New Roman" w:cs="Times New Roman"/>
          <w:sz w:val="24"/>
          <w:szCs w:val="24"/>
        </w:rPr>
        <w:t xml:space="preserve">, M. M. (2019). </w:t>
      </w:r>
      <w:r>
        <w:rPr>
          <w:rFonts w:ascii="Times New Roman" w:eastAsia="Times New Roman" w:hAnsi="Times New Roman" w:cs="Times New Roman"/>
          <w:i/>
          <w:iCs/>
          <w:sz w:val="24"/>
          <w:szCs w:val="24"/>
        </w:rPr>
        <w:t>Self-care practices for common acute conditions in the Philippines: Findings from the 2015 Philippine National Health Survey.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International Journal of Health Governance, 28</w:t>
      </w:r>
      <w:r>
        <w:rPr>
          <w:rFonts w:ascii="Times New Roman" w:eastAsia="Times New Roman" w:hAnsi="Times New Roman" w:cs="Times New Roman"/>
          <w:sz w:val="24"/>
          <w:szCs w:val="24"/>
        </w:rPr>
        <w:t>(4), 383–397.</w:t>
      </w:r>
      <w:hyperlink r:id="rId21">
        <w:r w:rsidR="004204FF">
          <w:rPr>
            <w:rFonts w:ascii="Times New Roman" w:eastAsia="Times New Roman" w:hAnsi="Times New Roman" w:cs="Times New Roman"/>
            <w:sz w:val="24"/>
            <w:szCs w:val="24"/>
          </w:rPr>
          <w:t xml:space="preserve"> </w:t>
        </w:r>
      </w:hyperlink>
      <w:hyperlink r:id="rId22">
        <w:r w:rsidR="004204FF">
          <w:rPr>
            <w:rFonts w:ascii="Times New Roman" w:eastAsia="Times New Roman" w:hAnsi="Times New Roman" w:cs="Times New Roman"/>
            <w:sz w:val="24"/>
            <w:szCs w:val="24"/>
            <w:u w:val="single"/>
          </w:rPr>
          <w:t>https://www.emerald.com/ijhg/article/28/4/383/116068/</w:t>
        </w:r>
      </w:hyperlink>
    </w:p>
    <w:p w14:paraId="4615CBB8" w14:textId="77777777" w:rsidR="004204FF" w:rsidRDefault="004204FF" w:rsidP="003A775B">
      <w:pPr>
        <w:spacing w:line="240" w:lineRule="auto"/>
        <w:ind w:left="720"/>
        <w:rPr>
          <w:rFonts w:ascii="Times New Roman" w:eastAsia="Times New Roman" w:hAnsi="Times New Roman" w:cs="Times New Roman"/>
          <w:sz w:val="24"/>
          <w:szCs w:val="24"/>
        </w:rPr>
      </w:pPr>
    </w:p>
    <w:p w14:paraId="4D353499" w14:textId="77777777" w:rsidR="004204FF" w:rsidRDefault="004E35BA" w:rsidP="003A775B">
      <w:pPr>
        <w:spacing w:line="240" w:lineRule="auto"/>
        <w:ind w:left="720"/>
        <w:rPr>
          <w:rFonts w:ascii="Times New Roman" w:eastAsia="Times New Roman" w:hAnsi="Times New Roman" w:cs="Times New Roman"/>
          <w:i/>
          <w:iCs/>
          <w:sz w:val="24"/>
          <w:szCs w:val="24"/>
        </w:rPr>
      </w:pPr>
      <w:proofErr w:type="spellStart"/>
      <w:r>
        <w:rPr>
          <w:rFonts w:ascii="Times New Roman" w:eastAsia="Times New Roman" w:hAnsi="Times New Roman" w:cs="Times New Roman"/>
          <w:sz w:val="24"/>
          <w:szCs w:val="24"/>
        </w:rPr>
        <w:t>Awad</w:t>
      </w:r>
      <w:proofErr w:type="spellEnd"/>
      <w:r>
        <w:rPr>
          <w:rFonts w:ascii="Times New Roman" w:eastAsia="Times New Roman" w:hAnsi="Times New Roman" w:cs="Times New Roman"/>
          <w:sz w:val="24"/>
          <w:szCs w:val="24"/>
        </w:rPr>
        <w:t>, A. H., &amp; Al-</w:t>
      </w:r>
      <w:proofErr w:type="spellStart"/>
      <w:r>
        <w:rPr>
          <w:rFonts w:ascii="Times New Roman" w:eastAsia="Times New Roman" w:hAnsi="Times New Roman" w:cs="Times New Roman"/>
          <w:sz w:val="24"/>
          <w:szCs w:val="24"/>
        </w:rPr>
        <w:t>Ruthia</w:t>
      </w:r>
      <w:proofErr w:type="spellEnd"/>
      <w:r>
        <w:rPr>
          <w:rFonts w:ascii="Times New Roman" w:eastAsia="Times New Roman" w:hAnsi="Times New Roman" w:cs="Times New Roman"/>
          <w:sz w:val="24"/>
          <w:szCs w:val="24"/>
        </w:rPr>
        <w:t xml:space="preserve">, Y. (2023). </w:t>
      </w:r>
      <w:r>
        <w:rPr>
          <w:rFonts w:ascii="Times New Roman" w:eastAsia="Times New Roman" w:hAnsi="Times New Roman" w:cs="Times New Roman"/>
          <w:i/>
          <w:iCs/>
          <w:sz w:val="24"/>
          <w:szCs w:val="24"/>
        </w:rPr>
        <w:t>Factors influencing self-medication practices in elderly populations: A systematic review. International Journal of Clinical Pharmacy.</w:t>
      </w:r>
    </w:p>
    <w:p w14:paraId="0D2FBADC" w14:textId="77777777" w:rsidR="004204FF" w:rsidRDefault="004E35BA" w:rsidP="003A775B">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23">
        <w:r w:rsidR="004204FF">
          <w:rPr>
            <w:rFonts w:ascii="Times New Roman" w:eastAsia="Times New Roman" w:hAnsi="Times New Roman" w:cs="Times New Roman"/>
            <w:sz w:val="24"/>
            <w:szCs w:val="24"/>
            <w:u w:val="single"/>
          </w:rPr>
          <w:t>https://pubmed.ncbi.nlm.nih.gov/39900582/</w:t>
        </w:r>
      </w:hyperlink>
      <w:r>
        <w:rPr>
          <w:rFonts w:ascii="Times New Roman" w:eastAsia="Times New Roman" w:hAnsi="Times New Roman" w:cs="Times New Roman"/>
          <w:sz w:val="24"/>
          <w:szCs w:val="24"/>
        </w:rPr>
        <w:t xml:space="preserve">&gt; </w:t>
      </w:r>
    </w:p>
    <w:p w14:paraId="7B204543" w14:textId="77777777" w:rsidR="004204FF" w:rsidRDefault="004E35BA" w:rsidP="003A775B">
      <w:pPr>
        <w:spacing w:line="24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Bakhtiar</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Bastami</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Almasian</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Sharafkhani</w:t>
      </w:r>
      <w:proofErr w:type="spellEnd"/>
      <w:r>
        <w:rPr>
          <w:rFonts w:ascii="Times New Roman" w:eastAsia="Times New Roman" w:hAnsi="Times New Roman" w:cs="Times New Roman"/>
          <w:sz w:val="24"/>
          <w:szCs w:val="24"/>
        </w:rPr>
        <w:t xml:space="preserve">, N. (2017). The psychological determinants of self-medication among the elderly: An explanation based on the Health Belief Model. </w:t>
      </w:r>
      <w:r>
        <w:rPr>
          <w:rFonts w:ascii="Times New Roman" w:eastAsia="Times New Roman" w:hAnsi="Times New Roman" w:cs="Times New Roman"/>
          <w:i/>
          <w:iCs/>
          <w:sz w:val="24"/>
          <w:szCs w:val="24"/>
        </w:rPr>
        <w:t>Elderly Health Journal</w:t>
      </w:r>
      <w:r>
        <w:rPr>
          <w:rFonts w:ascii="Times New Roman" w:eastAsia="Times New Roman" w:hAnsi="Times New Roman" w:cs="Times New Roman"/>
          <w:sz w:val="24"/>
          <w:szCs w:val="24"/>
        </w:rPr>
        <w:t xml:space="preserve">, 3(2), 59-66. </w:t>
      </w:r>
      <w:hyperlink r:id="rId24">
        <w:r w:rsidR="004204FF">
          <w:rPr>
            <w:rFonts w:ascii="Times New Roman" w:eastAsia="Times New Roman" w:hAnsi="Times New Roman" w:cs="Times New Roman"/>
            <w:sz w:val="24"/>
            <w:szCs w:val="24"/>
            <w:u w:val="single"/>
          </w:rPr>
          <w:t>https://ehj.ssu.ac.ir/article-1-96-en.pdf</w:t>
        </w:r>
      </w:hyperlink>
    </w:p>
    <w:p w14:paraId="200E1626" w14:textId="77777777" w:rsidR="004204FF" w:rsidRDefault="004E35BA" w:rsidP="003A775B">
      <w:pPr>
        <w:spacing w:line="240" w:lineRule="auto"/>
        <w:ind w:left="720"/>
        <w:rPr>
          <w:rFonts w:ascii="Times New Roman" w:eastAsia="Times New Roman" w:hAnsi="Times New Roman" w:cs="Times New Roman"/>
          <w:sz w:val="24"/>
          <w:szCs w:val="24"/>
        </w:rPr>
      </w:pPr>
      <w:r w:rsidRPr="00EB5077">
        <w:rPr>
          <w:rFonts w:ascii="Times New Roman" w:eastAsia="Times New Roman" w:hAnsi="Times New Roman" w:cs="Times New Roman"/>
          <w:sz w:val="24"/>
          <w:szCs w:val="24"/>
          <w:lang w:val="es-US"/>
        </w:rPr>
        <w:t xml:space="preserve">Baracaldo-Santamaría, D., Trujillo-Moreno, M. J., Pérez-Acosta, A. M., Feliciano-Alfonso, J. E., </w:t>
      </w:r>
      <w:proofErr w:type="spellStart"/>
      <w:r w:rsidRPr="00EB5077">
        <w:rPr>
          <w:rFonts w:ascii="Times New Roman" w:eastAsia="Times New Roman" w:hAnsi="Times New Roman" w:cs="Times New Roman"/>
          <w:sz w:val="24"/>
          <w:szCs w:val="24"/>
          <w:lang w:val="es-US"/>
        </w:rPr>
        <w:t>Calderon</w:t>
      </w:r>
      <w:proofErr w:type="spellEnd"/>
      <w:r w:rsidRPr="00EB5077">
        <w:rPr>
          <w:rFonts w:ascii="Times New Roman" w:eastAsia="Times New Roman" w:hAnsi="Times New Roman" w:cs="Times New Roman"/>
          <w:sz w:val="24"/>
          <w:szCs w:val="24"/>
          <w:lang w:val="es-US"/>
        </w:rPr>
        <w:t xml:space="preserve">-Ospina, C.-A., &amp; Soler, F. (2022). </w:t>
      </w:r>
      <w:r>
        <w:rPr>
          <w:rFonts w:ascii="Times New Roman" w:eastAsia="Times New Roman" w:hAnsi="Times New Roman" w:cs="Times New Roman"/>
          <w:sz w:val="24"/>
          <w:szCs w:val="24"/>
        </w:rPr>
        <w:t xml:space="preserve">Definition of self-medication: A scoping review. </w:t>
      </w:r>
      <w:r>
        <w:rPr>
          <w:rFonts w:ascii="Times New Roman" w:eastAsia="Times New Roman" w:hAnsi="Times New Roman" w:cs="Times New Roman"/>
          <w:i/>
          <w:iCs/>
          <w:sz w:val="24"/>
          <w:szCs w:val="24"/>
        </w:rPr>
        <w:t>Therapeutic Advances in Drug Safety, 13.</w:t>
      </w:r>
      <w:r>
        <w:rPr>
          <w:rFonts w:ascii="Times New Roman" w:eastAsia="Times New Roman" w:hAnsi="Times New Roman" w:cs="Times New Roman"/>
          <w:sz w:val="24"/>
          <w:szCs w:val="24"/>
        </w:rPr>
        <w:t xml:space="preserve"> </w:t>
      </w:r>
      <w:hyperlink r:id="rId25">
        <w:r w:rsidR="004204FF">
          <w:rPr>
            <w:rFonts w:ascii="Times New Roman" w:eastAsia="Times New Roman" w:hAnsi="Times New Roman" w:cs="Times New Roman"/>
            <w:sz w:val="24"/>
            <w:szCs w:val="24"/>
            <w:u w:val="single"/>
          </w:rPr>
          <w:t>https://doi.org/10.1177/20420986221127501</w:t>
        </w:r>
      </w:hyperlink>
    </w:p>
    <w:p w14:paraId="57747E8E" w14:textId="77777777" w:rsidR="004204FF" w:rsidRDefault="004E35BA" w:rsidP="003A775B">
      <w:pPr>
        <w:spacing w:line="240" w:lineRule="auto"/>
        <w:ind w:left="720"/>
        <w:rPr>
          <w:rFonts w:ascii="Times New Roman" w:eastAsia="Times New Roman" w:hAnsi="Times New Roman" w:cs="Times New Roman"/>
          <w:sz w:val="24"/>
          <w:szCs w:val="24"/>
          <w:u w:val="single"/>
        </w:rPr>
      </w:pPr>
      <w:proofErr w:type="spellStart"/>
      <w:r w:rsidRPr="00EB5077">
        <w:rPr>
          <w:rFonts w:ascii="Times New Roman" w:eastAsia="Times New Roman" w:hAnsi="Times New Roman" w:cs="Times New Roman"/>
          <w:sz w:val="24"/>
          <w:szCs w:val="24"/>
          <w:lang w:val="es-US"/>
        </w:rPr>
        <w:t>Basak</w:t>
      </w:r>
      <w:proofErr w:type="spellEnd"/>
      <w:r w:rsidRPr="00EB5077">
        <w:rPr>
          <w:rFonts w:ascii="Times New Roman" w:eastAsia="Times New Roman" w:hAnsi="Times New Roman" w:cs="Times New Roman"/>
          <w:sz w:val="24"/>
          <w:szCs w:val="24"/>
          <w:lang w:val="es-US"/>
        </w:rPr>
        <w:t xml:space="preserve">, S., Saha, S., &amp; Ghosh, A. (2022). </w:t>
      </w:r>
      <w:r>
        <w:rPr>
          <w:rFonts w:ascii="Times New Roman" w:eastAsia="Times New Roman" w:hAnsi="Times New Roman" w:cs="Times New Roman"/>
          <w:sz w:val="24"/>
          <w:szCs w:val="24"/>
        </w:rPr>
        <w:t xml:space="preserve">Perception of over-the-counter drug safety among community-dwelling older adults. BMC Geriatrics. </w:t>
      </w:r>
      <w:hyperlink r:id="rId26">
        <w:r w:rsidR="004204FF">
          <w:rPr>
            <w:rFonts w:ascii="Times New Roman" w:eastAsia="Times New Roman" w:hAnsi="Times New Roman" w:cs="Times New Roman"/>
            <w:sz w:val="24"/>
            <w:szCs w:val="24"/>
            <w:u w:val="single"/>
          </w:rPr>
          <w:t>https://pubmed.ncbi.nlm.nih.gov/36865404/x</w:t>
        </w:r>
      </w:hyperlink>
      <w:r>
        <w:rPr>
          <w:rFonts w:ascii="Times New Roman" w:eastAsia="Times New Roman" w:hAnsi="Times New Roman" w:cs="Times New Roman"/>
          <w:sz w:val="24"/>
          <w:szCs w:val="24"/>
          <w:u w:val="single"/>
        </w:rPr>
        <w:t xml:space="preserve"> </w:t>
      </w:r>
    </w:p>
    <w:p w14:paraId="2B27E3C1" w14:textId="77777777" w:rsidR="004204FF" w:rsidRDefault="004E35BA" w:rsidP="003A775B">
      <w:pPr>
        <w:spacing w:line="240" w:lineRule="auto"/>
        <w:ind w:left="720"/>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Biddix</w:t>
      </w:r>
      <w:proofErr w:type="spellEnd"/>
      <w:r>
        <w:rPr>
          <w:rFonts w:ascii="Times New Roman" w:eastAsia="Times New Roman" w:hAnsi="Times New Roman" w:cs="Times New Roman"/>
          <w:sz w:val="24"/>
          <w:szCs w:val="24"/>
        </w:rPr>
        <w:t xml:space="preserve">, J. P. (2024). </w:t>
      </w:r>
      <w:r>
        <w:rPr>
          <w:rFonts w:ascii="Times New Roman" w:eastAsia="Times New Roman" w:hAnsi="Times New Roman" w:cs="Times New Roman"/>
          <w:i/>
          <w:iCs/>
          <w:sz w:val="24"/>
          <w:szCs w:val="24"/>
        </w:rPr>
        <w:t>Instrument, validity, reliability.</w:t>
      </w:r>
      <w:r>
        <w:rPr>
          <w:rFonts w:ascii="Times New Roman" w:eastAsia="Times New Roman" w:hAnsi="Times New Roman" w:cs="Times New Roman"/>
          <w:sz w:val="24"/>
          <w:szCs w:val="24"/>
        </w:rPr>
        <w:t xml:space="preserve"> Research Rundowns.</w:t>
      </w:r>
      <w:hyperlink r:id="rId27">
        <w:r w:rsidR="004204FF">
          <w:rPr>
            <w:rFonts w:ascii="Times New Roman" w:eastAsia="Times New Roman" w:hAnsi="Times New Roman" w:cs="Times New Roman"/>
            <w:sz w:val="24"/>
            <w:szCs w:val="24"/>
          </w:rPr>
          <w:t xml:space="preserve"> </w:t>
        </w:r>
      </w:hyperlink>
      <w:hyperlink r:id="rId28">
        <w:r w:rsidR="004204FF">
          <w:rPr>
            <w:rFonts w:ascii="Times New Roman" w:eastAsia="Times New Roman" w:hAnsi="Times New Roman" w:cs="Times New Roman"/>
            <w:sz w:val="24"/>
            <w:szCs w:val="24"/>
            <w:u w:val="single"/>
          </w:rPr>
          <w:t>https://researchrundowns.com/quantitative-methods/instrument-validity-reliability</w:t>
        </w:r>
      </w:hyperlink>
    </w:p>
    <w:p w14:paraId="3459389C" w14:textId="77777777" w:rsidR="004204FF" w:rsidRDefault="004E35BA" w:rsidP="003A775B">
      <w:pPr>
        <w:spacing w:line="240" w:lineRule="auto"/>
        <w:ind w:left="720"/>
        <w:rPr>
          <w:rFonts w:ascii="Times New Roman" w:eastAsia="Times New Roman" w:hAnsi="Times New Roman" w:cs="Times New Roman"/>
          <w:sz w:val="24"/>
          <w:szCs w:val="24"/>
        </w:rPr>
      </w:pPr>
      <w:proofErr w:type="spellStart"/>
      <w:r w:rsidRPr="00EB5077">
        <w:rPr>
          <w:rFonts w:ascii="Times New Roman" w:eastAsia="Times New Roman" w:hAnsi="Times New Roman" w:cs="Times New Roman"/>
          <w:sz w:val="24"/>
          <w:szCs w:val="24"/>
          <w:lang w:val="es-US"/>
        </w:rPr>
        <w:t>Brandão</w:t>
      </w:r>
      <w:proofErr w:type="spellEnd"/>
      <w:r w:rsidRPr="00EB5077">
        <w:rPr>
          <w:rFonts w:ascii="Times New Roman" w:eastAsia="Times New Roman" w:hAnsi="Times New Roman" w:cs="Times New Roman"/>
          <w:sz w:val="24"/>
          <w:szCs w:val="24"/>
          <w:lang w:val="es-US"/>
        </w:rPr>
        <w:t xml:space="preserve">, G. R., Teixeira, L., Araújo, L., Paúl, C., &amp; Ribeiro, O. (2020). </w:t>
      </w:r>
      <w:r>
        <w:rPr>
          <w:rFonts w:ascii="Times New Roman" w:eastAsia="Times New Roman" w:hAnsi="Times New Roman" w:cs="Times New Roman"/>
          <w:sz w:val="24"/>
          <w:szCs w:val="24"/>
        </w:rPr>
        <w:t xml:space="preserve">Self-medication in older European adults: Prevalence and predictive factors. </w:t>
      </w:r>
      <w:r>
        <w:rPr>
          <w:rFonts w:ascii="Times New Roman" w:eastAsia="Times New Roman" w:hAnsi="Times New Roman" w:cs="Times New Roman"/>
          <w:i/>
          <w:iCs/>
          <w:sz w:val="24"/>
          <w:szCs w:val="24"/>
        </w:rPr>
        <w:t>Archives of Gerontology and Geriatrics, 90,</w:t>
      </w:r>
      <w:r>
        <w:rPr>
          <w:rFonts w:ascii="Times New Roman" w:eastAsia="Times New Roman" w:hAnsi="Times New Roman" w:cs="Times New Roman"/>
          <w:sz w:val="24"/>
          <w:szCs w:val="24"/>
        </w:rPr>
        <w:t xml:space="preserve"> 104143. </w:t>
      </w:r>
      <w:hyperlink r:id="rId29">
        <w:r w:rsidR="004204FF">
          <w:rPr>
            <w:rFonts w:ascii="Times New Roman" w:eastAsia="Times New Roman" w:hAnsi="Times New Roman" w:cs="Times New Roman"/>
            <w:sz w:val="24"/>
            <w:szCs w:val="24"/>
            <w:u w:val="single"/>
          </w:rPr>
          <w:t>https://pubmed.ncbi.nlm.nih.gov/32717589/</w:t>
        </w:r>
      </w:hyperlink>
    </w:p>
    <w:p w14:paraId="5DDD75D0" w14:textId="77777777" w:rsidR="004204FF" w:rsidRDefault="004E35BA" w:rsidP="003A775B">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Carandang</w:t>
      </w:r>
      <w:proofErr w:type="spellEnd"/>
      <w:r>
        <w:rPr>
          <w:rFonts w:ascii="Times New Roman" w:eastAsia="Times New Roman" w:hAnsi="Times New Roman" w:cs="Times New Roman"/>
          <w:sz w:val="24"/>
          <w:szCs w:val="24"/>
        </w:rPr>
        <w:t xml:space="preserve">, R. R., </w:t>
      </w:r>
      <w:proofErr w:type="spellStart"/>
      <w:r>
        <w:rPr>
          <w:rFonts w:ascii="Times New Roman" w:eastAsia="Times New Roman" w:hAnsi="Times New Roman" w:cs="Times New Roman"/>
          <w:sz w:val="24"/>
          <w:szCs w:val="24"/>
        </w:rPr>
        <w:t>Asis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Shibanuma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Kiriya</w:t>
      </w:r>
      <w:proofErr w:type="spellEnd"/>
      <w:r>
        <w:rPr>
          <w:rFonts w:ascii="Times New Roman" w:eastAsia="Times New Roman" w:hAnsi="Times New Roman" w:cs="Times New Roman"/>
          <w:sz w:val="24"/>
          <w:szCs w:val="24"/>
        </w:rPr>
        <w:t>, J., Murayama, H., &amp; </w:t>
      </w:r>
      <w:proofErr w:type="spellStart"/>
      <w:r>
        <w:rPr>
          <w:rFonts w:ascii="Times New Roman" w:eastAsia="Times New Roman" w:hAnsi="Times New Roman" w:cs="Times New Roman"/>
          <w:sz w:val="24"/>
          <w:szCs w:val="24"/>
        </w:rPr>
        <w:t>Jimba</w:t>
      </w:r>
      <w:proofErr w:type="spellEnd"/>
      <w:r>
        <w:rPr>
          <w:rFonts w:ascii="Times New Roman" w:eastAsia="Times New Roman" w:hAnsi="Times New Roman" w:cs="Times New Roman"/>
          <w:sz w:val="24"/>
          <w:szCs w:val="24"/>
        </w:rPr>
        <w:t xml:space="preserve">, M. (2019). Unmet needs and coping mechanisms among community‑dwelling senior citizens in the Philippines: A qualitative study. </w:t>
      </w:r>
      <w:r>
        <w:rPr>
          <w:rFonts w:ascii="Times New Roman" w:eastAsia="Times New Roman" w:hAnsi="Times New Roman" w:cs="Times New Roman"/>
          <w:i/>
          <w:iCs/>
          <w:sz w:val="24"/>
          <w:szCs w:val="24"/>
        </w:rPr>
        <w:t xml:space="preserve">International Journal of </w:t>
      </w:r>
      <w:r>
        <w:rPr>
          <w:rFonts w:ascii="Times New Roman" w:eastAsia="Times New Roman" w:hAnsi="Times New Roman" w:cs="Times New Roman"/>
          <w:i/>
          <w:iCs/>
          <w:sz w:val="24"/>
          <w:szCs w:val="24"/>
        </w:rPr>
        <w:lastRenderedPageBreak/>
        <w:t>Environmental Research and Public Health, 16</w:t>
      </w:r>
      <w:r>
        <w:rPr>
          <w:rFonts w:ascii="Times New Roman" w:eastAsia="Times New Roman" w:hAnsi="Times New Roman" w:cs="Times New Roman"/>
          <w:sz w:val="24"/>
          <w:szCs w:val="24"/>
        </w:rPr>
        <w:t xml:space="preserve">(19), 3745. </w:t>
      </w:r>
      <w:hyperlink r:id="rId30">
        <w:r w:rsidR="004204FF">
          <w:rPr>
            <w:rFonts w:ascii="Times New Roman" w:eastAsia="Times New Roman" w:hAnsi="Times New Roman" w:cs="Times New Roman"/>
            <w:sz w:val="24"/>
            <w:szCs w:val="24"/>
            <w:u w:val="single"/>
          </w:rPr>
          <w:t>https://doi.org/10.3390/ijerph16193745</w:t>
        </w:r>
      </w:hyperlink>
    </w:p>
    <w:p w14:paraId="13FD8ECC" w14:textId="77777777" w:rsidR="004204FF" w:rsidRDefault="004204FF" w:rsidP="003A775B">
      <w:pPr>
        <w:spacing w:line="240" w:lineRule="auto"/>
        <w:ind w:left="720" w:hanging="720"/>
        <w:rPr>
          <w:rFonts w:ascii="Times New Roman" w:eastAsia="Times New Roman" w:hAnsi="Times New Roman" w:cs="Times New Roman"/>
          <w:sz w:val="24"/>
          <w:szCs w:val="24"/>
        </w:rPr>
      </w:pPr>
    </w:p>
    <w:p w14:paraId="015BE09C" w14:textId="77777777" w:rsidR="004204FF" w:rsidRDefault="004E35BA" w:rsidP="003A775B">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Commission on Audit – Philippines. (n.d.). </w:t>
      </w:r>
      <w:r>
        <w:rPr>
          <w:rFonts w:ascii="Times New Roman" w:eastAsia="Times New Roman" w:hAnsi="Times New Roman" w:cs="Times New Roman"/>
          <w:i/>
          <w:iCs/>
          <w:sz w:val="24"/>
          <w:szCs w:val="24"/>
        </w:rPr>
        <w:t>Goal 3 – Good Health and Well-being.</w:t>
      </w:r>
      <w:r>
        <w:rPr>
          <w:rFonts w:ascii="Times New Roman" w:eastAsia="Times New Roman" w:hAnsi="Times New Roman" w:cs="Times New Roman"/>
          <w:sz w:val="24"/>
          <w:szCs w:val="24"/>
        </w:rPr>
        <w:t xml:space="preserve"> Retrieved November 10, 2025, from</w:t>
      </w:r>
      <w:hyperlink r:id="rId31">
        <w:r w:rsidR="004204FF">
          <w:rPr>
            <w:rFonts w:ascii="Times New Roman" w:eastAsia="Times New Roman" w:hAnsi="Times New Roman" w:cs="Times New Roman"/>
            <w:sz w:val="24"/>
            <w:szCs w:val="24"/>
          </w:rPr>
          <w:t xml:space="preserve"> </w:t>
        </w:r>
      </w:hyperlink>
      <w:hyperlink r:id="rId32">
        <w:r w:rsidR="004204FF">
          <w:rPr>
            <w:rFonts w:ascii="Times New Roman" w:eastAsia="Times New Roman" w:hAnsi="Times New Roman" w:cs="Times New Roman"/>
            <w:sz w:val="24"/>
            <w:szCs w:val="24"/>
            <w:u w:val="single"/>
          </w:rPr>
          <w:t>https://web.coa.gov.ph/sdg/index.php/goals/sdg/good-health-and-well-being/</w:t>
        </w:r>
      </w:hyperlink>
    </w:p>
    <w:p w14:paraId="3CC47280" w14:textId="77777777" w:rsidR="004204FF" w:rsidRDefault="004204FF" w:rsidP="003A775B">
      <w:pPr>
        <w:spacing w:line="240" w:lineRule="auto"/>
        <w:ind w:left="720"/>
        <w:rPr>
          <w:rFonts w:ascii="Times New Roman" w:eastAsia="Times New Roman" w:hAnsi="Times New Roman" w:cs="Times New Roman"/>
          <w:sz w:val="24"/>
          <w:szCs w:val="24"/>
        </w:rPr>
      </w:pPr>
    </w:p>
    <w:p w14:paraId="57696A52" w14:textId="77777777" w:rsidR="004204FF" w:rsidRDefault="004E35BA" w:rsidP="003A775B">
      <w:pPr>
        <w:spacing w:line="240" w:lineRule="auto"/>
        <w:ind w:left="720"/>
        <w:rPr>
          <w:rFonts w:ascii="Times New Roman" w:eastAsia="Times New Roman" w:hAnsi="Times New Roman" w:cs="Times New Roman"/>
          <w:sz w:val="24"/>
          <w:szCs w:val="24"/>
        </w:rPr>
      </w:pPr>
      <w:proofErr w:type="spellStart"/>
      <w:r w:rsidRPr="00EB5077">
        <w:rPr>
          <w:rFonts w:ascii="Times New Roman" w:eastAsia="Times New Roman" w:hAnsi="Times New Roman" w:cs="Times New Roman"/>
          <w:sz w:val="24"/>
          <w:szCs w:val="24"/>
          <w:lang w:val="es-US"/>
        </w:rPr>
        <w:t>Cotobal</w:t>
      </w:r>
      <w:proofErr w:type="spellEnd"/>
      <w:r w:rsidRPr="00EB5077">
        <w:rPr>
          <w:rFonts w:ascii="Times New Roman" w:eastAsia="Times New Roman" w:hAnsi="Times New Roman" w:cs="Times New Roman"/>
          <w:sz w:val="24"/>
          <w:szCs w:val="24"/>
          <w:lang w:val="es-US"/>
        </w:rPr>
        <w:t xml:space="preserve">-Calvo, E. M., Mata-Pérez, C., </w:t>
      </w:r>
      <w:proofErr w:type="spellStart"/>
      <w:r w:rsidRPr="00EB5077">
        <w:rPr>
          <w:rFonts w:ascii="Times New Roman" w:eastAsia="Times New Roman" w:hAnsi="Times New Roman" w:cs="Times New Roman"/>
          <w:sz w:val="24"/>
          <w:szCs w:val="24"/>
          <w:lang w:val="es-US"/>
        </w:rPr>
        <w:t>Bocchino</w:t>
      </w:r>
      <w:proofErr w:type="spellEnd"/>
      <w:r w:rsidRPr="00EB5077">
        <w:rPr>
          <w:rFonts w:ascii="Times New Roman" w:eastAsia="Times New Roman" w:hAnsi="Times New Roman" w:cs="Times New Roman"/>
          <w:sz w:val="24"/>
          <w:szCs w:val="24"/>
          <w:lang w:val="es-US"/>
        </w:rPr>
        <w:t xml:space="preserve">, A., </w:t>
      </w:r>
      <w:proofErr w:type="spellStart"/>
      <w:r w:rsidRPr="00EB5077">
        <w:rPr>
          <w:rFonts w:ascii="Times New Roman" w:eastAsia="Times New Roman" w:hAnsi="Times New Roman" w:cs="Times New Roman"/>
          <w:sz w:val="24"/>
          <w:szCs w:val="24"/>
          <w:lang w:val="es-US"/>
        </w:rPr>
        <w:t>Gilart</w:t>
      </w:r>
      <w:proofErr w:type="spellEnd"/>
      <w:r w:rsidRPr="00EB5077">
        <w:rPr>
          <w:rFonts w:ascii="Times New Roman" w:eastAsia="Times New Roman" w:hAnsi="Times New Roman" w:cs="Times New Roman"/>
          <w:sz w:val="24"/>
          <w:szCs w:val="24"/>
          <w:lang w:val="es-US"/>
        </w:rPr>
        <w:t xml:space="preserve">, E., Gutiérrez-Baena, B., &amp; Palazón-Fernández, J. L. (2025). </w:t>
      </w:r>
      <w:r>
        <w:rPr>
          <w:rFonts w:ascii="Times New Roman" w:eastAsia="Times New Roman" w:hAnsi="Times New Roman" w:cs="Times New Roman"/>
          <w:sz w:val="24"/>
          <w:szCs w:val="24"/>
        </w:rPr>
        <w:t xml:space="preserve">Self-medication practice and associated factors among health professionals in Spain. </w:t>
      </w:r>
      <w:r>
        <w:rPr>
          <w:rFonts w:ascii="Times New Roman" w:eastAsia="Times New Roman" w:hAnsi="Times New Roman" w:cs="Times New Roman"/>
          <w:i/>
          <w:iCs/>
          <w:sz w:val="24"/>
          <w:szCs w:val="24"/>
        </w:rPr>
        <w:t>Nursing Reports, 15</w:t>
      </w:r>
      <w:r>
        <w:rPr>
          <w:rFonts w:ascii="Times New Roman" w:eastAsia="Times New Roman" w:hAnsi="Times New Roman" w:cs="Times New Roman"/>
          <w:sz w:val="24"/>
          <w:szCs w:val="24"/>
        </w:rPr>
        <w:t>(2), 53.</w:t>
      </w:r>
      <w:hyperlink r:id="rId33">
        <w:r w:rsidR="004204FF">
          <w:rPr>
            <w:rFonts w:ascii="Times New Roman" w:eastAsia="Times New Roman" w:hAnsi="Times New Roman" w:cs="Times New Roman"/>
            <w:sz w:val="24"/>
            <w:szCs w:val="24"/>
          </w:rPr>
          <w:t xml:space="preserve"> </w:t>
        </w:r>
      </w:hyperlink>
      <w:hyperlink r:id="rId34">
        <w:r w:rsidR="004204FF">
          <w:rPr>
            <w:rFonts w:ascii="Times New Roman" w:eastAsia="Times New Roman" w:hAnsi="Times New Roman" w:cs="Times New Roman"/>
            <w:sz w:val="24"/>
            <w:szCs w:val="24"/>
            <w:u w:val="single"/>
          </w:rPr>
          <w:t>https://doi.org/10.3390/nursrep15020053</w:t>
        </w:r>
      </w:hyperlink>
    </w:p>
    <w:p w14:paraId="0220BE95" w14:textId="77777777" w:rsidR="004204FF" w:rsidRDefault="004204FF" w:rsidP="003A775B">
      <w:pPr>
        <w:spacing w:line="240" w:lineRule="auto"/>
        <w:ind w:left="720"/>
        <w:rPr>
          <w:rFonts w:ascii="Times New Roman" w:eastAsia="Times New Roman" w:hAnsi="Times New Roman" w:cs="Times New Roman"/>
          <w:sz w:val="24"/>
          <w:szCs w:val="24"/>
        </w:rPr>
      </w:pPr>
    </w:p>
    <w:p w14:paraId="3D3C1818" w14:textId="77777777" w:rsidR="004204FF" w:rsidRDefault="004E35BA" w:rsidP="003A775B">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Dawkins, B., Renwick, C., Ensor, T., </w:t>
      </w:r>
      <w:proofErr w:type="spellStart"/>
      <w:r>
        <w:rPr>
          <w:rFonts w:ascii="Times New Roman" w:eastAsia="Times New Roman" w:hAnsi="Times New Roman" w:cs="Times New Roman"/>
          <w:sz w:val="24"/>
          <w:szCs w:val="24"/>
        </w:rPr>
        <w:t>Shinkins</w:t>
      </w:r>
      <w:proofErr w:type="spellEnd"/>
      <w:r>
        <w:rPr>
          <w:rFonts w:ascii="Times New Roman" w:eastAsia="Times New Roman" w:hAnsi="Times New Roman" w:cs="Times New Roman"/>
          <w:sz w:val="24"/>
          <w:szCs w:val="24"/>
        </w:rPr>
        <w:t xml:space="preserve">, B., Jayne, D., &amp; Meads, D. (2021, July 4). What factors affect patients’ ability to access healthcare? An overview of systematic reviews. </w:t>
      </w:r>
      <w:r>
        <w:rPr>
          <w:rFonts w:ascii="Times New Roman" w:eastAsia="Times New Roman" w:hAnsi="Times New Roman" w:cs="Times New Roman"/>
          <w:i/>
          <w:iCs/>
          <w:sz w:val="24"/>
          <w:szCs w:val="24"/>
        </w:rPr>
        <w:t>Tropical Medicine &amp; International Health.</w:t>
      </w:r>
      <w:r>
        <w:rPr>
          <w:rFonts w:ascii="Times New Roman" w:eastAsia="Times New Roman" w:hAnsi="Times New Roman" w:cs="Times New Roman"/>
          <w:sz w:val="24"/>
          <w:szCs w:val="24"/>
        </w:rPr>
        <w:t xml:space="preserve"> </w:t>
      </w:r>
      <w:hyperlink r:id="rId35">
        <w:r w:rsidR="004204FF">
          <w:rPr>
            <w:rFonts w:ascii="Times New Roman" w:eastAsia="Times New Roman" w:hAnsi="Times New Roman" w:cs="Times New Roman"/>
            <w:sz w:val="24"/>
            <w:szCs w:val="24"/>
            <w:u w:val="single"/>
          </w:rPr>
          <w:t>https://onlinelibrary.wiley.com/doi/full/10.1111/tmi.13651</w:t>
        </w:r>
      </w:hyperlink>
    </w:p>
    <w:p w14:paraId="457532E1" w14:textId="77777777" w:rsidR="004204FF" w:rsidRDefault="004204FF" w:rsidP="003A775B">
      <w:pPr>
        <w:spacing w:line="240" w:lineRule="auto"/>
        <w:ind w:left="720"/>
        <w:rPr>
          <w:rFonts w:ascii="Times New Roman" w:eastAsia="Times New Roman" w:hAnsi="Times New Roman" w:cs="Times New Roman"/>
          <w:sz w:val="24"/>
          <w:szCs w:val="24"/>
        </w:rPr>
      </w:pPr>
    </w:p>
    <w:p w14:paraId="3C2DAA45" w14:textId="77777777" w:rsidR="004204FF" w:rsidRDefault="004E35BA" w:rsidP="003A775B">
      <w:pPr>
        <w:spacing w:line="240" w:lineRule="auto"/>
        <w:ind w:left="720"/>
        <w:rPr>
          <w:rFonts w:ascii="Times New Roman" w:eastAsia="Times New Roman" w:hAnsi="Times New Roman" w:cs="Times New Roman"/>
          <w:sz w:val="24"/>
          <w:szCs w:val="24"/>
          <w:u w:val="single"/>
        </w:rPr>
      </w:pPr>
      <w:proofErr w:type="spellStart"/>
      <w:r w:rsidRPr="00EB5077">
        <w:rPr>
          <w:rFonts w:ascii="Times New Roman" w:eastAsia="Times New Roman" w:hAnsi="Times New Roman" w:cs="Times New Roman"/>
          <w:sz w:val="24"/>
          <w:szCs w:val="24"/>
          <w:lang w:val="es-US"/>
        </w:rPr>
        <w:t>Devi</w:t>
      </w:r>
      <w:proofErr w:type="spellEnd"/>
      <w:r w:rsidRPr="00EB5077">
        <w:rPr>
          <w:rFonts w:ascii="Times New Roman" w:eastAsia="Times New Roman" w:hAnsi="Times New Roman" w:cs="Times New Roman"/>
          <w:sz w:val="24"/>
          <w:szCs w:val="24"/>
          <w:lang w:val="es-US"/>
        </w:rPr>
        <w:t xml:space="preserve">, B., </w:t>
      </w:r>
      <w:proofErr w:type="spellStart"/>
      <w:r w:rsidRPr="00EB5077">
        <w:rPr>
          <w:rFonts w:ascii="Times New Roman" w:eastAsia="Times New Roman" w:hAnsi="Times New Roman" w:cs="Times New Roman"/>
          <w:sz w:val="24"/>
          <w:szCs w:val="24"/>
          <w:lang w:val="es-US"/>
        </w:rPr>
        <w:t>Lepcha</w:t>
      </w:r>
      <w:proofErr w:type="spellEnd"/>
      <w:r w:rsidRPr="00EB5077">
        <w:rPr>
          <w:rFonts w:ascii="Times New Roman" w:eastAsia="Times New Roman" w:hAnsi="Times New Roman" w:cs="Times New Roman"/>
          <w:sz w:val="24"/>
          <w:szCs w:val="24"/>
          <w:lang w:val="es-US"/>
        </w:rPr>
        <w:t xml:space="preserve">, N., &amp; </w:t>
      </w:r>
      <w:proofErr w:type="spellStart"/>
      <w:r w:rsidRPr="00EB5077">
        <w:rPr>
          <w:rFonts w:ascii="Times New Roman" w:eastAsia="Times New Roman" w:hAnsi="Times New Roman" w:cs="Times New Roman"/>
          <w:sz w:val="24"/>
          <w:szCs w:val="24"/>
          <w:lang w:val="es-US"/>
        </w:rPr>
        <w:t>Basnet</w:t>
      </w:r>
      <w:proofErr w:type="spellEnd"/>
      <w:r w:rsidRPr="00EB5077">
        <w:rPr>
          <w:rFonts w:ascii="Times New Roman" w:eastAsia="Times New Roman" w:hAnsi="Times New Roman" w:cs="Times New Roman"/>
          <w:sz w:val="24"/>
          <w:szCs w:val="24"/>
          <w:lang w:val="es-US"/>
        </w:rPr>
        <w:t xml:space="preserve">, S. (2022). </w:t>
      </w:r>
      <w:r>
        <w:rPr>
          <w:rFonts w:ascii="Times New Roman" w:eastAsia="Times New Roman" w:hAnsi="Times New Roman" w:cs="Times New Roman"/>
          <w:sz w:val="24"/>
          <w:szCs w:val="24"/>
        </w:rPr>
        <w:t xml:space="preserve">Application of correlational research design in nursing and medical research. </w:t>
      </w:r>
      <w:r>
        <w:rPr>
          <w:rFonts w:ascii="Times New Roman" w:eastAsia="Times New Roman" w:hAnsi="Times New Roman" w:cs="Times New Roman"/>
          <w:i/>
          <w:iCs/>
          <w:sz w:val="24"/>
          <w:szCs w:val="24"/>
        </w:rPr>
        <w:t xml:space="preserve">Journal of Xi'an </w:t>
      </w:r>
      <w:proofErr w:type="spellStart"/>
      <w:r>
        <w:rPr>
          <w:rFonts w:ascii="Times New Roman" w:eastAsia="Times New Roman" w:hAnsi="Times New Roman" w:cs="Times New Roman"/>
          <w:i/>
          <w:iCs/>
          <w:sz w:val="24"/>
          <w:szCs w:val="24"/>
        </w:rPr>
        <w:t>Shiyou</w:t>
      </w:r>
      <w:proofErr w:type="spellEnd"/>
      <w:r>
        <w:rPr>
          <w:rFonts w:ascii="Times New Roman" w:eastAsia="Times New Roman" w:hAnsi="Times New Roman" w:cs="Times New Roman"/>
          <w:i/>
          <w:iCs/>
          <w:sz w:val="24"/>
          <w:szCs w:val="24"/>
        </w:rPr>
        <w:t xml:space="preserve"> University, Natural Sciences Edition, 65</w:t>
      </w:r>
      <w:r>
        <w:rPr>
          <w:rFonts w:ascii="Times New Roman" w:eastAsia="Times New Roman" w:hAnsi="Times New Roman" w:cs="Times New Roman"/>
          <w:sz w:val="24"/>
          <w:szCs w:val="24"/>
        </w:rPr>
        <w:t>(11), 60–69.</w:t>
      </w:r>
      <w:hyperlink r:id="rId36">
        <w:r w:rsidR="004204FF">
          <w:rPr>
            <w:rFonts w:ascii="Times New Roman" w:eastAsia="Times New Roman" w:hAnsi="Times New Roman" w:cs="Times New Roman"/>
            <w:sz w:val="24"/>
            <w:szCs w:val="24"/>
          </w:rPr>
          <w:t xml:space="preserve"> </w:t>
        </w:r>
      </w:hyperlink>
      <w:hyperlink r:id="rId37">
        <w:r w:rsidR="004204FF">
          <w:rPr>
            <w:rFonts w:ascii="Times New Roman" w:eastAsia="Times New Roman" w:hAnsi="Times New Roman" w:cs="Times New Roman"/>
            <w:sz w:val="24"/>
            <w:szCs w:val="24"/>
            <w:u w:val="single"/>
          </w:rPr>
          <w:t>https://ehj.ssu.ac.ir/article-1-96-en.pdf</w:t>
        </w:r>
      </w:hyperlink>
    </w:p>
    <w:p w14:paraId="3EE9EC50" w14:textId="77777777" w:rsidR="004204FF" w:rsidRDefault="004204FF" w:rsidP="003A775B">
      <w:pPr>
        <w:spacing w:line="240" w:lineRule="auto"/>
        <w:ind w:left="720"/>
        <w:rPr>
          <w:rFonts w:ascii="Times New Roman" w:eastAsia="Times New Roman" w:hAnsi="Times New Roman" w:cs="Times New Roman"/>
          <w:sz w:val="24"/>
          <w:szCs w:val="24"/>
        </w:rPr>
      </w:pPr>
    </w:p>
    <w:p w14:paraId="2F1B8B56" w14:textId="77777777" w:rsidR="004204FF" w:rsidRDefault="004E35BA" w:rsidP="003A775B">
      <w:pPr>
        <w:spacing w:line="240" w:lineRule="auto"/>
        <w:ind w:left="720"/>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Elkalmi</w:t>
      </w:r>
      <w:proofErr w:type="spellEnd"/>
      <w:r>
        <w:rPr>
          <w:rFonts w:ascii="Times New Roman" w:eastAsia="Times New Roman" w:hAnsi="Times New Roman" w:cs="Times New Roman"/>
          <w:sz w:val="24"/>
          <w:szCs w:val="24"/>
        </w:rPr>
        <w:t xml:space="preserve">, R. M., </w:t>
      </w:r>
      <w:proofErr w:type="spellStart"/>
      <w:r>
        <w:rPr>
          <w:rFonts w:ascii="Times New Roman" w:eastAsia="Times New Roman" w:hAnsi="Times New Roman" w:cs="Times New Roman"/>
          <w:sz w:val="24"/>
          <w:szCs w:val="24"/>
        </w:rPr>
        <w:t>Elnaem</w:t>
      </w:r>
      <w:proofErr w:type="spellEnd"/>
      <w:r>
        <w:rPr>
          <w:rFonts w:ascii="Times New Roman" w:eastAsia="Times New Roman" w:hAnsi="Times New Roman" w:cs="Times New Roman"/>
          <w:sz w:val="24"/>
          <w:szCs w:val="24"/>
        </w:rPr>
        <w:t xml:space="preserve">, M. H., </w:t>
      </w:r>
      <w:proofErr w:type="spellStart"/>
      <w:r>
        <w:rPr>
          <w:rFonts w:ascii="Times New Roman" w:eastAsia="Times New Roman" w:hAnsi="Times New Roman" w:cs="Times New Roman"/>
          <w:sz w:val="24"/>
          <w:szCs w:val="24"/>
        </w:rPr>
        <w:t>Rayes</w:t>
      </w:r>
      <w:proofErr w:type="spellEnd"/>
      <w:r>
        <w:rPr>
          <w:rFonts w:ascii="Times New Roman" w:eastAsia="Times New Roman" w:hAnsi="Times New Roman" w:cs="Times New Roman"/>
          <w:sz w:val="24"/>
          <w:szCs w:val="24"/>
        </w:rPr>
        <w:t xml:space="preserve">, I. K., </w:t>
      </w:r>
      <w:proofErr w:type="spellStart"/>
      <w:r>
        <w:rPr>
          <w:rFonts w:ascii="Times New Roman" w:eastAsia="Times New Roman" w:hAnsi="Times New Roman" w:cs="Times New Roman"/>
          <w:sz w:val="24"/>
          <w:szCs w:val="24"/>
        </w:rPr>
        <w:t>Alkodmani</w:t>
      </w:r>
      <w:proofErr w:type="spellEnd"/>
      <w:r>
        <w:rPr>
          <w:rFonts w:ascii="Times New Roman" w:eastAsia="Times New Roman" w:hAnsi="Times New Roman" w:cs="Times New Roman"/>
          <w:sz w:val="24"/>
          <w:szCs w:val="24"/>
        </w:rPr>
        <w:t xml:space="preserve">, R. M., </w:t>
      </w:r>
      <w:proofErr w:type="spellStart"/>
      <w:r>
        <w:rPr>
          <w:rFonts w:ascii="Times New Roman" w:eastAsia="Times New Roman" w:hAnsi="Times New Roman" w:cs="Times New Roman"/>
          <w:sz w:val="24"/>
          <w:szCs w:val="24"/>
        </w:rPr>
        <w:t>Elsayed</w:t>
      </w:r>
      <w:proofErr w:type="spellEnd"/>
      <w:r>
        <w:rPr>
          <w:rFonts w:ascii="Times New Roman" w:eastAsia="Times New Roman" w:hAnsi="Times New Roman" w:cs="Times New Roman"/>
          <w:sz w:val="24"/>
          <w:szCs w:val="24"/>
        </w:rPr>
        <w:t xml:space="preserve">, T. M., &amp; Jamshed, S. Q. (2018). Perceptions, knowledge and practice of self-medication among undergraduate pharmacy students in Malaysia: A cross sectional study. Journal of Pharmacy Practice and Community Medicine, 4(3), 132–136. </w:t>
      </w:r>
      <w:r>
        <w:rPr>
          <w:rFonts w:ascii="Times New Roman" w:eastAsia="Times New Roman" w:hAnsi="Times New Roman" w:cs="Times New Roman"/>
          <w:sz w:val="24"/>
          <w:szCs w:val="24"/>
          <w:u w:val="single"/>
        </w:rPr>
        <w:t>https://doi.org/10.5530/jppcm.2018.3.32</w:t>
      </w:r>
    </w:p>
    <w:p w14:paraId="4EBD26A7" w14:textId="77777777" w:rsidR="004204FF" w:rsidRDefault="004204FF" w:rsidP="003A775B">
      <w:pPr>
        <w:spacing w:line="240" w:lineRule="auto"/>
        <w:ind w:left="720"/>
        <w:rPr>
          <w:rFonts w:ascii="Times New Roman" w:eastAsia="Times New Roman" w:hAnsi="Times New Roman" w:cs="Times New Roman"/>
          <w:sz w:val="24"/>
          <w:szCs w:val="24"/>
          <w:u w:val="single"/>
        </w:rPr>
      </w:pPr>
    </w:p>
    <w:p w14:paraId="4980A84A" w14:textId="77777777" w:rsidR="004204FF" w:rsidRDefault="004E35BA" w:rsidP="003A775B">
      <w:pPr>
        <w:spacing w:line="240" w:lineRule="auto"/>
        <w:ind w:left="720"/>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Ghodkhande</w:t>
      </w:r>
      <w:proofErr w:type="spellEnd"/>
      <w:r>
        <w:rPr>
          <w:rFonts w:ascii="Times New Roman" w:eastAsia="Times New Roman" w:hAnsi="Times New Roman" w:cs="Times New Roman"/>
          <w:sz w:val="24"/>
          <w:szCs w:val="24"/>
        </w:rPr>
        <w:t xml:space="preserve">, K. P., </w:t>
      </w:r>
      <w:proofErr w:type="spellStart"/>
      <w:r>
        <w:rPr>
          <w:rFonts w:ascii="Times New Roman" w:eastAsia="Times New Roman" w:hAnsi="Times New Roman" w:cs="Times New Roman"/>
          <w:sz w:val="24"/>
          <w:szCs w:val="24"/>
        </w:rPr>
        <w:t>Choudhari</w:t>
      </w:r>
      <w:proofErr w:type="spellEnd"/>
      <w:r>
        <w:rPr>
          <w:rFonts w:ascii="Times New Roman" w:eastAsia="Times New Roman" w:hAnsi="Times New Roman" w:cs="Times New Roman"/>
          <w:sz w:val="24"/>
          <w:szCs w:val="24"/>
        </w:rPr>
        <w:t xml:space="preserve">, S. G., &amp; </w:t>
      </w:r>
      <w:proofErr w:type="spellStart"/>
      <w:r>
        <w:rPr>
          <w:rFonts w:ascii="Times New Roman" w:eastAsia="Times New Roman" w:hAnsi="Times New Roman" w:cs="Times New Roman"/>
          <w:sz w:val="24"/>
          <w:szCs w:val="24"/>
        </w:rPr>
        <w:t>Gaidhane</w:t>
      </w:r>
      <w:proofErr w:type="spellEnd"/>
      <w:r>
        <w:rPr>
          <w:rFonts w:ascii="Times New Roman" w:eastAsia="Times New Roman" w:hAnsi="Times New Roman" w:cs="Times New Roman"/>
          <w:sz w:val="24"/>
          <w:szCs w:val="24"/>
        </w:rPr>
        <w:t xml:space="preserve">, A. (2023). Self-Medication Practices among the Geriatric Population: A Systematic Literature review. </w:t>
      </w:r>
      <w:proofErr w:type="spellStart"/>
      <w:r>
        <w:rPr>
          <w:rFonts w:ascii="Times New Roman" w:eastAsia="Times New Roman" w:hAnsi="Times New Roman" w:cs="Times New Roman"/>
          <w:i/>
          <w:iCs/>
          <w:sz w:val="24"/>
          <w:szCs w:val="24"/>
        </w:rPr>
        <w:t>Cureus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15</w:t>
      </w:r>
      <w:r>
        <w:rPr>
          <w:rFonts w:ascii="Times New Roman" w:eastAsia="Times New Roman" w:hAnsi="Times New Roman" w:cs="Times New Roman"/>
          <w:sz w:val="24"/>
          <w:szCs w:val="24"/>
        </w:rPr>
        <w:t>(7), e42282.</w:t>
      </w:r>
      <w:r>
        <w:rPr>
          <w:rFonts w:ascii="Times New Roman" w:eastAsia="Times New Roman" w:hAnsi="Times New Roman" w:cs="Times New Roman"/>
          <w:sz w:val="24"/>
          <w:szCs w:val="24"/>
          <w:u w:val="single"/>
        </w:rPr>
        <w:t xml:space="preserve"> https://doi.org/10.7759/cureus.42282</w:t>
      </w:r>
    </w:p>
    <w:p w14:paraId="67C4EDA1" w14:textId="77777777" w:rsidR="004204FF" w:rsidRDefault="004E35BA" w:rsidP="003A775B">
      <w:pPr>
        <w:spacing w:line="24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Harkhoe</w:t>
      </w:r>
      <w:proofErr w:type="spellEnd"/>
      <w:r>
        <w:rPr>
          <w:rFonts w:ascii="Times New Roman" w:eastAsia="Times New Roman" w:hAnsi="Times New Roman" w:cs="Times New Roman"/>
          <w:sz w:val="24"/>
          <w:szCs w:val="24"/>
        </w:rPr>
        <w:t xml:space="preserve">, A. (2025, October 28). </w:t>
      </w:r>
      <w:r>
        <w:rPr>
          <w:rFonts w:ascii="Times New Roman" w:eastAsia="Times New Roman" w:hAnsi="Times New Roman" w:cs="Times New Roman"/>
          <w:i/>
          <w:iCs/>
          <w:sz w:val="24"/>
          <w:szCs w:val="24"/>
        </w:rPr>
        <w:t>Pilot testing: Small-scale validation in Lean and Six Sigma.</w:t>
      </w:r>
      <w:r>
        <w:rPr>
          <w:rFonts w:ascii="Times New Roman" w:eastAsia="Times New Roman" w:hAnsi="Times New Roman" w:cs="Times New Roman"/>
          <w:sz w:val="24"/>
          <w:szCs w:val="24"/>
        </w:rPr>
        <w:t xml:space="preserve"> Dmaic.com.</w:t>
      </w:r>
      <w:hyperlink r:id="rId38">
        <w:r w:rsidR="004204FF">
          <w:rPr>
            <w:rFonts w:ascii="Times New Roman" w:eastAsia="Times New Roman" w:hAnsi="Times New Roman" w:cs="Times New Roman"/>
            <w:sz w:val="24"/>
            <w:szCs w:val="24"/>
          </w:rPr>
          <w:t xml:space="preserve"> </w:t>
        </w:r>
      </w:hyperlink>
      <w:hyperlink r:id="rId39">
        <w:r w:rsidR="004204FF">
          <w:rPr>
            <w:rFonts w:ascii="Times New Roman" w:eastAsia="Times New Roman" w:hAnsi="Times New Roman" w:cs="Times New Roman"/>
            <w:sz w:val="24"/>
            <w:szCs w:val="24"/>
            <w:u w:val="single"/>
          </w:rPr>
          <w:t>https://www.dmaic.com/faq/pilot/</w:t>
        </w:r>
      </w:hyperlink>
    </w:p>
    <w:p w14:paraId="08DD3606" w14:textId="77777777" w:rsidR="004204FF" w:rsidRDefault="004E35BA" w:rsidP="003A775B">
      <w:pPr>
        <w:spacing w:line="240" w:lineRule="auto"/>
        <w:ind w:left="720"/>
        <w:rPr>
          <w:rFonts w:ascii="Times New Roman" w:eastAsia="Times New Roman" w:hAnsi="Times New Roman" w:cs="Times New Roman"/>
          <w:sz w:val="24"/>
          <w:szCs w:val="24"/>
          <w:u w:val="single"/>
        </w:rPr>
      </w:pPr>
      <w:r w:rsidRPr="00EB5077">
        <w:rPr>
          <w:rFonts w:ascii="Times New Roman" w:eastAsia="Times New Roman" w:hAnsi="Times New Roman" w:cs="Times New Roman"/>
          <w:sz w:val="24"/>
          <w:szCs w:val="24"/>
          <w:lang w:val="es-US"/>
        </w:rPr>
        <w:t xml:space="preserve">Herrera-Añazco, P., </w:t>
      </w:r>
      <w:proofErr w:type="spellStart"/>
      <w:r w:rsidRPr="00EB5077">
        <w:rPr>
          <w:rFonts w:ascii="Times New Roman" w:eastAsia="Times New Roman" w:hAnsi="Times New Roman" w:cs="Times New Roman"/>
          <w:sz w:val="24"/>
          <w:szCs w:val="24"/>
          <w:lang w:val="es-US"/>
        </w:rPr>
        <w:t>Mougenot</w:t>
      </w:r>
      <w:proofErr w:type="spellEnd"/>
      <w:r w:rsidRPr="00EB5077">
        <w:rPr>
          <w:rFonts w:ascii="Times New Roman" w:eastAsia="Times New Roman" w:hAnsi="Times New Roman" w:cs="Times New Roman"/>
          <w:sz w:val="24"/>
          <w:szCs w:val="24"/>
          <w:lang w:val="es-US"/>
        </w:rPr>
        <w:t xml:space="preserve">, B., Benites-Meza, J. K., </w:t>
      </w:r>
      <w:proofErr w:type="spellStart"/>
      <w:r w:rsidRPr="00EB5077">
        <w:rPr>
          <w:rFonts w:ascii="Times New Roman" w:eastAsia="Times New Roman" w:hAnsi="Times New Roman" w:cs="Times New Roman"/>
          <w:sz w:val="24"/>
          <w:szCs w:val="24"/>
          <w:lang w:val="es-US"/>
        </w:rPr>
        <w:t>Barturén</w:t>
      </w:r>
      <w:proofErr w:type="spellEnd"/>
      <w:r w:rsidRPr="00EB5077">
        <w:rPr>
          <w:rFonts w:ascii="Times New Roman" w:eastAsia="Times New Roman" w:hAnsi="Times New Roman" w:cs="Times New Roman"/>
          <w:sz w:val="24"/>
          <w:szCs w:val="24"/>
          <w:lang w:val="es-US"/>
        </w:rPr>
        <w:t xml:space="preserve">-Alvarado, L. C.,            </w:t>
      </w:r>
      <w:proofErr w:type="spellStart"/>
      <w:r w:rsidRPr="00EB5077">
        <w:rPr>
          <w:rFonts w:ascii="Times New Roman" w:eastAsia="Times New Roman" w:hAnsi="Times New Roman" w:cs="Times New Roman"/>
          <w:sz w:val="24"/>
          <w:szCs w:val="24"/>
          <w:lang w:val="es-US"/>
        </w:rPr>
        <w:t>Zumarán-Nuñez</w:t>
      </w:r>
      <w:proofErr w:type="spellEnd"/>
      <w:r w:rsidRPr="00EB5077">
        <w:rPr>
          <w:rFonts w:ascii="Times New Roman" w:eastAsia="Times New Roman" w:hAnsi="Times New Roman" w:cs="Times New Roman"/>
          <w:sz w:val="24"/>
          <w:szCs w:val="24"/>
          <w:lang w:val="es-US"/>
        </w:rPr>
        <w:t xml:space="preserve">, C. J., Boyd-Gamarra, M. A., </w:t>
      </w:r>
      <w:proofErr w:type="spellStart"/>
      <w:r w:rsidRPr="00EB5077">
        <w:rPr>
          <w:rFonts w:ascii="Times New Roman" w:eastAsia="Times New Roman" w:hAnsi="Times New Roman" w:cs="Times New Roman"/>
          <w:sz w:val="24"/>
          <w:szCs w:val="24"/>
          <w:lang w:val="es-US"/>
        </w:rPr>
        <w:t>Runzer</w:t>
      </w:r>
      <w:proofErr w:type="spellEnd"/>
      <w:r w:rsidRPr="00EB5077">
        <w:rPr>
          <w:rFonts w:ascii="Times New Roman" w:eastAsia="Times New Roman" w:hAnsi="Times New Roman" w:cs="Times New Roman"/>
          <w:sz w:val="24"/>
          <w:szCs w:val="24"/>
          <w:lang w:val="es-US"/>
        </w:rPr>
        <w:t xml:space="preserve">-Colmenares, F. M., &amp; Benites-Zapata, V. A. (2023). </w:t>
      </w:r>
      <w:r>
        <w:rPr>
          <w:rFonts w:ascii="Times New Roman" w:eastAsia="Times New Roman" w:hAnsi="Times New Roman" w:cs="Times New Roman"/>
          <w:i/>
          <w:iCs/>
          <w:sz w:val="24"/>
          <w:szCs w:val="24"/>
        </w:rPr>
        <w:t>Self-medication practices, use of brand-name, and over-the-counter medicines by Peruvian older adults.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Canadian Geriatrics Journal, 26</w:t>
      </w:r>
      <w:r>
        <w:rPr>
          <w:rFonts w:ascii="Times New Roman" w:eastAsia="Times New Roman" w:hAnsi="Times New Roman" w:cs="Times New Roman"/>
          <w:sz w:val="24"/>
          <w:szCs w:val="24"/>
        </w:rPr>
        <w:t>(1), 187–199.</w:t>
      </w:r>
      <w:hyperlink r:id="rId40">
        <w:r w:rsidR="004204FF">
          <w:rPr>
            <w:rFonts w:ascii="Times New Roman" w:eastAsia="Times New Roman" w:hAnsi="Times New Roman" w:cs="Times New Roman"/>
            <w:sz w:val="24"/>
            <w:szCs w:val="24"/>
          </w:rPr>
          <w:t xml:space="preserve"> </w:t>
        </w:r>
      </w:hyperlink>
      <w:hyperlink r:id="rId41">
        <w:r w:rsidR="004204FF">
          <w:rPr>
            <w:rFonts w:ascii="Times New Roman" w:eastAsia="Times New Roman" w:hAnsi="Times New Roman" w:cs="Times New Roman"/>
            <w:sz w:val="24"/>
            <w:szCs w:val="24"/>
            <w:u w:val="single"/>
          </w:rPr>
          <w:t>https://doi.org/10.5770/cgj.26.631</w:t>
        </w:r>
      </w:hyperlink>
      <w:r>
        <w:rPr>
          <w:rFonts w:ascii="Times New Roman" w:eastAsia="Times New Roman" w:hAnsi="Times New Roman" w:cs="Times New Roman"/>
          <w:sz w:val="24"/>
          <w:szCs w:val="24"/>
          <w:u w:val="single"/>
        </w:rPr>
        <w:t xml:space="preserve"> </w:t>
      </w:r>
    </w:p>
    <w:p w14:paraId="296E3350" w14:textId="77777777" w:rsidR="004204FF" w:rsidRDefault="004204FF" w:rsidP="003A775B">
      <w:pPr>
        <w:spacing w:line="240" w:lineRule="auto"/>
        <w:ind w:left="720"/>
        <w:rPr>
          <w:rFonts w:ascii="Times New Roman" w:eastAsia="Times New Roman" w:hAnsi="Times New Roman" w:cs="Times New Roman"/>
          <w:sz w:val="24"/>
          <w:szCs w:val="24"/>
          <w:u w:val="single"/>
        </w:rPr>
      </w:pPr>
    </w:p>
    <w:p w14:paraId="03B34135" w14:textId="77777777" w:rsidR="004204FF" w:rsidRDefault="004E35BA" w:rsidP="003A775B">
      <w:pPr>
        <w:spacing w:line="240" w:lineRule="auto"/>
        <w:ind w:left="720"/>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Izah</w:t>
      </w:r>
      <w:proofErr w:type="spellEnd"/>
      <w:r>
        <w:rPr>
          <w:rFonts w:ascii="Times New Roman" w:eastAsia="Times New Roman" w:hAnsi="Times New Roman" w:cs="Times New Roman"/>
          <w:sz w:val="24"/>
          <w:szCs w:val="24"/>
        </w:rPr>
        <w:t xml:space="preserve">, S. C., Sylva, L., &amp; </w:t>
      </w:r>
      <w:proofErr w:type="spellStart"/>
      <w:r>
        <w:rPr>
          <w:rFonts w:ascii="Times New Roman" w:eastAsia="Times New Roman" w:hAnsi="Times New Roman" w:cs="Times New Roman"/>
          <w:sz w:val="24"/>
          <w:szCs w:val="24"/>
        </w:rPr>
        <w:t>Hait</w:t>
      </w:r>
      <w:proofErr w:type="spellEnd"/>
      <w:r>
        <w:rPr>
          <w:rFonts w:ascii="Times New Roman" w:eastAsia="Times New Roman" w:hAnsi="Times New Roman" w:cs="Times New Roman"/>
          <w:sz w:val="24"/>
          <w:szCs w:val="24"/>
        </w:rPr>
        <w:t xml:space="preserve">, M. (2024). </w:t>
      </w:r>
      <w:r>
        <w:rPr>
          <w:rFonts w:ascii="Times New Roman" w:eastAsia="Times New Roman" w:hAnsi="Times New Roman" w:cs="Times New Roman"/>
          <w:i/>
          <w:iCs/>
          <w:sz w:val="24"/>
          <w:szCs w:val="24"/>
        </w:rPr>
        <w:t>Cronbach’s alpha: A cornerstone in ensuring reliability and validity in environmental health assessment.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ES Energy &amp; Environment, 23</w:t>
      </w:r>
      <w:r>
        <w:rPr>
          <w:rFonts w:ascii="Times New Roman" w:eastAsia="Times New Roman" w:hAnsi="Times New Roman" w:cs="Times New Roman"/>
          <w:sz w:val="24"/>
          <w:szCs w:val="24"/>
        </w:rPr>
        <w:t>, 1057.</w:t>
      </w:r>
      <w:hyperlink r:id="rId42">
        <w:r w:rsidR="004204FF">
          <w:rPr>
            <w:rFonts w:ascii="Times New Roman" w:eastAsia="Times New Roman" w:hAnsi="Times New Roman" w:cs="Times New Roman"/>
            <w:sz w:val="24"/>
            <w:szCs w:val="24"/>
            <w:u w:val="single"/>
          </w:rPr>
          <w:t xml:space="preserve"> </w:t>
        </w:r>
      </w:hyperlink>
      <w:hyperlink r:id="rId43">
        <w:r w:rsidR="004204FF">
          <w:rPr>
            <w:rFonts w:ascii="Times New Roman" w:eastAsia="Times New Roman" w:hAnsi="Times New Roman" w:cs="Times New Roman"/>
            <w:sz w:val="24"/>
            <w:szCs w:val="24"/>
            <w:u w:val="single"/>
          </w:rPr>
          <w:t>https://doi.org/10.30919/esee1057</w:t>
        </w:r>
      </w:hyperlink>
    </w:p>
    <w:p w14:paraId="0ED94A20" w14:textId="77777777" w:rsidR="004204FF" w:rsidRDefault="004E35BA" w:rsidP="003A775B">
      <w:pPr>
        <w:spacing w:line="240" w:lineRule="auto"/>
        <w:ind w:left="720"/>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Khatony</w:t>
      </w:r>
      <w:proofErr w:type="spellEnd"/>
      <w:r>
        <w:rPr>
          <w:rFonts w:ascii="Times New Roman" w:eastAsia="Times New Roman" w:hAnsi="Times New Roman" w:cs="Times New Roman"/>
          <w:sz w:val="24"/>
          <w:szCs w:val="24"/>
        </w:rPr>
        <w:t xml:space="preserve">, A., Soroush, A., &amp; Abdi, A. (2020). </w:t>
      </w:r>
      <w:r>
        <w:rPr>
          <w:rFonts w:ascii="Times New Roman" w:eastAsia="Times New Roman" w:hAnsi="Times New Roman" w:cs="Times New Roman"/>
          <w:i/>
          <w:iCs/>
          <w:sz w:val="24"/>
          <w:szCs w:val="24"/>
        </w:rPr>
        <w:t>Nursing students’ perceived consequences of self-medication: A qualitative study.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BMC Nursing, 19</w:t>
      </w:r>
      <w:r>
        <w:rPr>
          <w:rFonts w:ascii="Times New Roman" w:eastAsia="Times New Roman" w:hAnsi="Times New Roman" w:cs="Times New Roman"/>
          <w:sz w:val="24"/>
          <w:szCs w:val="24"/>
        </w:rPr>
        <w:t>(1), 1–9.</w:t>
      </w:r>
      <w:hyperlink r:id="rId44">
        <w:r w:rsidR="004204FF">
          <w:rPr>
            <w:rFonts w:ascii="Times New Roman" w:eastAsia="Times New Roman" w:hAnsi="Times New Roman" w:cs="Times New Roman"/>
            <w:sz w:val="24"/>
            <w:szCs w:val="24"/>
          </w:rPr>
          <w:t xml:space="preserve"> </w:t>
        </w:r>
      </w:hyperlink>
      <w:hyperlink r:id="rId45">
        <w:r w:rsidR="004204FF">
          <w:rPr>
            <w:rFonts w:ascii="Times New Roman" w:eastAsia="Times New Roman" w:hAnsi="Times New Roman" w:cs="Times New Roman"/>
            <w:sz w:val="24"/>
            <w:szCs w:val="24"/>
            <w:u w:val="single"/>
          </w:rPr>
          <w:t>https://bmcnurs.biomedcentral.com/articles/10.1186/s12912-020-00460-8</w:t>
        </w:r>
      </w:hyperlink>
    </w:p>
    <w:p w14:paraId="40FD661F" w14:textId="77777777" w:rsidR="004204FF" w:rsidRDefault="004E35BA" w:rsidP="003A775B">
      <w:pPr>
        <w:spacing w:line="240" w:lineRule="auto"/>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lastRenderedPageBreak/>
        <w:t>Locquet</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Beaudart</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Reginster</w:t>
      </w:r>
      <w:proofErr w:type="spellEnd"/>
      <w:r>
        <w:rPr>
          <w:rFonts w:ascii="Times New Roman" w:eastAsia="Times New Roman" w:hAnsi="Times New Roman" w:cs="Times New Roman"/>
          <w:sz w:val="24"/>
          <w:szCs w:val="24"/>
        </w:rPr>
        <w:t xml:space="preserve">, J.‑Y., &amp; </w:t>
      </w:r>
      <w:proofErr w:type="spellStart"/>
      <w:r>
        <w:rPr>
          <w:rFonts w:ascii="Times New Roman" w:eastAsia="Times New Roman" w:hAnsi="Times New Roman" w:cs="Times New Roman"/>
          <w:sz w:val="24"/>
          <w:szCs w:val="24"/>
        </w:rPr>
        <w:t>Bruyère</w:t>
      </w:r>
      <w:proofErr w:type="spellEnd"/>
      <w:r>
        <w:rPr>
          <w:rFonts w:ascii="Times New Roman" w:eastAsia="Times New Roman" w:hAnsi="Times New Roman" w:cs="Times New Roman"/>
          <w:sz w:val="24"/>
          <w:szCs w:val="24"/>
        </w:rPr>
        <w:t xml:space="preserve">, O. (2020). Self‑medication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practice among older adults: Prevalence and associated factors. Innovation in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Aging, 4(Supplement_1), 209. </w:t>
      </w:r>
      <w:hyperlink r:id="rId46">
        <w:r w:rsidR="004204FF">
          <w:rPr>
            <w:rFonts w:ascii="Times New Roman" w:eastAsia="Times New Roman" w:hAnsi="Times New Roman" w:cs="Times New Roman"/>
            <w:sz w:val="24"/>
            <w:szCs w:val="24"/>
            <w:u w:val="single"/>
          </w:rPr>
          <w:t>https://doi.org/10.1093/geroni/igaa057.676</w:t>
        </w:r>
      </w:hyperlink>
      <w:r>
        <w:rPr>
          <w:rFonts w:ascii="Times New Roman" w:eastAsia="Times New Roman" w:hAnsi="Times New Roman" w:cs="Times New Roman"/>
          <w:sz w:val="24"/>
          <w:szCs w:val="24"/>
          <w:u w:val="single"/>
        </w:rPr>
        <w:t xml:space="preserve"> </w:t>
      </w:r>
    </w:p>
    <w:p w14:paraId="54438B74" w14:textId="77777777" w:rsidR="004204FF" w:rsidRDefault="004E35BA" w:rsidP="003A775B">
      <w:pPr>
        <w:spacing w:line="240" w:lineRule="auto"/>
        <w:ind w:left="720" w:hanging="720"/>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Loreche</w:t>
      </w:r>
      <w:proofErr w:type="spellEnd"/>
      <w:r>
        <w:rPr>
          <w:rFonts w:ascii="Times New Roman" w:eastAsia="Times New Roman" w:hAnsi="Times New Roman" w:cs="Times New Roman"/>
          <w:sz w:val="24"/>
          <w:szCs w:val="24"/>
        </w:rPr>
        <w:t xml:space="preserve">, A. M., Pepito, V. C. F., &amp; </w:t>
      </w:r>
      <w:proofErr w:type="spellStart"/>
      <w:r>
        <w:rPr>
          <w:rFonts w:ascii="Times New Roman" w:eastAsia="Times New Roman" w:hAnsi="Times New Roman" w:cs="Times New Roman"/>
          <w:sz w:val="24"/>
          <w:szCs w:val="24"/>
        </w:rPr>
        <w:t>Dayrit</w:t>
      </w:r>
      <w:proofErr w:type="spellEnd"/>
      <w:r>
        <w:rPr>
          <w:rFonts w:ascii="Times New Roman" w:eastAsia="Times New Roman" w:hAnsi="Times New Roman" w:cs="Times New Roman"/>
          <w:sz w:val="24"/>
          <w:szCs w:val="24"/>
        </w:rPr>
        <w:t>, M. M. (2023). Self-care practices for common acute conditions in the Philippines: A scoping review. International Journal of Health Governance, 28(4), 383–412.</w:t>
      </w:r>
      <w:r>
        <w:rPr>
          <w:rFonts w:ascii="Times New Roman" w:eastAsia="Times New Roman" w:hAnsi="Times New Roman" w:cs="Times New Roman"/>
          <w:sz w:val="24"/>
          <w:szCs w:val="24"/>
          <w:u w:val="single"/>
        </w:rPr>
        <w:t xml:space="preserve"> </w:t>
      </w:r>
      <w:hyperlink r:id="rId47">
        <w:r w:rsidR="004204FF">
          <w:rPr>
            <w:rFonts w:ascii="Times New Roman" w:eastAsia="Times New Roman" w:hAnsi="Times New Roman" w:cs="Times New Roman"/>
            <w:sz w:val="24"/>
            <w:szCs w:val="24"/>
            <w:u w:val="single"/>
          </w:rPr>
          <w:t>https://doi.org/10.1108/IJHG-01-2023-0008</w:t>
        </w:r>
      </w:hyperlink>
    </w:p>
    <w:p w14:paraId="3E49B2F6" w14:textId="77777777" w:rsidR="004204FF" w:rsidRDefault="004E35BA" w:rsidP="003A775B">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Oliveira, J., Rocha, T. J., &amp; de Souza, R. (2020). </w:t>
      </w:r>
      <w:r>
        <w:rPr>
          <w:rFonts w:ascii="Times New Roman" w:eastAsia="Times New Roman" w:hAnsi="Times New Roman" w:cs="Times New Roman"/>
          <w:i/>
          <w:iCs/>
          <w:sz w:val="24"/>
          <w:szCs w:val="24"/>
        </w:rPr>
        <w:t>Social influences and self-medication behavior among elderly community dwellers. Journal of Aging &amp; Social Policy</w:t>
      </w:r>
      <w:r>
        <w:rPr>
          <w:rFonts w:ascii="Times New Roman" w:eastAsia="Times New Roman" w:hAnsi="Times New Roman" w:cs="Times New Roman"/>
          <w:sz w:val="24"/>
          <w:szCs w:val="24"/>
        </w:rPr>
        <w:t xml:space="preserve">. </w:t>
      </w:r>
      <w:hyperlink r:id="rId48">
        <w:r w:rsidR="004204FF">
          <w:rPr>
            <w:rFonts w:ascii="Times New Roman" w:eastAsia="Times New Roman" w:hAnsi="Times New Roman" w:cs="Times New Roman"/>
            <w:sz w:val="24"/>
            <w:szCs w:val="24"/>
            <w:u w:val="single"/>
          </w:rPr>
          <w:t>https://pubmed.ncbi.nlm.nih.gov/37609089/</w:t>
        </w:r>
      </w:hyperlink>
      <w:r>
        <w:rPr>
          <w:rFonts w:ascii="Times New Roman" w:eastAsia="Times New Roman" w:hAnsi="Times New Roman" w:cs="Times New Roman"/>
          <w:sz w:val="24"/>
          <w:szCs w:val="24"/>
        </w:rPr>
        <w:t xml:space="preserve">&gt; </w:t>
      </w:r>
    </w:p>
    <w:p w14:paraId="2C636EB2" w14:textId="77777777" w:rsidR="004204FF" w:rsidRPr="00EB5077" w:rsidRDefault="004E35BA" w:rsidP="003A775B">
      <w:pPr>
        <w:spacing w:line="240" w:lineRule="auto"/>
        <w:ind w:left="720" w:hanging="720"/>
        <w:rPr>
          <w:rFonts w:ascii="Times New Roman" w:eastAsia="Times New Roman" w:hAnsi="Times New Roman" w:cs="Times New Roman"/>
          <w:sz w:val="24"/>
          <w:szCs w:val="24"/>
          <w:lang w:val="es-US"/>
        </w:rPr>
      </w:pPr>
      <w:r>
        <w:rPr>
          <w:rFonts w:ascii="Times New Roman" w:eastAsia="Times New Roman" w:hAnsi="Times New Roman" w:cs="Times New Roman"/>
          <w:sz w:val="24"/>
          <w:szCs w:val="24"/>
        </w:rPr>
        <w:t xml:space="preserve">Pineda, E. B. (2014). Research methods and thesis writing (2nd ed.). </w:t>
      </w:r>
      <w:r w:rsidRPr="00EB5077">
        <w:rPr>
          <w:rFonts w:ascii="Times New Roman" w:eastAsia="Times New Roman" w:hAnsi="Times New Roman" w:cs="Times New Roman"/>
          <w:sz w:val="24"/>
          <w:szCs w:val="24"/>
          <w:lang w:val="es-US"/>
        </w:rPr>
        <w:t>Rex Book Store.</w:t>
      </w:r>
    </w:p>
    <w:p w14:paraId="7D9A68A5" w14:textId="77777777" w:rsidR="004204FF" w:rsidRDefault="004E35BA" w:rsidP="003A775B">
      <w:pPr>
        <w:spacing w:line="240" w:lineRule="auto"/>
        <w:ind w:left="720"/>
        <w:rPr>
          <w:rFonts w:ascii="Times New Roman" w:eastAsia="Times New Roman" w:hAnsi="Times New Roman" w:cs="Times New Roman"/>
          <w:sz w:val="24"/>
          <w:szCs w:val="24"/>
          <w:u w:val="single"/>
        </w:rPr>
      </w:pPr>
      <w:proofErr w:type="spellStart"/>
      <w:r w:rsidRPr="00EB5077">
        <w:rPr>
          <w:rFonts w:ascii="Times New Roman" w:eastAsia="Times New Roman" w:hAnsi="Times New Roman" w:cs="Times New Roman"/>
          <w:sz w:val="24"/>
          <w:szCs w:val="24"/>
          <w:lang w:val="es-US"/>
        </w:rPr>
        <w:t>Pelullo</w:t>
      </w:r>
      <w:proofErr w:type="spellEnd"/>
      <w:r w:rsidRPr="00EB5077">
        <w:rPr>
          <w:rFonts w:ascii="Times New Roman" w:eastAsia="Times New Roman" w:hAnsi="Times New Roman" w:cs="Times New Roman"/>
          <w:sz w:val="24"/>
          <w:szCs w:val="24"/>
          <w:lang w:val="es-US"/>
        </w:rPr>
        <w:t xml:space="preserve">, C. P., Lombardi, C., Della Polla, G., Napolitano, F., et al. </w:t>
      </w:r>
      <w:r>
        <w:rPr>
          <w:rFonts w:ascii="Times New Roman" w:eastAsia="Times New Roman" w:hAnsi="Times New Roman" w:cs="Times New Roman"/>
          <w:sz w:val="24"/>
          <w:szCs w:val="24"/>
        </w:rPr>
        <w:t xml:space="preserve">(2025). Assessment of knowledge, attitudes, and behaviors related to self-medication practices during the COVID-19 pandemic. Scientific Reports, 15, 38197.v </w:t>
      </w:r>
      <w:hyperlink r:id="rId49">
        <w:r w:rsidR="004204FF">
          <w:rPr>
            <w:rFonts w:ascii="Times New Roman" w:eastAsia="Times New Roman" w:hAnsi="Times New Roman" w:cs="Times New Roman"/>
            <w:sz w:val="24"/>
            <w:szCs w:val="24"/>
            <w:u w:val="single"/>
          </w:rPr>
          <w:t>https://www.nature.com/articles/s41598-025-22124-w</w:t>
        </w:r>
      </w:hyperlink>
    </w:p>
    <w:p w14:paraId="27AD74CF" w14:textId="77777777" w:rsidR="004204FF" w:rsidRDefault="004E35BA" w:rsidP="003A775B">
      <w:pPr>
        <w:spacing w:line="240"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Peter, H. (2020, June). </w:t>
      </w:r>
      <w:r>
        <w:rPr>
          <w:rFonts w:ascii="Times New Roman" w:eastAsia="Times New Roman" w:hAnsi="Times New Roman" w:cs="Times New Roman"/>
          <w:i/>
          <w:iCs/>
          <w:sz w:val="24"/>
          <w:szCs w:val="24"/>
        </w:rPr>
        <w:t>The role of perceived susceptibility and severity in health behavior change: A Health Belief Model perspective.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ResearchGate.</w:t>
      </w:r>
      <w:hyperlink r:id="rId50">
        <w:r w:rsidR="004204FF">
          <w:rPr>
            <w:rFonts w:ascii="Times New Roman" w:eastAsia="Times New Roman" w:hAnsi="Times New Roman" w:cs="Times New Roman"/>
            <w:sz w:val="24"/>
            <w:szCs w:val="24"/>
            <w:u w:val="single"/>
          </w:rPr>
          <w:t xml:space="preserve"> </w:t>
        </w:r>
      </w:hyperlink>
      <w:hyperlink r:id="rId51">
        <w:r w:rsidR="004204FF">
          <w:rPr>
            <w:rFonts w:ascii="Times New Roman" w:eastAsia="Times New Roman" w:hAnsi="Times New Roman" w:cs="Times New Roman"/>
            <w:sz w:val="24"/>
            <w:szCs w:val="24"/>
            <w:u w:val="single"/>
          </w:rPr>
          <w:t>https://www.researchgate.net/publication/388792717_The_Role_of_Perceived_Susceptibility_and_Severity_in_Health_Behavior_Change_A_Health_Belief_Model_Perspective</w:t>
        </w:r>
      </w:hyperlink>
    </w:p>
    <w:p w14:paraId="4466EE35" w14:textId="77777777" w:rsidR="004204FF" w:rsidRDefault="004E35BA" w:rsidP="003A775B">
      <w:pPr>
        <w:spacing w:line="240"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Pérez, M., &amp; Salazar, M. (2024). </w:t>
      </w:r>
      <w:r>
        <w:rPr>
          <w:rFonts w:ascii="Times New Roman" w:eastAsia="Times New Roman" w:hAnsi="Times New Roman" w:cs="Times New Roman"/>
          <w:i/>
          <w:iCs/>
          <w:sz w:val="24"/>
          <w:szCs w:val="24"/>
        </w:rPr>
        <w:t xml:space="preserve">Self-medication practices in older adults: Patterns and determinants. Journal of Pharmaceutical Policy and Practice. </w:t>
      </w:r>
      <w:hyperlink r:id="rId52">
        <w:r w:rsidR="004204FF">
          <w:rPr>
            <w:rFonts w:ascii="Times New Roman" w:eastAsia="Times New Roman" w:hAnsi="Times New Roman" w:cs="Times New Roman"/>
            <w:sz w:val="24"/>
            <w:szCs w:val="24"/>
            <w:u w:val="single"/>
          </w:rPr>
          <w:t>https://pubmed.ncbi.nlm.nih.gov/41090235/</w:t>
        </w:r>
      </w:hyperlink>
      <w:r>
        <w:rPr>
          <w:rFonts w:ascii="Times New Roman" w:eastAsia="Times New Roman" w:hAnsi="Times New Roman" w:cs="Times New Roman"/>
          <w:sz w:val="24"/>
          <w:szCs w:val="24"/>
          <w:u w:val="single"/>
        </w:rPr>
        <w:t xml:space="preserve">&gt; </w:t>
      </w:r>
    </w:p>
    <w:p w14:paraId="3BCD4C42" w14:textId="77777777" w:rsidR="004204FF" w:rsidRDefault="004E35BA" w:rsidP="003A775B">
      <w:pPr>
        <w:spacing w:line="240" w:lineRule="auto"/>
        <w:ind w:left="720"/>
        <w:rPr>
          <w:rFonts w:ascii="Times New Roman" w:eastAsia="Times New Roman" w:hAnsi="Times New Roman" w:cs="Times New Roman"/>
          <w:sz w:val="24"/>
          <w:szCs w:val="24"/>
          <w:u w:val="single"/>
        </w:rPr>
      </w:pPr>
      <w:proofErr w:type="spellStart"/>
      <w:r w:rsidRPr="00EB5077">
        <w:rPr>
          <w:rFonts w:ascii="Times New Roman" w:eastAsia="Times New Roman" w:hAnsi="Times New Roman" w:cs="Times New Roman"/>
          <w:sz w:val="24"/>
          <w:szCs w:val="24"/>
          <w:lang w:val="es-US"/>
        </w:rPr>
        <w:t>Rafati</w:t>
      </w:r>
      <w:proofErr w:type="spellEnd"/>
      <w:r w:rsidRPr="00EB5077">
        <w:rPr>
          <w:rFonts w:ascii="Times New Roman" w:eastAsia="Times New Roman" w:hAnsi="Times New Roman" w:cs="Times New Roman"/>
          <w:sz w:val="24"/>
          <w:szCs w:val="24"/>
          <w:lang w:val="es-US"/>
        </w:rPr>
        <w:t xml:space="preserve">, S., </w:t>
      </w:r>
      <w:proofErr w:type="spellStart"/>
      <w:r w:rsidRPr="00EB5077">
        <w:rPr>
          <w:rFonts w:ascii="Times New Roman" w:eastAsia="Times New Roman" w:hAnsi="Times New Roman" w:cs="Times New Roman"/>
          <w:sz w:val="24"/>
          <w:szCs w:val="24"/>
          <w:lang w:val="es-US"/>
        </w:rPr>
        <w:t>Baniasadi</w:t>
      </w:r>
      <w:proofErr w:type="spellEnd"/>
      <w:r w:rsidRPr="00EB5077">
        <w:rPr>
          <w:rFonts w:ascii="Times New Roman" w:eastAsia="Times New Roman" w:hAnsi="Times New Roman" w:cs="Times New Roman"/>
          <w:sz w:val="24"/>
          <w:szCs w:val="24"/>
          <w:lang w:val="es-US"/>
        </w:rPr>
        <w:t xml:space="preserve">, T., </w:t>
      </w:r>
      <w:proofErr w:type="spellStart"/>
      <w:r w:rsidRPr="00EB5077">
        <w:rPr>
          <w:rFonts w:ascii="Times New Roman" w:eastAsia="Times New Roman" w:hAnsi="Times New Roman" w:cs="Times New Roman"/>
          <w:sz w:val="24"/>
          <w:szCs w:val="24"/>
          <w:lang w:val="es-US"/>
        </w:rPr>
        <w:t>Dastyar</w:t>
      </w:r>
      <w:proofErr w:type="spellEnd"/>
      <w:r w:rsidRPr="00EB5077">
        <w:rPr>
          <w:rFonts w:ascii="Times New Roman" w:eastAsia="Times New Roman" w:hAnsi="Times New Roman" w:cs="Times New Roman"/>
          <w:sz w:val="24"/>
          <w:szCs w:val="24"/>
          <w:lang w:val="es-US"/>
        </w:rPr>
        <w:t xml:space="preserve">, N., </w:t>
      </w:r>
      <w:proofErr w:type="spellStart"/>
      <w:r w:rsidRPr="00EB5077">
        <w:rPr>
          <w:rFonts w:ascii="Times New Roman" w:eastAsia="Times New Roman" w:hAnsi="Times New Roman" w:cs="Times New Roman"/>
          <w:sz w:val="24"/>
          <w:szCs w:val="24"/>
          <w:lang w:val="es-US"/>
        </w:rPr>
        <w:t>Zoghi</w:t>
      </w:r>
      <w:proofErr w:type="spellEnd"/>
      <w:r w:rsidRPr="00EB5077">
        <w:rPr>
          <w:rFonts w:ascii="Times New Roman" w:eastAsia="Times New Roman" w:hAnsi="Times New Roman" w:cs="Times New Roman"/>
          <w:sz w:val="24"/>
          <w:szCs w:val="24"/>
          <w:lang w:val="es-US"/>
        </w:rPr>
        <w:t xml:space="preserve">, G., </w:t>
      </w:r>
      <w:proofErr w:type="spellStart"/>
      <w:r w:rsidRPr="00EB5077">
        <w:rPr>
          <w:rFonts w:ascii="Times New Roman" w:eastAsia="Times New Roman" w:hAnsi="Times New Roman" w:cs="Times New Roman"/>
          <w:sz w:val="24"/>
          <w:szCs w:val="24"/>
          <w:lang w:val="es-US"/>
        </w:rPr>
        <w:t>Ahmadidarrehsima</w:t>
      </w:r>
      <w:proofErr w:type="spellEnd"/>
      <w:r w:rsidRPr="00EB5077">
        <w:rPr>
          <w:rFonts w:ascii="Times New Roman" w:eastAsia="Times New Roman" w:hAnsi="Times New Roman" w:cs="Times New Roman"/>
          <w:sz w:val="24"/>
          <w:szCs w:val="24"/>
          <w:lang w:val="es-US"/>
        </w:rPr>
        <w:t xml:space="preserve">, S., </w:t>
      </w:r>
      <w:proofErr w:type="spellStart"/>
      <w:r w:rsidRPr="00EB5077">
        <w:rPr>
          <w:rFonts w:ascii="Times New Roman" w:eastAsia="Times New Roman" w:hAnsi="Times New Roman" w:cs="Times New Roman"/>
          <w:sz w:val="24"/>
          <w:szCs w:val="24"/>
          <w:lang w:val="es-US"/>
        </w:rPr>
        <w:t>Salari</w:t>
      </w:r>
      <w:proofErr w:type="spellEnd"/>
      <w:r w:rsidRPr="00EB5077">
        <w:rPr>
          <w:rFonts w:ascii="Times New Roman" w:eastAsia="Times New Roman" w:hAnsi="Times New Roman" w:cs="Times New Roman"/>
          <w:sz w:val="24"/>
          <w:szCs w:val="24"/>
          <w:lang w:val="es-US"/>
        </w:rPr>
        <w:t xml:space="preserve">, N., &amp; </w:t>
      </w:r>
      <w:proofErr w:type="spellStart"/>
      <w:r w:rsidRPr="00EB5077">
        <w:rPr>
          <w:rFonts w:ascii="Times New Roman" w:eastAsia="Times New Roman" w:hAnsi="Times New Roman" w:cs="Times New Roman"/>
          <w:sz w:val="24"/>
          <w:szCs w:val="24"/>
          <w:lang w:val="es-US"/>
        </w:rPr>
        <w:t>Rafati</w:t>
      </w:r>
      <w:proofErr w:type="spellEnd"/>
      <w:r w:rsidRPr="00EB5077">
        <w:rPr>
          <w:rFonts w:ascii="Times New Roman" w:eastAsia="Times New Roman" w:hAnsi="Times New Roman" w:cs="Times New Roman"/>
          <w:sz w:val="24"/>
          <w:szCs w:val="24"/>
          <w:lang w:val="es-US"/>
        </w:rPr>
        <w:t xml:space="preserve">, F. (2023). </w:t>
      </w:r>
      <w:r>
        <w:rPr>
          <w:rFonts w:ascii="Times New Roman" w:eastAsia="Times New Roman" w:hAnsi="Times New Roman" w:cs="Times New Roman"/>
          <w:sz w:val="24"/>
          <w:szCs w:val="24"/>
        </w:rPr>
        <w:t xml:space="preserve">Prevalence of self-medication among the elderly: A systematic review and meta-analysis. </w:t>
      </w:r>
      <w:r>
        <w:rPr>
          <w:rFonts w:ascii="Times New Roman" w:eastAsia="Times New Roman" w:hAnsi="Times New Roman" w:cs="Times New Roman"/>
          <w:i/>
          <w:iCs/>
          <w:sz w:val="24"/>
          <w:szCs w:val="24"/>
        </w:rPr>
        <w:t>Journal of Education and Health Promotion, 12</w:t>
      </w:r>
      <w:r>
        <w:rPr>
          <w:rFonts w:ascii="Times New Roman" w:eastAsia="Times New Roman" w:hAnsi="Times New Roman" w:cs="Times New Roman"/>
          <w:sz w:val="24"/>
          <w:szCs w:val="24"/>
        </w:rPr>
        <w:t xml:space="preserve">(1), 67. </w:t>
      </w:r>
      <w:hyperlink r:id="rId53">
        <w:r w:rsidR="004204FF">
          <w:rPr>
            <w:rFonts w:ascii="Times New Roman" w:eastAsia="Times New Roman" w:hAnsi="Times New Roman" w:cs="Times New Roman"/>
            <w:sz w:val="24"/>
            <w:szCs w:val="24"/>
            <w:u w:val="single"/>
          </w:rPr>
          <w:t>https://doi.org/10.4103/jehp.jehp_630_22</w:t>
        </w:r>
      </w:hyperlink>
    </w:p>
    <w:p w14:paraId="4DF3541F" w14:textId="77777777" w:rsidR="004204FF" w:rsidRDefault="004E35BA" w:rsidP="003A775B">
      <w:pPr>
        <w:spacing w:line="240" w:lineRule="auto"/>
        <w:ind w:left="72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Rashid, M., Chhabra, M., Kashyap, A., </w:t>
      </w:r>
      <w:proofErr w:type="spellStart"/>
      <w:r>
        <w:rPr>
          <w:rFonts w:ascii="Times New Roman" w:eastAsia="Times New Roman" w:hAnsi="Times New Roman" w:cs="Times New Roman"/>
          <w:sz w:val="24"/>
          <w:szCs w:val="24"/>
        </w:rPr>
        <w:t>Undela</w:t>
      </w:r>
      <w:proofErr w:type="spellEnd"/>
      <w:r>
        <w:rPr>
          <w:rFonts w:ascii="Times New Roman" w:eastAsia="Times New Roman" w:hAnsi="Times New Roman" w:cs="Times New Roman"/>
          <w:sz w:val="24"/>
          <w:szCs w:val="24"/>
        </w:rPr>
        <w:t xml:space="preserve">, K., &amp; </w:t>
      </w:r>
      <w:proofErr w:type="spellStart"/>
      <w:r>
        <w:rPr>
          <w:rFonts w:ascii="Times New Roman" w:eastAsia="Times New Roman" w:hAnsi="Times New Roman" w:cs="Times New Roman"/>
          <w:sz w:val="24"/>
          <w:szCs w:val="24"/>
        </w:rPr>
        <w:t>Gudi</w:t>
      </w:r>
      <w:proofErr w:type="spellEnd"/>
      <w:r>
        <w:rPr>
          <w:rFonts w:ascii="Times New Roman" w:eastAsia="Times New Roman" w:hAnsi="Times New Roman" w:cs="Times New Roman"/>
          <w:sz w:val="24"/>
          <w:szCs w:val="24"/>
        </w:rPr>
        <w:t xml:space="preserve">, S. K. (2020). Prevalence and predictors of self-medication practices in India: A systematic literature review and meta-analysis. </w:t>
      </w:r>
      <w:r>
        <w:rPr>
          <w:rFonts w:ascii="Times New Roman" w:eastAsia="Times New Roman" w:hAnsi="Times New Roman" w:cs="Times New Roman"/>
          <w:i/>
          <w:iCs/>
          <w:sz w:val="24"/>
          <w:szCs w:val="24"/>
        </w:rPr>
        <w:t>Current Clinical Pharmacology, 15</w:t>
      </w:r>
      <w:r>
        <w:rPr>
          <w:rFonts w:ascii="Times New Roman" w:eastAsia="Times New Roman" w:hAnsi="Times New Roman" w:cs="Times New Roman"/>
          <w:sz w:val="24"/>
          <w:szCs w:val="24"/>
        </w:rPr>
        <w:t>(2), 90–101.</w:t>
      </w:r>
      <w:hyperlink r:id="rId54">
        <w:r w:rsidR="004204FF">
          <w:rPr>
            <w:rFonts w:ascii="Times New Roman" w:eastAsia="Times New Roman" w:hAnsi="Times New Roman" w:cs="Times New Roman"/>
            <w:sz w:val="24"/>
            <w:szCs w:val="24"/>
          </w:rPr>
          <w:t xml:space="preserve"> </w:t>
        </w:r>
      </w:hyperlink>
      <w:hyperlink r:id="rId55">
        <w:r w:rsidR="004204FF">
          <w:rPr>
            <w:rFonts w:ascii="Times New Roman" w:eastAsia="Times New Roman" w:hAnsi="Times New Roman" w:cs="Times New Roman"/>
            <w:sz w:val="24"/>
            <w:szCs w:val="24"/>
            <w:u w:val="single"/>
          </w:rPr>
          <w:t>https://doi.org/10.2174/1574884714666191122103953</w:t>
        </w:r>
      </w:hyperlink>
    </w:p>
    <w:p w14:paraId="0AEF026E" w14:textId="77777777" w:rsidR="004204FF" w:rsidRDefault="004E35BA" w:rsidP="003A775B">
      <w:pPr>
        <w:spacing w:line="240"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Rathod, P., Sharma, S., </w:t>
      </w:r>
      <w:proofErr w:type="spellStart"/>
      <w:r>
        <w:rPr>
          <w:rFonts w:ascii="Times New Roman" w:eastAsia="Times New Roman" w:hAnsi="Times New Roman" w:cs="Times New Roman"/>
          <w:sz w:val="24"/>
          <w:szCs w:val="24"/>
        </w:rPr>
        <w:t>Ukey</w:t>
      </w:r>
      <w:proofErr w:type="spellEnd"/>
      <w:r>
        <w:rPr>
          <w:rFonts w:ascii="Times New Roman" w:eastAsia="Times New Roman" w:hAnsi="Times New Roman" w:cs="Times New Roman"/>
          <w:sz w:val="24"/>
          <w:szCs w:val="24"/>
        </w:rPr>
        <w:t xml:space="preserve">, U., </w:t>
      </w:r>
      <w:proofErr w:type="spellStart"/>
      <w:r>
        <w:rPr>
          <w:rFonts w:ascii="Times New Roman" w:eastAsia="Times New Roman" w:hAnsi="Times New Roman" w:cs="Times New Roman"/>
          <w:sz w:val="24"/>
          <w:szCs w:val="24"/>
        </w:rPr>
        <w:t>Sonpimpale</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Ughade</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Narlawar</w:t>
      </w:r>
      <w:proofErr w:type="spellEnd"/>
      <w:r>
        <w:rPr>
          <w:rFonts w:ascii="Times New Roman" w:eastAsia="Times New Roman" w:hAnsi="Times New Roman" w:cs="Times New Roman"/>
          <w:sz w:val="24"/>
          <w:szCs w:val="24"/>
        </w:rPr>
        <w:t xml:space="preserve">, U., Gaikwad, S., Nair, P., </w:t>
      </w:r>
      <w:proofErr w:type="spellStart"/>
      <w:r>
        <w:rPr>
          <w:rFonts w:ascii="Times New Roman" w:eastAsia="Times New Roman" w:hAnsi="Times New Roman" w:cs="Times New Roman"/>
          <w:sz w:val="24"/>
          <w:szCs w:val="24"/>
        </w:rPr>
        <w:t>Masram</w:t>
      </w:r>
      <w:proofErr w:type="spellEnd"/>
      <w:r>
        <w:rPr>
          <w:rFonts w:ascii="Times New Roman" w:eastAsia="Times New Roman" w:hAnsi="Times New Roman" w:cs="Times New Roman"/>
          <w:sz w:val="24"/>
          <w:szCs w:val="24"/>
        </w:rPr>
        <w:t xml:space="preserve">, P., &amp; Pandey, S. (2023). Prevalence, pattern, and reasons for self-medication: A community-based cross-sectional study from Central India. </w:t>
      </w:r>
      <w:proofErr w:type="spellStart"/>
      <w:r>
        <w:rPr>
          <w:rFonts w:ascii="Times New Roman" w:eastAsia="Times New Roman" w:hAnsi="Times New Roman" w:cs="Times New Roman"/>
          <w:i/>
          <w:iCs/>
          <w:sz w:val="24"/>
          <w:szCs w:val="24"/>
        </w:rPr>
        <w:t>Cureus</w:t>
      </w:r>
      <w:proofErr w:type="spellEnd"/>
      <w:r>
        <w:rPr>
          <w:rFonts w:ascii="Times New Roman" w:eastAsia="Times New Roman" w:hAnsi="Times New Roman" w:cs="Times New Roman"/>
          <w:i/>
          <w:iCs/>
          <w:sz w:val="24"/>
          <w:szCs w:val="24"/>
        </w:rPr>
        <w:t>, 15</w:t>
      </w:r>
      <w:r>
        <w:rPr>
          <w:rFonts w:ascii="Times New Roman" w:eastAsia="Times New Roman" w:hAnsi="Times New Roman" w:cs="Times New Roman"/>
          <w:sz w:val="24"/>
          <w:szCs w:val="24"/>
        </w:rPr>
        <w:t>(1), e33917.</w:t>
      </w:r>
      <w:r>
        <w:rPr>
          <w:rFonts w:ascii="Times New Roman" w:eastAsia="Times New Roman" w:hAnsi="Times New Roman" w:cs="Times New Roman"/>
          <w:sz w:val="24"/>
          <w:szCs w:val="24"/>
          <w:u w:val="single"/>
        </w:rPr>
        <w:t xml:space="preserve"> </w:t>
      </w:r>
      <w:hyperlink r:id="rId56">
        <w:r w:rsidR="004204FF">
          <w:rPr>
            <w:rFonts w:ascii="Times New Roman" w:eastAsia="Times New Roman" w:hAnsi="Times New Roman" w:cs="Times New Roman"/>
            <w:sz w:val="24"/>
            <w:szCs w:val="24"/>
            <w:u w:val="single"/>
          </w:rPr>
          <w:t>https://doi.org/10.7759/cureus.33917</w:t>
        </w:r>
      </w:hyperlink>
    </w:p>
    <w:p w14:paraId="0E3CEF49" w14:textId="77777777" w:rsidR="004204FF" w:rsidRDefault="004E35BA" w:rsidP="003A77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Republic of the Philippines. (2004). </w:t>
      </w:r>
      <w:r>
        <w:rPr>
          <w:rFonts w:ascii="Times New Roman" w:eastAsia="Times New Roman" w:hAnsi="Times New Roman" w:cs="Times New Roman"/>
          <w:i/>
          <w:iCs/>
          <w:sz w:val="24"/>
          <w:szCs w:val="24"/>
        </w:rPr>
        <w:t>Republic Act No. 9257: Expanded Senior Citizens Act of 2003.</w:t>
      </w:r>
      <w:hyperlink r:id="rId57">
        <w:r w:rsidR="004204FF">
          <w:rPr>
            <w:rFonts w:ascii="Times New Roman" w:eastAsia="Times New Roman" w:hAnsi="Times New Roman" w:cs="Times New Roman"/>
            <w:sz w:val="24"/>
            <w:szCs w:val="24"/>
          </w:rPr>
          <w:t xml:space="preserve"> </w:t>
        </w:r>
      </w:hyperlink>
      <w:hyperlink r:id="rId58">
        <w:r w:rsidR="004204FF">
          <w:rPr>
            <w:rFonts w:ascii="Times New Roman" w:eastAsia="Times New Roman" w:hAnsi="Times New Roman" w:cs="Times New Roman"/>
            <w:sz w:val="24"/>
            <w:szCs w:val="24"/>
            <w:u w:val="single"/>
          </w:rPr>
          <w:t>https://lawphil.net/statutes/repacts/ra2004/ra_9257_2004.html</w:t>
        </w:r>
      </w:hyperlink>
    </w:p>
    <w:p w14:paraId="52B47545" w14:textId="77777777" w:rsidR="004204FF" w:rsidRDefault="004204FF" w:rsidP="003A775B">
      <w:pPr>
        <w:spacing w:line="240" w:lineRule="auto"/>
        <w:ind w:left="720"/>
        <w:rPr>
          <w:rFonts w:ascii="Times New Roman" w:eastAsia="Times New Roman" w:hAnsi="Times New Roman" w:cs="Times New Roman"/>
          <w:sz w:val="24"/>
          <w:szCs w:val="24"/>
        </w:rPr>
      </w:pPr>
    </w:p>
    <w:p w14:paraId="7003C948" w14:textId="77777777" w:rsidR="004204FF" w:rsidRDefault="004E35BA" w:rsidP="003A775B">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Shire, Q., </w:t>
      </w:r>
      <w:proofErr w:type="spellStart"/>
      <w:r>
        <w:rPr>
          <w:rFonts w:ascii="Times New Roman" w:eastAsia="Times New Roman" w:hAnsi="Times New Roman" w:cs="Times New Roman"/>
          <w:sz w:val="24"/>
          <w:szCs w:val="24"/>
        </w:rPr>
        <w:t>Hashi</w:t>
      </w:r>
      <w:proofErr w:type="spellEnd"/>
      <w:r>
        <w:rPr>
          <w:rFonts w:ascii="Times New Roman" w:eastAsia="Times New Roman" w:hAnsi="Times New Roman" w:cs="Times New Roman"/>
          <w:sz w:val="24"/>
          <w:szCs w:val="24"/>
        </w:rPr>
        <w:t xml:space="preserve">, Q., </w:t>
      </w:r>
      <w:proofErr w:type="spellStart"/>
      <w:r>
        <w:rPr>
          <w:rFonts w:ascii="Times New Roman" w:eastAsia="Times New Roman" w:hAnsi="Times New Roman" w:cs="Times New Roman"/>
          <w:sz w:val="24"/>
          <w:szCs w:val="24"/>
        </w:rPr>
        <w:t>Sanni</w:t>
      </w:r>
      <w:proofErr w:type="spellEnd"/>
      <w:r>
        <w:rPr>
          <w:rFonts w:ascii="Times New Roman" w:eastAsia="Times New Roman" w:hAnsi="Times New Roman" w:cs="Times New Roman"/>
          <w:sz w:val="24"/>
          <w:szCs w:val="24"/>
        </w:rPr>
        <w:t xml:space="preserve">, F. O., &amp; </w:t>
      </w:r>
      <w:proofErr w:type="spellStart"/>
      <w:r>
        <w:rPr>
          <w:rFonts w:ascii="Times New Roman" w:eastAsia="Times New Roman" w:hAnsi="Times New Roman" w:cs="Times New Roman"/>
          <w:sz w:val="24"/>
          <w:szCs w:val="24"/>
        </w:rPr>
        <w:t>Tomori</w:t>
      </w:r>
      <w:proofErr w:type="spellEnd"/>
      <w:r>
        <w:rPr>
          <w:rFonts w:ascii="Times New Roman" w:eastAsia="Times New Roman" w:hAnsi="Times New Roman" w:cs="Times New Roman"/>
          <w:sz w:val="24"/>
          <w:szCs w:val="24"/>
        </w:rPr>
        <w:t xml:space="preserve">, M. O. (2023). </w:t>
      </w:r>
      <w:r>
        <w:rPr>
          <w:rFonts w:ascii="Times New Roman" w:eastAsia="Times New Roman" w:hAnsi="Times New Roman" w:cs="Times New Roman"/>
          <w:i/>
          <w:iCs/>
          <w:sz w:val="24"/>
          <w:szCs w:val="24"/>
        </w:rPr>
        <w:t>Knowledge and perception    regarding the risk associated with self-medication in Ado-</w:t>
      </w:r>
      <w:proofErr w:type="spellStart"/>
      <w:r>
        <w:rPr>
          <w:rFonts w:ascii="Times New Roman" w:eastAsia="Times New Roman" w:hAnsi="Times New Roman" w:cs="Times New Roman"/>
          <w:i/>
          <w:iCs/>
          <w:sz w:val="24"/>
          <w:szCs w:val="24"/>
        </w:rPr>
        <w:t>Odo</w:t>
      </w:r>
      <w:proofErr w:type="spellEnd"/>
      <w:r>
        <w:rPr>
          <w:rFonts w:ascii="Times New Roman" w:eastAsia="Times New Roman" w:hAnsi="Times New Roman" w:cs="Times New Roman"/>
          <w:i/>
          <w:iCs/>
          <w:sz w:val="24"/>
          <w:szCs w:val="24"/>
        </w:rPr>
        <w:t xml:space="preserve"> Ota local government area of Ogun State, Nigeria.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MGM Journal of Medical Sciences, 10</w:t>
      </w:r>
      <w:r>
        <w:rPr>
          <w:rFonts w:ascii="Times New Roman" w:eastAsia="Times New Roman" w:hAnsi="Times New Roman" w:cs="Times New Roman"/>
          <w:sz w:val="24"/>
          <w:szCs w:val="24"/>
        </w:rPr>
        <w:t xml:space="preserve">(4), 691–701. </w:t>
      </w:r>
      <w:hyperlink r:id="rId59">
        <w:r w:rsidR="004204FF">
          <w:rPr>
            <w:rFonts w:ascii="Times New Roman" w:eastAsia="Times New Roman" w:hAnsi="Times New Roman" w:cs="Times New Roman"/>
            <w:sz w:val="24"/>
            <w:szCs w:val="24"/>
            <w:u w:val="single"/>
          </w:rPr>
          <w:t>https://doi.org/10.4103/mgmj.mgmj_240_23</w:t>
        </w:r>
      </w:hyperlink>
    </w:p>
    <w:p w14:paraId="5C4DBA9A" w14:textId="77777777" w:rsidR="004204FF" w:rsidRDefault="004204FF" w:rsidP="003A775B">
      <w:pPr>
        <w:spacing w:line="240" w:lineRule="auto"/>
        <w:ind w:left="720"/>
        <w:rPr>
          <w:rFonts w:ascii="Times New Roman" w:eastAsia="Times New Roman" w:hAnsi="Times New Roman" w:cs="Times New Roman"/>
          <w:sz w:val="24"/>
          <w:szCs w:val="24"/>
        </w:rPr>
      </w:pPr>
    </w:p>
    <w:p w14:paraId="2CFC9211" w14:textId="77777777" w:rsidR="004204FF" w:rsidRDefault="004E35BA" w:rsidP="003A775B">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Shrestha, A. B., </w:t>
      </w:r>
      <w:proofErr w:type="spellStart"/>
      <w:r>
        <w:rPr>
          <w:rFonts w:ascii="Times New Roman" w:eastAsia="Times New Roman" w:hAnsi="Times New Roman" w:cs="Times New Roman"/>
          <w:sz w:val="24"/>
          <w:szCs w:val="24"/>
        </w:rPr>
        <w:t>Aryal</w:t>
      </w:r>
      <w:proofErr w:type="spellEnd"/>
      <w:r>
        <w:rPr>
          <w:rFonts w:ascii="Times New Roman" w:eastAsia="Times New Roman" w:hAnsi="Times New Roman" w:cs="Times New Roman"/>
          <w:sz w:val="24"/>
          <w:szCs w:val="24"/>
        </w:rPr>
        <w:t xml:space="preserve">, M., Magar, J. R., Shrestha, S., </w:t>
      </w:r>
      <w:proofErr w:type="spellStart"/>
      <w:r>
        <w:rPr>
          <w:rFonts w:ascii="Times New Roman" w:eastAsia="Times New Roman" w:hAnsi="Times New Roman" w:cs="Times New Roman"/>
          <w:sz w:val="24"/>
          <w:szCs w:val="24"/>
        </w:rPr>
        <w:t>Hossainy</w:t>
      </w:r>
      <w:proofErr w:type="spellEnd"/>
      <w:r>
        <w:rPr>
          <w:rFonts w:ascii="Times New Roman" w:eastAsia="Times New Roman" w:hAnsi="Times New Roman" w:cs="Times New Roman"/>
          <w:sz w:val="24"/>
          <w:szCs w:val="24"/>
        </w:rPr>
        <w:t xml:space="preserve">, L., &amp; </w:t>
      </w:r>
      <w:proofErr w:type="spellStart"/>
      <w:r>
        <w:rPr>
          <w:rFonts w:ascii="Times New Roman" w:eastAsia="Times New Roman" w:hAnsi="Times New Roman" w:cs="Times New Roman"/>
          <w:sz w:val="24"/>
          <w:szCs w:val="24"/>
        </w:rPr>
        <w:t>Rimti</w:t>
      </w:r>
      <w:proofErr w:type="spellEnd"/>
      <w:r>
        <w:rPr>
          <w:rFonts w:ascii="Times New Roman" w:eastAsia="Times New Roman" w:hAnsi="Times New Roman" w:cs="Times New Roman"/>
          <w:sz w:val="24"/>
          <w:szCs w:val="24"/>
        </w:rPr>
        <w:t xml:space="preserve">, F. H. (2022). </w:t>
      </w:r>
      <w:r>
        <w:rPr>
          <w:rFonts w:ascii="Times New Roman" w:eastAsia="Times New Roman" w:hAnsi="Times New Roman" w:cs="Times New Roman"/>
          <w:i/>
          <w:iCs/>
          <w:sz w:val="24"/>
          <w:szCs w:val="24"/>
        </w:rPr>
        <w:t>The scenario of self‑medication practices during the COVID‑19 pandemic: A systematic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Annals of Medicine and Surgery, 82</w:t>
      </w:r>
      <w:r>
        <w:rPr>
          <w:rFonts w:ascii="Times New Roman" w:eastAsia="Times New Roman" w:hAnsi="Times New Roman" w:cs="Times New Roman"/>
          <w:sz w:val="24"/>
          <w:szCs w:val="24"/>
        </w:rPr>
        <w:t xml:space="preserve">, Article 104482. </w:t>
      </w:r>
      <w:hyperlink r:id="rId60">
        <w:r w:rsidR="004204FF">
          <w:rPr>
            <w:rFonts w:ascii="Times New Roman" w:eastAsia="Times New Roman" w:hAnsi="Times New Roman" w:cs="Times New Roman"/>
            <w:sz w:val="24"/>
            <w:szCs w:val="24"/>
            <w:u w:val="single"/>
          </w:rPr>
          <w:t>https://doi.org/10.1016/j.amsu.2022.104482</w:t>
        </w:r>
      </w:hyperlink>
    </w:p>
    <w:p w14:paraId="707C7422" w14:textId="77777777" w:rsidR="004204FF" w:rsidRPr="00EB5077" w:rsidRDefault="004E35BA" w:rsidP="003A775B">
      <w:pPr>
        <w:spacing w:line="240" w:lineRule="auto"/>
        <w:ind w:left="720"/>
        <w:rPr>
          <w:rFonts w:ascii="Times New Roman" w:eastAsia="Times New Roman" w:hAnsi="Times New Roman" w:cs="Times New Roman"/>
          <w:color w:val="222222"/>
          <w:sz w:val="24"/>
          <w:szCs w:val="24"/>
          <w:lang w:val="es-US"/>
        </w:rPr>
      </w:pPr>
      <w:proofErr w:type="spellStart"/>
      <w:r>
        <w:rPr>
          <w:rFonts w:ascii="Times New Roman" w:eastAsia="Times New Roman" w:hAnsi="Times New Roman" w:cs="Times New Roman"/>
          <w:sz w:val="24"/>
          <w:szCs w:val="24"/>
        </w:rPr>
        <w:lastRenderedPageBreak/>
        <w:t>Sukeri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Zahiruddin</w:t>
      </w:r>
      <w:proofErr w:type="spellEnd"/>
      <w:r>
        <w:rPr>
          <w:rFonts w:ascii="Times New Roman" w:eastAsia="Times New Roman" w:hAnsi="Times New Roman" w:cs="Times New Roman"/>
          <w:sz w:val="24"/>
          <w:szCs w:val="24"/>
        </w:rPr>
        <w:t xml:space="preserve">, W. M., </w:t>
      </w:r>
      <w:proofErr w:type="spellStart"/>
      <w:r>
        <w:rPr>
          <w:rFonts w:ascii="Times New Roman" w:eastAsia="Times New Roman" w:hAnsi="Times New Roman" w:cs="Times New Roman"/>
          <w:sz w:val="24"/>
          <w:szCs w:val="24"/>
        </w:rPr>
        <w:t>Shafei</w:t>
      </w:r>
      <w:proofErr w:type="spellEnd"/>
      <w:r>
        <w:rPr>
          <w:rFonts w:ascii="Times New Roman" w:eastAsia="Times New Roman" w:hAnsi="Times New Roman" w:cs="Times New Roman"/>
          <w:sz w:val="24"/>
          <w:szCs w:val="24"/>
        </w:rPr>
        <w:t xml:space="preserve">, M. N., </w:t>
      </w:r>
      <w:proofErr w:type="spellStart"/>
      <w:r>
        <w:rPr>
          <w:rFonts w:ascii="Times New Roman" w:eastAsia="Times New Roman" w:hAnsi="Times New Roman" w:cs="Times New Roman"/>
          <w:sz w:val="24"/>
          <w:szCs w:val="24"/>
        </w:rPr>
        <w:t>Hamat</w:t>
      </w:r>
      <w:proofErr w:type="spellEnd"/>
      <w:r>
        <w:rPr>
          <w:rFonts w:ascii="Times New Roman" w:eastAsia="Times New Roman" w:hAnsi="Times New Roman" w:cs="Times New Roman"/>
          <w:sz w:val="24"/>
          <w:szCs w:val="24"/>
        </w:rPr>
        <w:t xml:space="preserve">, R. A., Osman, M., </w:t>
      </w:r>
      <w:proofErr w:type="spellStart"/>
      <w:r>
        <w:rPr>
          <w:rFonts w:ascii="Times New Roman" w:eastAsia="Times New Roman" w:hAnsi="Times New Roman" w:cs="Times New Roman"/>
          <w:sz w:val="24"/>
          <w:szCs w:val="24"/>
        </w:rPr>
        <w:t>Tengku</w:t>
      </w:r>
      <w:proofErr w:type="spellEnd"/>
      <w:r>
        <w:rPr>
          <w:rFonts w:ascii="Times New Roman" w:eastAsia="Times New Roman" w:hAnsi="Times New Roman" w:cs="Times New Roman"/>
          <w:sz w:val="24"/>
          <w:szCs w:val="24"/>
        </w:rPr>
        <w:t xml:space="preserve"> Jamaluddin, T. Z. M., &amp; </w:t>
      </w:r>
      <w:proofErr w:type="spellStart"/>
      <w:r>
        <w:rPr>
          <w:rFonts w:ascii="Times New Roman" w:eastAsia="Times New Roman" w:hAnsi="Times New Roman" w:cs="Times New Roman"/>
          <w:sz w:val="24"/>
          <w:szCs w:val="24"/>
        </w:rPr>
        <w:t>Daud</w:t>
      </w:r>
      <w:proofErr w:type="spellEnd"/>
      <w:r>
        <w:rPr>
          <w:rFonts w:ascii="Times New Roman" w:eastAsia="Times New Roman" w:hAnsi="Times New Roman" w:cs="Times New Roman"/>
          <w:sz w:val="24"/>
          <w:szCs w:val="24"/>
        </w:rPr>
        <w:t xml:space="preserve">, A. B. (2020). Perceived severity and susceptibility towards leptospirosis infection in Malaysia. </w:t>
      </w:r>
      <w:r>
        <w:rPr>
          <w:rFonts w:ascii="Times New Roman" w:eastAsia="Times New Roman" w:hAnsi="Times New Roman" w:cs="Times New Roman"/>
          <w:i/>
          <w:iCs/>
          <w:sz w:val="24"/>
          <w:szCs w:val="24"/>
        </w:rPr>
        <w:t>International Journal of Environmental Research and Public Health, 17</w:t>
      </w:r>
      <w:r>
        <w:rPr>
          <w:rFonts w:ascii="Times New Roman" w:eastAsia="Times New Roman" w:hAnsi="Times New Roman" w:cs="Times New Roman"/>
          <w:sz w:val="24"/>
          <w:szCs w:val="24"/>
        </w:rPr>
        <w:t xml:space="preserve">(17), 6362. </w:t>
      </w:r>
      <w:hyperlink r:id="rId61">
        <w:r w:rsidR="004204FF" w:rsidRPr="00EB5077">
          <w:rPr>
            <w:rFonts w:ascii="Times New Roman" w:eastAsia="Times New Roman" w:hAnsi="Times New Roman" w:cs="Times New Roman"/>
            <w:sz w:val="24"/>
            <w:szCs w:val="24"/>
            <w:u w:val="single"/>
            <w:lang w:val="es-US"/>
          </w:rPr>
          <w:t>https://doi.org/10.3390/ijerph17176362</w:t>
        </w:r>
      </w:hyperlink>
    </w:p>
    <w:p w14:paraId="71803402" w14:textId="77777777" w:rsidR="004204FF" w:rsidRDefault="004E35BA" w:rsidP="003A775B">
      <w:pPr>
        <w:spacing w:line="240" w:lineRule="auto"/>
        <w:ind w:left="720"/>
        <w:rPr>
          <w:rFonts w:ascii="Times New Roman" w:eastAsia="Times New Roman" w:hAnsi="Times New Roman" w:cs="Times New Roman"/>
          <w:sz w:val="24"/>
          <w:szCs w:val="24"/>
          <w:u w:val="single"/>
        </w:rPr>
      </w:pPr>
      <w:proofErr w:type="spellStart"/>
      <w:r w:rsidRPr="00EB5077">
        <w:rPr>
          <w:rFonts w:ascii="Times New Roman" w:eastAsia="Times New Roman" w:hAnsi="Times New Roman" w:cs="Times New Roman"/>
          <w:color w:val="222222"/>
          <w:sz w:val="24"/>
          <w:szCs w:val="24"/>
          <w:lang w:val="es-US"/>
        </w:rPr>
        <w:t>Tohan</w:t>
      </w:r>
      <w:proofErr w:type="spellEnd"/>
      <w:r w:rsidRPr="00EB5077">
        <w:rPr>
          <w:rFonts w:ascii="Times New Roman" w:eastAsia="Times New Roman" w:hAnsi="Times New Roman" w:cs="Times New Roman"/>
          <w:color w:val="222222"/>
          <w:sz w:val="24"/>
          <w:szCs w:val="24"/>
          <w:lang w:val="es-US"/>
        </w:rPr>
        <w:t xml:space="preserve">, M. M., Ahmed, F., </w:t>
      </w:r>
      <w:proofErr w:type="spellStart"/>
      <w:r w:rsidRPr="00EB5077">
        <w:rPr>
          <w:rFonts w:ascii="Times New Roman" w:eastAsia="Times New Roman" w:hAnsi="Times New Roman" w:cs="Times New Roman"/>
          <w:color w:val="222222"/>
          <w:sz w:val="24"/>
          <w:szCs w:val="24"/>
          <w:lang w:val="es-US"/>
        </w:rPr>
        <w:t>Juie</w:t>
      </w:r>
      <w:proofErr w:type="spellEnd"/>
      <w:r w:rsidRPr="00EB5077">
        <w:rPr>
          <w:rFonts w:ascii="Times New Roman" w:eastAsia="Times New Roman" w:hAnsi="Times New Roman" w:cs="Times New Roman"/>
          <w:color w:val="222222"/>
          <w:sz w:val="24"/>
          <w:szCs w:val="24"/>
          <w:lang w:val="es-US"/>
        </w:rPr>
        <w:t xml:space="preserve">, I. J., et al. </w:t>
      </w:r>
      <w:r>
        <w:rPr>
          <w:rFonts w:ascii="Times New Roman" w:eastAsia="Times New Roman" w:hAnsi="Times New Roman" w:cs="Times New Roman"/>
          <w:color w:val="222222"/>
          <w:sz w:val="24"/>
          <w:szCs w:val="24"/>
        </w:rPr>
        <w:t xml:space="preserve">(2024). Knowledge, attitude, and convenience on self-medication practices among university students in Bangladesh: Exploration using structural equation modeling approach. </w:t>
      </w:r>
      <w:r>
        <w:rPr>
          <w:rFonts w:ascii="Times New Roman" w:eastAsia="Times New Roman" w:hAnsi="Times New Roman" w:cs="Times New Roman"/>
          <w:i/>
          <w:iCs/>
          <w:color w:val="222222"/>
          <w:sz w:val="24"/>
          <w:szCs w:val="24"/>
        </w:rPr>
        <w:t>Scientific Reports, 14</w:t>
      </w:r>
      <w:r>
        <w:rPr>
          <w:rFonts w:ascii="Times New Roman" w:eastAsia="Times New Roman" w:hAnsi="Times New Roman" w:cs="Times New Roman"/>
          <w:color w:val="222222"/>
          <w:sz w:val="24"/>
          <w:szCs w:val="24"/>
        </w:rPr>
        <w:t xml:space="preserve">, 10837. </w:t>
      </w:r>
      <w:hyperlink r:id="rId62">
        <w:r w:rsidR="004204FF">
          <w:rPr>
            <w:rFonts w:ascii="Times New Roman" w:eastAsia="Times New Roman" w:hAnsi="Times New Roman" w:cs="Times New Roman"/>
            <w:sz w:val="24"/>
            <w:szCs w:val="24"/>
            <w:u w:val="single"/>
          </w:rPr>
          <w:t>https://doi.org/10.1038/s41598-024-60931-9</w:t>
        </w:r>
      </w:hyperlink>
    </w:p>
    <w:p w14:paraId="5E583413" w14:textId="77777777" w:rsidR="004204FF" w:rsidRDefault="004E35BA" w:rsidP="003A775B">
      <w:pPr>
        <w:spacing w:line="240" w:lineRule="auto"/>
        <w:ind w:left="720"/>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Thenmozhi</w:t>
      </w:r>
      <w:proofErr w:type="spellEnd"/>
      <w:r>
        <w:rPr>
          <w:rFonts w:ascii="Times New Roman" w:eastAsia="Times New Roman" w:hAnsi="Times New Roman" w:cs="Times New Roman"/>
          <w:sz w:val="24"/>
          <w:szCs w:val="24"/>
        </w:rPr>
        <w:t xml:space="preserve">, B., &amp; </w:t>
      </w:r>
      <w:proofErr w:type="spellStart"/>
      <w:r>
        <w:rPr>
          <w:rFonts w:ascii="Times New Roman" w:eastAsia="Times New Roman" w:hAnsi="Times New Roman" w:cs="Times New Roman"/>
          <w:sz w:val="24"/>
          <w:szCs w:val="24"/>
        </w:rPr>
        <w:t>Sharmil</w:t>
      </w:r>
      <w:proofErr w:type="spellEnd"/>
      <w:r>
        <w:rPr>
          <w:rFonts w:ascii="Times New Roman" w:eastAsia="Times New Roman" w:hAnsi="Times New Roman" w:cs="Times New Roman"/>
          <w:sz w:val="24"/>
          <w:szCs w:val="24"/>
        </w:rPr>
        <w:t xml:space="preserve">, S. H. (2023). </w:t>
      </w:r>
      <w:r>
        <w:rPr>
          <w:rFonts w:ascii="Times New Roman" w:eastAsia="Times New Roman" w:hAnsi="Times New Roman" w:cs="Times New Roman"/>
          <w:i/>
          <w:iCs/>
          <w:sz w:val="24"/>
          <w:szCs w:val="24"/>
        </w:rPr>
        <w:t>Self-medication practices of the rural community people: A cross-sectional study.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Indian Journal of Community Medicine, 48</w:t>
      </w:r>
      <w:r>
        <w:rPr>
          <w:rFonts w:ascii="Times New Roman" w:eastAsia="Times New Roman" w:hAnsi="Times New Roman" w:cs="Times New Roman"/>
          <w:sz w:val="24"/>
          <w:szCs w:val="24"/>
        </w:rPr>
        <w:t>(4), 619–622.</w:t>
      </w:r>
      <w:hyperlink r:id="rId63">
        <w:r w:rsidR="004204FF">
          <w:rPr>
            <w:rFonts w:ascii="Times New Roman" w:eastAsia="Times New Roman" w:hAnsi="Times New Roman" w:cs="Times New Roman"/>
            <w:sz w:val="24"/>
            <w:szCs w:val="24"/>
          </w:rPr>
          <w:t xml:space="preserve"> </w:t>
        </w:r>
      </w:hyperlink>
      <w:hyperlink r:id="rId64">
        <w:r w:rsidR="004204FF">
          <w:rPr>
            <w:rFonts w:ascii="Times New Roman" w:eastAsia="Times New Roman" w:hAnsi="Times New Roman" w:cs="Times New Roman"/>
            <w:sz w:val="24"/>
            <w:szCs w:val="24"/>
            <w:u w:val="single"/>
          </w:rPr>
          <w:t>https://doi.org/10.4103/ijcm.ijcm_842_22</w:t>
        </w:r>
      </w:hyperlink>
    </w:p>
    <w:p w14:paraId="78D2A6C6" w14:textId="77777777" w:rsidR="004204FF" w:rsidRDefault="004E35BA" w:rsidP="003A775B">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Nations. (n.d.). </w:t>
      </w:r>
      <w:r>
        <w:rPr>
          <w:rFonts w:ascii="Times New Roman" w:eastAsia="Times New Roman" w:hAnsi="Times New Roman" w:cs="Times New Roman"/>
          <w:i/>
          <w:iCs/>
          <w:sz w:val="24"/>
          <w:szCs w:val="24"/>
        </w:rPr>
        <w:t>Health.</w:t>
      </w:r>
      <w:r>
        <w:rPr>
          <w:rFonts w:ascii="Times New Roman" w:eastAsia="Times New Roman" w:hAnsi="Times New Roman" w:cs="Times New Roman"/>
          <w:sz w:val="24"/>
          <w:szCs w:val="24"/>
        </w:rPr>
        <w:t xml:space="preserve"> United Nations Sustainable Development.</w:t>
      </w:r>
      <w:hyperlink r:id="rId65">
        <w:r w:rsidR="004204FF">
          <w:rPr>
            <w:rFonts w:ascii="Times New Roman" w:eastAsia="Times New Roman" w:hAnsi="Times New Roman" w:cs="Times New Roman"/>
            <w:sz w:val="24"/>
            <w:szCs w:val="24"/>
          </w:rPr>
          <w:t xml:space="preserve"> </w:t>
        </w:r>
      </w:hyperlink>
      <w:hyperlink r:id="rId66">
        <w:r w:rsidR="004204FF">
          <w:rPr>
            <w:rFonts w:ascii="Times New Roman" w:eastAsia="Times New Roman" w:hAnsi="Times New Roman" w:cs="Times New Roman"/>
            <w:sz w:val="24"/>
            <w:szCs w:val="24"/>
            <w:u w:val="single"/>
          </w:rPr>
          <w:t>https://www.un.org/sustainabledevelopment/health/</w:t>
        </w:r>
      </w:hyperlink>
    </w:p>
    <w:p w14:paraId="4454ED05" w14:textId="77777777" w:rsidR="004204FF" w:rsidRDefault="004E35BA" w:rsidP="003A775B">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Waqar, M. A., Riaz, T., Munir, M., Abid, S. Z., Tayyab, S., </w:t>
      </w:r>
      <w:proofErr w:type="spellStart"/>
      <w:r>
        <w:rPr>
          <w:rFonts w:ascii="Times New Roman" w:eastAsia="Times New Roman" w:hAnsi="Times New Roman" w:cs="Times New Roman"/>
          <w:sz w:val="24"/>
          <w:szCs w:val="24"/>
        </w:rPr>
        <w:t>Razaq</w:t>
      </w:r>
      <w:proofErr w:type="spellEnd"/>
      <w:r>
        <w:rPr>
          <w:rFonts w:ascii="Times New Roman" w:eastAsia="Times New Roman" w:hAnsi="Times New Roman" w:cs="Times New Roman"/>
          <w:sz w:val="24"/>
          <w:szCs w:val="24"/>
        </w:rPr>
        <w:t xml:space="preserve">, A., &amp; Yousaf, A. (2023). Knowledge and perception regarding self‑medication in general ailments and its potential risks. </w:t>
      </w:r>
      <w:r>
        <w:rPr>
          <w:rFonts w:ascii="Times New Roman" w:eastAsia="Times New Roman" w:hAnsi="Times New Roman" w:cs="Times New Roman"/>
          <w:i/>
          <w:iCs/>
          <w:sz w:val="24"/>
          <w:szCs w:val="24"/>
        </w:rPr>
        <w:t>APIC Journal of Medical Sciences, 27</w:t>
      </w:r>
      <w:r>
        <w:rPr>
          <w:rFonts w:ascii="Times New Roman" w:eastAsia="Times New Roman" w:hAnsi="Times New Roman" w:cs="Times New Roman"/>
          <w:sz w:val="24"/>
          <w:szCs w:val="24"/>
        </w:rPr>
        <w:t xml:space="preserve">(4), 691–701. </w:t>
      </w:r>
      <w:hyperlink r:id="rId67">
        <w:r w:rsidR="004204FF">
          <w:rPr>
            <w:rFonts w:ascii="Times New Roman" w:eastAsia="Times New Roman" w:hAnsi="Times New Roman" w:cs="Times New Roman"/>
            <w:sz w:val="24"/>
            <w:szCs w:val="24"/>
            <w:u w:val="single"/>
          </w:rPr>
          <w:t>https://apicareonline.com/index.php/APIC/article/view/2089</w:t>
        </w:r>
      </w:hyperlink>
    </w:p>
    <w:p w14:paraId="0915B2A9" w14:textId="77777777" w:rsidR="004204FF" w:rsidRDefault="004E35BA" w:rsidP="003A775B">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Organization. (2025). </w:t>
      </w:r>
      <w:r>
        <w:rPr>
          <w:rFonts w:ascii="Times New Roman" w:eastAsia="Times New Roman" w:hAnsi="Times New Roman" w:cs="Times New Roman"/>
          <w:i/>
          <w:iCs/>
          <w:sz w:val="24"/>
          <w:szCs w:val="24"/>
        </w:rPr>
        <w:t>Ageing and health.</w:t>
      </w:r>
      <w:hyperlink r:id="rId68">
        <w:r w:rsidR="004204FF">
          <w:rPr>
            <w:rFonts w:ascii="Times New Roman" w:eastAsia="Times New Roman" w:hAnsi="Times New Roman" w:cs="Times New Roman"/>
            <w:sz w:val="24"/>
            <w:szCs w:val="24"/>
          </w:rPr>
          <w:t xml:space="preserve"> </w:t>
        </w:r>
      </w:hyperlink>
      <w:hyperlink r:id="rId69">
        <w:r w:rsidR="004204FF">
          <w:rPr>
            <w:rFonts w:ascii="Times New Roman" w:eastAsia="Times New Roman" w:hAnsi="Times New Roman" w:cs="Times New Roman"/>
            <w:sz w:val="24"/>
            <w:szCs w:val="24"/>
            <w:u w:val="single"/>
          </w:rPr>
          <w:t>https://www.who.int/news-room/fact-sheets/detail/ageing-and-health</w:t>
        </w:r>
      </w:hyperlink>
    </w:p>
    <w:p w14:paraId="2073A8B5" w14:textId="77777777" w:rsidR="004204FF" w:rsidRDefault="004E35BA" w:rsidP="003A775B">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Zheng, Y., Tang, P. K., Hu, H., &amp; Ung, C. O. L. (2024). Patterns of self-medication and intention to seek pharmacist guidance among older adults during the COVID-19 pandemic: A cross-sectional study. BMC Public Health, 24, 2066. </w:t>
      </w:r>
      <w:hyperlink r:id="rId70">
        <w:r w:rsidR="004204FF">
          <w:rPr>
            <w:rFonts w:ascii="Times New Roman" w:eastAsia="Times New Roman" w:hAnsi="Times New Roman" w:cs="Times New Roman"/>
            <w:sz w:val="24"/>
            <w:szCs w:val="24"/>
            <w:u w:val="single"/>
          </w:rPr>
          <w:t>https://pubmed.ncbi.nlm.nih.gov/39085834/</w:t>
        </w:r>
      </w:hyperlink>
    </w:p>
    <w:p w14:paraId="101BDAC9" w14:textId="77777777" w:rsidR="004204FF" w:rsidRDefault="004204FF" w:rsidP="003A775B">
      <w:pPr>
        <w:spacing w:line="240" w:lineRule="auto"/>
        <w:jc w:val="center"/>
        <w:rPr>
          <w:rFonts w:ascii="Times New Roman" w:eastAsia="Times New Roman" w:hAnsi="Times New Roman" w:cs="Times New Roman"/>
          <w:b/>
          <w:bCs/>
          <w:sz w:val="24"/>
          <w:szCs w:val="24"/>
        </w:rPr>
      </w:pPr>
    </w:p>
    <w:p w14:paraId="17A4F8E2" w14:textId="77777777" w:rsidR="004204FF" w:rsidRDefault="004204FF" w:rsidP="003A775B">
      <w:pPr>
        <w:spacing w:line="240" w:lineRule="auto"/>
        <w:jc w:val="center"/>
        <w:rPr>
          <w:rFonts w:ascii="Times New Roman" w:eastAsia="Times New Roman" w:hAnsi="Times New Roman" w:cs="Times New Roman"/>
          <w:b/>
          <w:bCs/>
          <w:sz w:val="24"/>
          <w:szCs w:val="24"/>
        </w:rPr>
      </w:pPr>
    </w:p>
    <w:p w14:paraId="2EECC1DB" w14:textId="77777777" w:rsidR="004204FF" w:rsidRDefault="004204FF" w:rsidP="003A775B">
      <w:pPr>
        <w:spacing w:line="240" w:lineRule="auto"/>
        <w:jc w:val="center"/>
        <w:rPr>
          <w:rFonts w:ascii="Times New Roman" w:eastAsia="Times New Roman" w:hAnsi="Times New Roman" w:cs="Times New Roman"/>
          <w:b/>
          <w:bCs/>
          <w:sz w:val="24"/>
          <w:szCs w:val="24"/>
        </w:rPr>
      </w:pPr>
    </w:p>
    <w:p w14:paraId="4BD5BA89" w14:textId="77777777" w:rsidR="004204FF" w:rsidRDefault="004204FF" w:rsidP="003A775B">
      <w:pPr>
        <w:spacing w:line="240" w:lineRule="auto"/>
        <w:jc w:val="center"/>
        <w:rPr>
          <w:rFonts w:ascii="Times New Roman" w:eastAsia="Times New Roman" w:hAnsi="Times New Roman" w:cs="Times New Roman"/>
          <w:b/>
          <w:bCs/>
          <w:sz w:val="24"/>
          <w:szCs w:val="24"/>
        </w:rPr>
      </w:pPr>
    </w:p>
    <w:p w14:paraId="6161FAA6" w14:textId="77777777" w:rsidR="004204FF" w:rsidRDefault="004204FF" w:rsidP="003A775B">
      <w:pPr>
        <w:spacing w:line="240" w:lineRule="auto"/>
        <w:jc w:val="center"/>
        <w:rPr>
          <w:rFonts w:ascii="Times New Roman" w:eastAsia="Times New Roman" w:hAnsi="Times New Roman" w:cs="Times New Roman"/>
          <w:b/>
          <w:bCs/>
          <w:sz w:val="24"/>
          <w:szCs w:val="24"/>
        </w:rPr>
      </w:pPr>
    </w:p>
    <w:p w14:paraId="06D9AD31" w14:textId="77777777" w:rsidR="004204FF" w:rsidRDefault="004204FF" w:rsidP="003A775B">
      <w:pPr>
        <w:spacing w:line="240" w:lineRule="auto"/>
        <w:jc w:val="center"/>
        <w:rPr>
          <w:rFonts w:ascii="Times New Roman" w:eastAsia="Times New Roman" w:hAnsi="Times New Roman" w:cs="Times New Roman"/>
          <w:b/>
          <w:bCs/>
          <w:sz w:val="24"/>
          <w:szCs w:val="24"/>
        </w:rPr>
      </w:pPr>
    </w:p>
    <w:p w14:paraId="67D5E014" w14:textId="77777777" w:rsidR="004204FF" w:rsidRDefault="004204FF" w:rsidP="003A775B">
      <w:pPr>
        <w:spacing w:line="240" w:lineRule="auto"/>
        <w:jc w:val="center"/>
        <w:rPr>
          <w:rFonts w:ascii="Times New Roman" w:eastAsia="Times New Roman" w:hAnsi="Times New Roman" w:cs="Times New Roman"/>
          <w:b/>
          <w:bCs/>
          <w:sz w:val="24"/>
          <w:szCs w:val="24"/>
        </w:rPr>
      </w:pPr>
    </w:p>
    <w:p w14:paraId="130250B6" w14:textId="77777777" w:rsidR="004204FF" w:rsidRDefault="004204FF" w:rsidP="003A775B">
      <w:pPr>
        <w:spacing w:line="240" w:lineRule="auto"/>
        <w:jc w:val="center"/>
        <w:rPr>
          <w:rFonts w:ascii="Times New Roman" w:eastAsia="Times New Roman" w:hAnsi="Times New Roman" w:cs="Times New Roman"/>
          <w:b/>
          <w:bCs/>
          <w:sz w:val="24"/>
          <w:szCs w:val="24"/>
        </w:rPr>
      </w:pPr>
    </w:p>
    <w:p w14:paraId="5ADF09BE" w14:textId="77777777" w:rsidR="004204FF" w:rsidRDefault="004204FF" w:rsidP="003A775B">
      <w:pPr>
        <w:spacing w:line="240" w:lineRule="auto"/>
        <w:jc w:val="center"/>
        <w:rPr>
          <w:rFonts w:ascii="Times New Roman" w:eastAsia="Times New Roman" w:hAnsi="Times New Roman" w:cs="Times New Roman"/>
          <w:b/>
          <w:bCs/>
          <w:sz w:val="24"/>
          <w:szCs w:val="24"/>
        </w:rPr>
      </w:pPr>
    </w:p>
    <w:p w14:paraId="39859DA2" w14:textId="77777777" w:rsidR="004204FF" w:rsidRDefault="004204FF" w:rsidP="003A775B">
      <w:pPr>
        <w:spacing w:line="240" w:lineRule="auto"/>
        <w:jc w:val="center"/>
        <w:rPr>
          <w:rFonts w:ascii="Times New Roman" w:eastAsia="Times New Roman" w:hAnsi="Times New Roman" w:cs="Times New Roman"/>
          <w:b/>
          <w:bCs/>
          <w:sz w:val="24"/>
          <w:szCs w:val="24"/>
        </w:rPr>
      </w:pPr>
    </w:p>
    <w:p w14:paraId="55FD20FF" w14:textId="77777777" w:rsidR="004204FF" w:rsidRDefault="004204FF" w:rsidP="003A775B">
      <w:pPr>
        <w:spacing w:line="240" w:lineRule="auto"/>
        <w:jc w:val="center"/>
        <w:rPr>
          <w:rFonts w:ascii="Times New Roman" w:eastAsia="Times New Roman" w:hAnsi="Times New Roman" w:cs="Times New Roman"/>
          <w:b/>
          <w:bCs/>
          <w:sz w:val="24"/>
          <w:szCs w:val="24"/>
        </w:rPr>
      </w:pPr>
    </w:p>
    <w:p w14:paraId="6AE7CBF9" w14:textId="77777777" w:rsidR="004204FF" w:rsidRDefault="004204FF" w:rsidP="003A775B">
      <w:pPr>
        <w:spacing w:line="240" w:lineRule="auto"/>
        <w:jc w:val="center"/>
        <w:rPr>
          <w:rFonts w:ascii="Times New Roman" w:eastAsia="Times New Roman" w:hAnsi="Times New Roman" w:cs="Times New Roman"/>
          <w:b/>
          <w:bCs/>
          <w:sz w:val="24"/>
          <w:szCs w:val="24"/>
        </w:rPr>
      </w:pPr>
    </w:p>
    <w:p w14:paraId="5988FA87" w14:textId="77777777" w:rsidR="004204FF" w:rsidRDefault="004204FF" w:rsidP="003A775B">
      <w:pPr>
        <w:spacing w:line="240" w:lineRule="auto"/>
        <w:jc w:val="center"/>
        <w:rPr>
          <w:rFonts w:ascii="Times New Roman" w:eastAsia="Times New Roman" w:hAnsi="Times New Roman" w:cs="Times New Roman"/>
          <w:b/>
          <w:bCs/>
          <w:sz w:val="24"/>
          <w:szCs w:val="24"/>
        </w:rPr>
      </w:pPr>
    </w:p>
    <w:p w14:paraId="76FFFC9C" w14:textId="77777777" w:rsidR="004204FF" w:rsidRDefault="004204FF" w:rsidP="003A775B">
      <w:pPr>
        <w:spacing w:line="240" w:lineRule="auto"/>
        <w:jc w:val="center"/>
        <w:rPr>
          <w:rFonts w:ascii="Times New Roman" w:eastAsia="Times New Roman" w:hAnsi="Times New Roman" w:cs="Times New Roman"/>
          <w:b/>
          <w:bCs/>
          <w:sz w:val="24"/>
          <w:szCs w:val="24"/>
        </w:rPr>
      </w:pPr>
    </w:p>
    <w:p w14:paraId="558AD845" w14:textId="77777777" w:rsidR="004204FF" w:rsidRDefault="004204FF" w:rsidP="003A775B">
      <w:pPr>
        <w:spacing w:line="240" w:lineRule="auto"/>
        <w:jc w:val="center"/>
        <w:rPr>
          <w:rFonts w:ascii="Times New Roman" w:eastAsia="Times New Roman" w:hAnsi="Times New Roman" w:cs="Times New Roman"/>
          <w:b/>
          <w:bCs/>
          <w:sz w:val="24"/>
          <w:szCs w:val="24"/>
        </w:rPr>
      </w:pPr>
    </w:p>
    <w:sectPr w:rsidR="004204FF" w:rsidSect="00145AFA">
      <w:pgSz w:w="12240" w:h="15840"/>
      <w:pgMar w:top="1440" w:right="1440" w:bottom="1440" w:left="2160" w:header="720" w:footer="720" w:gutter="0"/>
      <w:pgNumType w:start="1"/>
      <w:cols w:space="720" w:equalWidth="0">
        <w:col w:w="86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5DEDB5" w14:textId="77777777" w:rsidR="00CB6CF8" w:rsidRDefault="00CB6CF8">
      <w:pPr>
        <w:spacing w:line="240" w:lineRule="auto"/>
      </w:pPr>
      <w:r>
        <w:separator/>
      </w:r>
    </w:p>
  </w:endnote>
  <w:endnote w:type="continuationSeparator" w:id="0">
    <w:p w14:paraId="2DE47F16" w14:textId="77777777" w:rsidR="00CB6CF8" w:rsidRDefault="00CB6C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1084C51-65B8-4E0E-85F4-BD0F4CB45944}"/>
  </w:font>
  <w:font w:name="Cambria">
    <w:panose1 w:val="02040503050406030204"/>
    <w:charset w:val="00"/>
    <w:family w:val="roman"/>
    <w:pitch w:val="variable"/>
    <w:sig w:usb0="E00006FF" w:usb1="420024FF" w:usb2="02000000" w:usb3="00000000" w:csb0="0000019F" w:csb1="00000000"/>
    <w:embedRegular r:id="rId2" w:fontKey="{811E133A-65E9-49B0-AD2C-DFE0AB76C3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F77EB" w14:textId="77777777" w:rsidR="002375D8" w:rsidRDefault="002375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3ABA1" w14:textId="77777777" w:rsidR="002375D8" w:rsidRDefault="002375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63C87" w14:textId="77777777" w:rsidR="002375D8" w:rsidRDefault="002375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9C5AA6" w14:textId="77777777" w:rsidR="00CB6CF8" w:rsidRDefault="00CB6CF8">
      <w:pPr>
        <w:spacing w:line="240" w:lineRule="auto"/>
      </w:pPr>
      <w:r>
        <w:separator/>
      </w:r>
    </w:p>
  </w:footnote>
  <w:footnote w:type="continuationSeparator" w:id="0">
    <w:p w14:paraId="3C555094" w14:textId="77777777" w:rsidR="00CB6CF8" w:rsidRDefault="00CB6C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DCF28" w14:textId="18B86F0B" w:rsidR="002375D8" w:rsidRDefault="002375D8">
    <w:pPr>
      <w:pStyle w:val="Header"/>
    </w:pPr>
    <w:r>
      <w:rPr>
        <w:noProof/>
      </w:rPr>
      <w:pict w14:anchorId="4D7B92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0593689" o:spid="_x0000_s2050" type="#_x0000_t136" style="position:absolute;margin-left:0;margin-top:0;width:547.25pt;height:61.7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B568B" w14:textId="08986F51" w:rsidR="001E4AAC" w:rsidRDefault="002375D8">
    <w:pPr>
      <w:rPr>
        <w:rFonts w:ascii="Times New Roman" w:eastAsia="Times New Roman" w:hAnsi="Times New Roman" w:cs="Times New Roman"/>
      </w:rPr>
    </w:pPr>
    <w:r>
      <w:rPr>
        <w:noProof/>
      </w:rPr>
      <w:pict w14:anchorId="4DE5EB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0593690" o:spid="_x0000_s2051" type="#_x0000_t136" style="position:absolute;margin-left:0;margin-top:0;width:547.25pt;height:61.7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r w:rsidR="001E4AAC">
      <w:t xml:space="preserve">                                                                                                                                         </w:t>
    </w:r>
    <w:r w:rsidR="001E4AAC">
      <w:rPr>
        <w:rFonts w:ascii="Times New Roman" w:eastAsia="Times New Roman" w:hAnsi="Times New Roman" w:cs="Times New Roman"/>
      </w:rPr>
      <w:t xml:space="preserve"> iv</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78EB8" w14:textId="12D71288" w:rsidR="002375D8" w:rsidRDefault="002375D8">
    <w:pPr>
      <w:pStyle w:val="Header"/>
    </w:pPr>
    <w:r>
      <w:rPr>
        <w:noProof/>
      </w:rPr>
      <w:pict w14:anchorId="7DC53D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0593688" o:spid="_x0000_s2049" type="#_x0000_t136" style="position:absolute;margin-left:0;margin-top:0;width:547.25pt;height:61.7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247C9"/>
    <w:multiLevelType w:val="multilevel"/>
    <w:tmpl w:val="573E6B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DC74329"/>
    <w:multiLevelType w:val="multilevel"/>
    <w:tmpl w:val="983012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F8757C1"/>
    <w:multiLevelType w:val="multilevel"/>
    <w:tmpl w:val="7E62FF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05C5BFF"/>
    <w:multiLevelType w:val="multilevel"/>
    <w:tmpl w:val="335839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0A5466C"/>
    <w:multiLevelType w:val="multilevel"/>
    <w:tmpl w:val="E0D26B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DDA5FDB"/>
    <w:multiLevelType w:val="multilevel"/>
    <w:tmpl w:val="4022ED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01D259B"/>
    <w:multiLevelType w:val="multilevel"/>
    <w:tmpl w:val="DB9684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A8D1955"/>
    <w:multiLevelType w:val="multilevel"/>
    <w:tmpl w:val="F264AF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2DD03EA"/>
    <w:multiLevelType w:val="multilevel"/>
    <w:tmpl w:val="8BDAB7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77012D46"/>
    <w:multiLevelType w:val="multilevel"/>
    <w:tmpl w:val="233E4E0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0"/>
  </w:num>
  <w:num w:numId="2">
    <w:abstractNumId w:val="3"/>
  </w:num>
  <w:num w:numId="3">
    <w:abstractNumId w:val="4"/>
  </w:num>
  <w:num w:numId="4">
    <w:abstractNumId w:val="1"/>
  </w:num>
  <w:num w:numId="5">
    <w:abstractNumId w:val="9"/>
  </w:num>
  <w:num w:numId="6">
    <w:abstractNumId w:val="2"/>
  </w:num>
  <w:num w:numId="7">
    <w:abstractNumId w:val="7"/>
  </w:num>
  <w:num w:numId="8">
    <w:abstractNumId w:val="8"/>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displayBackgroundShape/>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AcCQ0NjAwsTY1MDEyUdpeDU4uLM/DyQAsNaAHWJak4sAAAA"/>
  </w:docVars>
  <w:rsids>
    <w:rsidRoot w:val="004204FF"/>
    <w:rsid w:val="00145AFA"/>
    <w:rsid w:val="001B431D"/>
    <w:rsid w:val="001E4AAC"/>
    <w:rsid w:val="002375D8"/>
    <w:rsid w:val="003A2796"/>
    <w:rsid w:val="003A775B"/>
    <w:rsid w:val="003D39EA"/>
    <w:rsid w:val="004204FF"/>
    <w:rsid w:val="00471C0B"/>
    <w:rsid w:val="004E35BA"/>
    <w:rsid w:val="00732B0D"/>
    <w:rsid w:val="00A32567"/>
    <w:rsid w:val="00A7364D"/>
    <w:rsid w:val="00C23E09"/>
    <w:rsid w:val="00C26F5C"/>
    <w:rsid w:val="00C44BDC"/>
    <w:rsid w:val="00CB6CF8"/>
    <w:rsid w:val="00CD68A1"/>
    <w:rsid w:val="00D30114"/>
    <w:rsid w:val="00D47370"/>
    <w:rsid w:val="00E04751"/>
    <w:rsid w:val="00EB5077"/>
    <w:rsid w:val="00ED7A60"/>
    <w:rsid w:val="00F17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165FF3"/>
  <w15:docId w15:val="{E8CF80C7-6B8F-424F-93D3-DAE5F7AC8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30" w:type="dxa"/>
        <w:bottom w:w="0" w:type="dxa"/>
        <w:right w:w="30"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CellMar>
        <w:top w:w="0" w:type="dxa"/>
        <w:left w:w="0" w:type="dxa"/>
        <w:bottom w:w="0" w:type="dxa"/>
        <w:right w:w="0" w:type="dxa"/>
      </w:tblCellMar>
    </w:tblPr>
  </w:style>
  <w:style w:type="table" w:customStyle="1" w:styleId="af2">
    <w:basedOn w:val="TableNormal0"/>
    <w:tblPr>
      <w:tblStyleRowBandSize w:val="1"/>
      <w:tblStyleColBandSize w:val="1"/>
      <w:tblCellMar>
        <w:top w:w="0" w:type="dxa"/>
        <w:left w:w="0" w:type="dxa"/>
        <w:bottom w:w="0" w:type="dxa"/>
        <w:right w:w="0" w:type="dxa"/>
      </w:tblCellMar>
    </w:tblPr>
  </w:style>
  <w:style w:type="table" w:customStyle="1" w:styleId="af3">
    <w:basedOn w:val="TableNormal0"/>
    <w:tblPr>
      <w:tblStyleRowBandSize w:val="1"/>
      <w:tblStyleColBandSize w:val="1"/>
    </w:tblPr>
  </w:style>
  <w:style w:type="character" w:styleId="Hyperlink">
    <w:name w:val="Hyperlink"/>
    <w:basedOn w:val="DefaultParagraphFont"/>
    <w:uiPriority w:val="99"/>
    <w:unhideWhenUsed/>
    <w:rsid w:val="00C23E09"/>
    <w:rPr>
      <w:color w:val="0000FF" w:themeColor="hyperlink"/>
      <w:u w:val="single"/>
    </w:rPr>
  </w:style>
  <w:style w:type="character" w:styleId="UnresolvedMention">
    <w:name w:val="Unresolved Mention"/>
    <w:basedOn w:val="DefaultParagraphFont"/>
    <w:uiPriority w:val="99"/>
    <w:semiHidden/>
    <w:unhideWhenUsed/>
    <w:rsid w:val="00C23E09"/>
    <w:rPr>
      <w:color w:val="605E5C"/>
      <w:shd w:val="clear" w:color="auto" w:fill="E1DFDD"/>
    </w:rPr>
  </w:style>
  <w:style w:type="paragraph" w:styleId="ListParagraph">
    <w:name w:val="List Paragraph"/>
    <w:basedOn w:val="Normal"/>
    <w:uiPriority w:val="34"/>
    <w:qFormat/>
    <w:rsid w:val="00C26F5C"/>
    <w:pPr>
      <w:ind w:left="720"/>
      <w:contextualSpacing/>
    </w:pPr>
  </w:style>
  <w:style w:type="paragraph" w:styleId="Header">
    <w:name w:val="header"/>
    <w:basedOn w:val="Normal"/>
    <w:link w:val="HeaderChar"/>
    <w:uiPriority w:val="99"/>
    <w:unhideWhenUsed/>
    <w:rsid w:val="002375D8"/>
    <w:pPr>
      <w:tabs>
        <w:tab w:val="center" w:pos="4680"/>
        <w:tab w:val="right" w:pos="9360"/>
      </w:tabs>
      <w:spacing w:line="240" w:lineRule="auto"/>
    </w:pPr>
  </w:style>
  <w:style w:type="character" w:customStyle="1" w:styleId="HeaderChar">
    <w:name w:val="Header Char"/>
    <w:basedOn w:val="DefaultParagraphFont"/>
    <w:link w:val="Header"/>
    <w:uiPriority w:val="99"/>
    <w:rsid w:val="002375D8"/>
  </w:style>
  <w:style w:type="paragraph" w:styleId="Footer">
    <w:name w:val="footer"/>
    <w:basedOn w:val="Normal"/>
    <w:link w:val="FooterChar"/>
    <w:uiPriority w:val="99"/>
    <w:unhideWhenUsed/>
    <w:rsid w:val="002375D8"/>
    <w:pPr>
      <w:tabs>
        <w:tab w:val="center" w:pos="4680"/>
        <w:tab w:val="right" w:pos="9360"/>
      </w:tabs>
      <w:spacing w:line="240" w:lineRule="auto"/>
    </w:pPr>
  </w:style>
  <w:style w:type="character" w:customStyle="1" w:styleId="FooterChar">
    <w:name w:val="Footer Char"/>
    <w:basedOn w:val="DefaultParagraphFont"/>
    <w:link w:val="Footer"/>
    <w:uiPriority w:val="99"/>
    <w:rsid w:val="00237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med.ncbi.nlm.nih.gov/36865404/x" TargetMode="External"/><Relationship Id="rId21" Type="http://schemas.openxmlformats.org/officeDocument/2006/relationships/hyperlink" Target="https://www.emerald.com/ijhg/article/28/4/383/116068/" TargetMode="External"/><Relationship Id="rId42" Type="http://schemas.openxmlformats.org/officeDocument/2006/relationships/hyperlink" Target="https://doi.org/10.30919/esee1057" TargetMode="External"/><Relationship Id="rId47" Type="http://schemas.openxmlformats.org/officeDocument/2006/relationships/hyperlink" Target="https://doi.org/10.1108/IJHG-01-2023-0008" TargetMode="External"/><Relationship Id="rId63" Type="http://schemas.openxmlformats.org/officeDocument/2006/relationships/hyperlink" Target="https://doi.org/10.4103/ijcm.ijcm_842_22" TargetMode="External"/><Relationship Id="rId68" Type="http://schemas.openxmlformats.org/officeDocument/2006/relationships/hyperlink" Target="https://www.who.int/news-room/fact-sheets/detail/ageing-and-health" TargetMode="External"/><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cholar.google.com/scholar?hl=en&amp;as_sdt=0%2C5&amp;q=Sa+Perceived+Severity+of+self+Medication&amp;btnG=" TargetMode="External"/><Relationship Id="rId29" Type="http://schemas.openxmlformats.org/officeDocument/2006/relationships/hyperlink" Target="https://pubmed.ncbi.nlm.nih.gov/32717589/" TargetMode="External"/><Relationship Id="rId11" Type="http://schemas.openxmlformats.org/officeDocument/2006/relationships/header" Target="header3.xml"/><Relationship Id="rId24" Type="http://schemas.openxmlformats.org/officeDocument/2006/relationships/hyperlink" Target="https://ehj.ssu.ac.ir/article-1-96-en.pdf" TargetMode="External"/><Relationship Id="rId32" Type="http://schemas.openxmlformats.org/officeDocument/2006/relationships/hyperlink" Target="https://web.coa.gov.ph/sdg/index.php/goals/sdg/good-health-and-well-being/?utm_source=chatgpt.com" TargetMode="External"/><Relationship Id="rId37" Type="http://schemas.openxmlformats.org/officeDocument/2006/relationships/hyperlink" Target="https://ehj.ssu.ac.ir/article-1-96-en.pdf" TargetMode="External"/><Relationship Id="rId40" Type="http://schemas.openxmlformats.org/officeDocument/2006/relationships/hyperlink" Target="https://doi.org/10.5770/cgj.26.631" TargetMode="External"/><Relationship Id="rId45" Type="http://schemas.openxmlformats.org/officeDocument/2006/relationships/hyperlink" Target="https://bmcnurs.biomedcentral.com/articles/10.1186/s12912-020-00460-8" TargetMode="External"/><Relationship Id="rId53" Type="http://schemas.openxmlformats.org/officeDocument/2006/relationships/hyperlink" Target="https://doi.org/10.4103/jehp.jehp_630_22" TargetMode="External"/><Relationship Id="rId58" Type="http://schemas.openxmlformats.org/officeDocument/2006/relationships/hyperlink" Target="https://lawphil.net/statutes/repacts/ra2004/ra_9257_2004.html" TargetMode="External"/><Relationship Id="rId66" Type="http://schemas.openxmlformats.org/officeDocument/2006/relationships/hyperlink" Target="https://www.un.org/sustainabledevelopment/health/" TargetMode="External"/><Relationship Id="rId5" Type="http://schemas.openxmlformats.org/officeDocument/2006/relationships/footnotes" Target="footnotes.xml"/><Relationship Id="rId61" Type="http://schemas.openxmlformats.org/officeDocument/2006/relationships/hyperlink" Target="https://doi.org/10.3390/ijerph17176362" TargetMode="External"/><Relationship Id="rId19" Type="http://schemas.openxmlformats.org/officeDocument/2006/relationships/hyperlink" Target="https://www.statpearls.com/point-of-care/161679?utm_source=chatgpt.com" TargetMode="External"/><Relationship Id="rId14" Type="http://schemas.openxmlformats.org/officeDocument/2006/relationships/image" Target="media/image2.png"/><Relationship Id="rId22" Type="http://schemas.openxmlformats.org/officeDocument/2006/relationships/hyperlink" Target="https://www.emerald.com/ijhg/article/28/4/383/116068/" TargetMode="External"/><Relationship Id="rId27" Type="http://schemas.openxmlformats.org/officeDocument/2006/relationships/hyperlink" Target="https://researchrundowns.com/quantitative-methods/instrument-validity-reliability/?utm_source=chatgpt.com" TargetMode="External"/><Relationship Id="rId30" Type="http://schemas.openxmlformats.org/officeDocument/2006/relationships/hyperlink" Target="https://doi.org/10.3390/ijerph16193745" TargetMode="External"/><Relationship Id="rId35" Type="http://schemas.openxmlformats.org/officeDocument/2006/relationships/hyperlink" Target="https://onlinelibrary.wiley.com/doi/full/10.1111/tmi.13651" TargetMode="External"/><Relationship Id="rId43" Type="http://schemas.openxmlformats.org/officeDocument/2006/relationships/hyperlink" Target="https://doi.org/10.30919/esee1057" TargetMode="External"/><Relationship Id="rId48" Type="http://schemas.openxmlformats.org/officeDocument/2006/relationships/hyperlink" Target="https://pubmed.ncbi.nlm.nih.gov/37609089/" TargetMode="External"/><Relationship Id="rId56" Type="http://schemas.openxmlformats.org/officeDocument/2006/relationships/hyperlink" Target="https://doi.org/10.7759/cureus.33917" TargetMode="External"/><Relationship Id="rId64" Type="http://schemas.openxmlformats.org/officeDocument/2006/relationships/hyperlink" Target="https://doi.org/10.4103/ijcm.ijcm_842_22" TargetMode="External"/><Relationship Id="rId69" Type="http://schemas.openxmlformats.org/officeDocument/2006/relationships/hyperlink" Target="https://www.who.int/news-room/fact-sheets/detail/ageing-and-health" TargetMode="External"/><Relationship Id="rId8" Type="http://schemas.openxmlformats.org/officeDocument/2006/relationships/header" Target="header2.xml"/><Relationship Id="rId51" Type="http://schemas.openxmlformats.org/officeDocument/2006/relationships/hyperlink" Target="https://www.researchgate.net/publication/388792717_The_Role_of_Perceived_Susceptibility_and_Severity_in_Health_Behavior_Change_A_Health_Belief_Model_Perspective"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thepafp.org/journal/abstract/factors-on-self-medication-among-adult-hypertensive-patients-in-a-rural-community/" TargetMode="External"/><Relationship Id="rId25" Type="http://schemas.openxmlformats.org/officeDocument/2006/relationships/hyperlink" Target="https://doi.org/10.1177/20420986221127501" TargetMode="External"/><Relationship Id="rId33" Type="http://schemas.openxmlformats.org/officeDocument/2006/relationships/hyperlink" Target="https://doi.org/10.3390/nursrep15020053" TargetMode="External"/><Relationship Id="rId38" Type="http://schemas.openxmlformats.org/officeDocument/2006/relationships/hyperlink" Target="https://www.dmaic.com/faq/pilot/" TargetMode="External"/><Relationship Id="rId46" Type="http://schemas.openxmlformats.org/officeDocument/2006/relationships/hyperlink" Target="https://doi.org/10.1093/geroni/igaa057.676" TargetMode="External"/><Relationship Id="rId59" Type="http://schemas.openxmlformats.org/officeDocument/2006/relationships/hyperlink" Target="https://doi.org/10.4103/mgmj.mgmj_240_23" TargetMode="External"/><Relationship Id="rId67" Type="http://schemas.openxmlformats.org/officeDocument/2006/relationships/hyperlink" Target="https://apicareonline.com/index.php/APIC/article/view/2089" TargetMode="External"/><Relationship Id="rId20" Type="http://schemas.openxmlformats.org/officeDocument/2006/relationships/hyperlink" Target="https://www.statpearls.com/point-of-care/161679" TargetMode="External"/><Relationship Id="rId41" Type="http://schemas.openxmlformats.org/officeDocument/2006/relationships/hyperlink" Target="https://doi.org/10.5770/cgj.26.631" TargetMode="External"/><Relationship Id="rId54" Type="http://schemas.openxmlformats.org/officeDocument/2006/relationships/hyperlink" Target="https://doi.org/10.2174/1574884714666191122103953" TargetMode="External"/><Relationship Id="rId62" Type="http://schemas.openxmlformats.org/officeDocument/2006/relationships/hyperlink" Target="https://doi.org/10.1038/s41598-024-60931-9" TargetMode="External"/><Relationship Id="rId70" Type="http://schemas.openxmlformats.org/officeDocument/2006/relationships/hyperlink" Target="https://pubmed.ncbi.nlm.nih.gov/3908583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cholar.google.com/scholar?hl=en&amp;as_sdt=0%2C5&amp;q=Sa+Perceived+Severity+of+self+Medication&amp;btnG=" TargetMode="External"/><Relationship Id="rId23" Type="http://schemas.openxmlformats.org/officeDocument/2006/relationships/hyperlink" Target="https://pubmed.ncbi.nlm.nih.gov/39900582/" TargetMode="External"/><Relationship Id="rId28" Type="http://schemas.openxmlformats.org/officeDocument/2006/relationships/hyperlink" Target="https://researchrundowns.com/quantitative-methods/instrument-validity-reliability" TargetMode="External"/><Relationship Id="rId36" Type="http://schemas.openxmlformats.org/officeDocument/2006/relationships/hyperlink" Target="https://ehj.ssu.ac.ir/article-1-96-en.pdf" TargetMode="External"/><Relationship Id="rId49" Type="http://schemas.openxmlformats.org/officeDocument/2006/relationships/hyperlink" Target="https://www.nature.com/articles/s41598-025-22124-w" TargetMode="External"/><Relationship Id="rId57" Type="http://schemas.openxmlformats.org/officeDocument/2006/relationships/hyperlink" Target="https://lawphil.net/statutes/repacts/ra2004/ra_9257_2004.html?utm_source=chatgpt.com" TargetMode="External"/><Relationship Id="rId10" Type="http://schemas.openxmlformats.org/officeDocument/2006/relationships/footer" Target="footer2.xml"/><Relationship Id="rId31" Type="http://schemas.openxmlformats.org/officeDocument/2006/relationships/hyperlink" Target="https://web.coa.gov.ph/sdg/index.php/goals/sdg/good-health-and-well-being/?utm_source=chatgpt.com" TargetMode="External"/><Relationship Id="rId44" Type="http://schemas.openxmlformats.org/officeDocument/2006/relationships/hyperlink" Target="https://bmcnurs.biomedcentral.com/articles/10.1186/s12912-020-00460-8" TargetMode="External"/><Relationship Id="rId52" Type="http://schemas.openxmlformats.org/officeDocument/2006/relationships/hyperlink" Target="https://pubmed.ncbi.nlm.nih.gov/41090235/" TargetMode="External"/><Relationship Id="rId60" Type="http://schemas.openxmlformats.org/officeDocument/2006/relationships/hyperlink" Target="https://doi.org/10.1016/j.amsu.2022.104482" TargetMode="External"/><Relationship Id="rId65" Type="http://schemas.openxmlformats.org/officeDocument/2006/relationships/hyperlink" Target="https://www.un.org/sustainabledevelopment/health/"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hyperlink" Target="https://thepafp.org/journal/abstract/factors-on-self-medication-among-adult-hypertensive-patients-in-a-rural-community/" TargetMode="External"/><Relationship Id="rId39" Type="http://schemas.openxmlformats.org/officeDocument/2006/relationships/hyperlink" Target="https://www.dmaic.com/faq/pilot/" TargetMode="External"/><Relationship Id="rId34" Type="http://schemas.openxmlformats.org/officeDocument/2006/relationships/hyperlink" Target="https://doi.org/10.3390/nursrep15020053" TargetMode="External"/><Relationship Id="rId50" Type="http://schemas.openxmlformats.org/officeDocument/2006/relationships/hyperlink" Target="https://www.researchgate.net/publication/388792717_The_Role_of_Perceived_Susceptibility_and_Severity_in_Health_Behavior_Change_A_Health_Belief_Model_Perspective?utm_source=chatgpt.com" TargetMode="External"/><Relationship Id="rId55" Type="http://schemas.openxmlformats.org/officeDocument/2006/relationships/hyperlink" Target="https://doi.org/10.2174/1574884714666191122103953"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29</Pages>
  <Words>11948</Words>
  <Characters>68109</Characters>
  <Application>Microsoft Office Word</Application>
  <DocSecurity>0</DocSecurity>
  <Lines>567</Lines>
  <Paragraphs>159</Paragraphs>
  <ScaleCrop>false</ScaleCrop>
  <Company/>
  <LinksUpToDate>false</LinksUpToDate>
  <CharactersWithSpaces>79898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15</cp:revision>
  <dcterms:created xsi:type="dcterms:W3CDTF">2026-03-12T05:29:00Z</dcterms:created>
  <dcterms:modified xsi:type="dcterms:W3CDTF">2026-03-12T12:03:00Z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570de145-4183-4c19-997d-223b55b5cc61</vt:lpwstr>
  </property>
</Properties>
</file>