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95997" w14:textId="77777777" w:rsidR="006D79F3" w:rsidRDefault="006D79F3" w:rsidP="00155B2D">
      <w:pPr>
        <w:spacing w:after="120" w:line="360" w:lineRule="auto"/>
        <w:jc w:val="center"/>
        <w:rPr>
          <w:rFonts w:ascii="Times New Roman" w:hAnsi="Times New Roman" w:cs="Times New Roman"/>
          <w:b/>
          <w:bCs/>
          <w:sz w:val="24"/>
          <w:szCs w:val="24"/>
        </w:rPr>
      </w:pPr>
      <w:r w:rsidRPr="006D79F3">
        <w:rPr>
          <w:rFonts w:ascii="Times New Roman" w:hAnsi="Times New Roman" w:cs="Times New Roman"/>
          <w:b/>
          <w:bCs/>
          <w:sz w:val="24"/>
          <w:szCs w:val="24"/>
        </w:rPr>
        <w:t xml:space="preserve">Original Research Article </w:t>
      </w:r>
    </w:p>
    <w:p w14:paraId="7E92ED65" w14:textId="77777777" w:rsidR="006D79F3" w:rsidRDefault="006D79F3" w:rsidP="00155B2D">
      <w:pPr>
        <w:spacing w:after="120" w:line="360" w:lineRule="auto"/>
        <w:jc w:val="center"/>
        <w:rPr>
          <w:rFonts w:ascii="Times New Roman" w:hAnsi="Times New Roman" w:cs="Times New Roman"/>
          <w:b/>
          <w:bCs/>
          <w:sz w:val="24"/>
          <w:szCs w:val="24"/>
        </w:rPr>
      </w:pPr>
    </w:p>
    <w:p w14:paraId="1536A5B0" w14:textId="08CEBF70" w:rsidR="00193BCA" w:rsidRDefault="00155B2D" w:rsidP="00155B2D">
      <w:pPr>
        <w:spacing w:after="120" w:line="360" w:lineRule="auto"/>
        <w:jc w:val="center"/>
        <w:rPr>
          <w:rFonts w:ascii="Times New Roman" w:hAnsi="Times New Roman" w:cs="Times New Roman"/>
          <w:b/>
          <w:bCs/>
          <w:sz w:val="24"/>
          <w:szCs w:val="24"/>
        </w:rPr>
      </w:pPr>
      <w:proofErr w:type="spellStart"/>
      <w:r w:rsidRPr="00400DA8">
        <w:rPr>
          <w:rFonts w:ascii="Times New Roman" w:hAnsi="Times New Roman" w:cs="Times New Roman"/>
          <w:b/>
          <w:bCs/>
          <w:sz w:val="24"/>
          <w:szCs w:val="24"/>
        </w:rPr>
        <w:t>Spatio</w:t>
      </w:r>
      <w:proofErr w:type="spellEnd"/>
      <w:r w:rsidRPr="00400DA8">
        <w:rPr>
          <w:rFonts w:ascii="Times New Roman" w:hAnsi="Times New Roman" w:cs="Times New Roman"/>
          <w:b/>
          <w:bCs/>
          <w:sz w:val="24"/>
          <w:szCs w:val="24"/>
        </w:rPr>
        <w:t>-Temporal Dynamics of Groundwater Levels in Alluvial Aquifers of Anand District, Gujarat Using Geostatistical Approaches</w:t>
      </w:r>
    </w:p>
    <w:p w14:paraId="5B6BFB41" w14:textId="3716958B" w:rsidR="00D73152" w:rsidRDefault="00D73152" w:rsidP="00F4725D">
      <w:pPr>
        <w:rPr>
          <w:rFonts w:ascii="Times New Roman" w:hAnsi="Times New Roman" w:cs="Times New Roman"/>
          <w:sz w:val="24"/>
          <w:szCs w:val="24"/>
        </w:rPr>
      </w:pPr>
    </w:p>
    <w:p w14:paraId="7873D986" w14:textId="77777777" w:rsidR="00F4725D" w:rsidRDefault="00F4725D" w:rsidP="00F4725D">
      <w:pPr>
        <w:rPr>
          <w:rFonts w:ascii="Times New Roman" w:hAnsi="Times New Roman" w:cs="Times New Roman"/>
          <w:sz w:val="24"/>
          <w:szCs w:val="24"/>
        </w:rPr>
      </w:pPr>
    </w:p>
    <w:p w14:paraId="0FD3EEBD" w14:textId="77777777" w:rsidR="006D79F3" w:rsidRDefault="006D79F3" w:rsidP="00F6265F">
      <w:pPr>
        <w:jc w:val="center"/>
        <w:rPr>
          <w:rFonts w:ascii="Times New Roman" w:hAnsi="Times New Roman" w:cs="Times New Roman"/>
          <w:sz w:val="24"/>
          <w:szCs w:val="24"/>
        </w:rPr>
      </w:pPr>
    </w:p>
    <w:p w14:paraId="72C5EE9A" w14:textId="13DEDD9A" w:rsidR="00155B2D" w:rsidRPr="00400DA8" w:rsidRDefault="00155B2D" w:rsidP="00155B2D">
      <w:pPr>
        <w:spacing w:after="120" w:line="360" w:lineRule="auto"/>
        <w:jc w:val="center"/>
        <w:rPr>
          <w:rFonts w:ascii="Times New Roman" w:hAnsi="Times New Roman" w:cs="Times New Roman"/>
          <w:b/>
          <w:bCs/>
          <w:sz w:val="24"/>
          <w:szCs w:val="24"/>
        </w:rPr>
      </w:pPr>
      <w:r w:rsidRPr="00400DA8">
        <w:rPr>
          <w:rFonts w:ascii="Times New Roman" w:hAnsi="Times New Roman" w:cs="Times New Roman"/>
          <w:b/>
          <w:bCs/>
          <w:sz w:val="24"/>
          <w:szCs w:val="24"/>
        </w:rPr>
        <w:t>Abstract</w:t>
      </w:r>
    </w:p>
    <w:p w14:paraId="53BBF531" w14:textId="2AF3F967" w:rsidR="00155B2D" w:rsidRPr="00400DA8" w:rsidRDefault="00155B2D" w:rsidP="00155B2D">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 xml:space="preserve">Groundwater plays a vital role in sustaining agriculture and water security in semi-arid regions of India, where increasing extraction pressures necessitate a clear understanding of its variability. This study examines the </w:t>
      </w:r>
      <w:proofErr w:type="spellStart"/>
      <w:r w:rsidRPr="00400DA8">
        <w:rPr>
          <w:rFonts w:ascii="Times New Roman" w:hAnsi="Times New Roman" w:cs="Times New Roman"/>
          <w:sz w:val="24"/>
          <w:szCs w:val="24"/>
        </w:rPr>
        <w:t>spatio</w:t>
      </w:r>
      <w:proofErr w:type="spellEnd"/>
      <w:r w:rsidRPr="00400DA8">
        <w:rPr>
          <w:rFonts w:ascii="Times New Roman" w:hAnsi="Times New Roman" w:cs="Times New Roman"/>
          <w:sz w:val="24"/>
          <w:szCs w:val="24"/>
        </w:rPr>
        <w:t>-temporal dynamics of groundwater levels in the alluvial aquifers of Anand district, Gujarat, over a 20-year period (2000–2020) using pre and post-monsoon data from India-WRIS. Geostatistical analysis through Ordinary Kriging within a GIS framework was employed to map and analyze groundwater distribution. Results indicate significant spatial and temporal variability, wit</w:t>
      </w:r>
      <w:r w:rsidR="00392FE8">
        <w:rPr>
          <w:rFonts w:ascii="Times New Roman" w:hAnsi="Times New Roman" w:cs="Times New Roman"/>
          <w:sz w:val="24"/>
          <w:szCs w:val="24"/>
        </w:rPr>
        <w:t>h pre-monsoon groundwater</w:t>
      </w:r>
      <w:r w:rsidRPr="00400DA8">
        <w:rPr>
          <w:rFonts w:ascii="Times New Roman" w:hAnsi="Times New Roman" w:cs="Times New Roman"/>
          <w:sz w:val="24"/>
          <w:szCs w:val="24"/>
        </w:rPr>
        <w:t xml:space="preserve"> </w:t>
      </w:r>
      <w:r w:rsidR="00392FE8">
        <w:rPr>
          <w:rFonts w:ascii="Times New Roman" w:hAnsi="Times New Roman" w:cs="Times New Roman"/>
          <w:sz w:val="24"/>
          <w:szCs w:val="24"/>
        </w:rPr>
        <w:t>declining</w:t>
      </w:r>
      <w:r w:rsidRPr="00400DA8">
        <w:rPr>
          <w:rFonts w:ascii="Times New Roman" w:hAnsi="Times New Roman" w:cs="Times New Roman"/>
          <w:sz w:val="24"/>
          <w:szCs w:val="24"/>
        </w:rPr>
        <w:t xml:space="preserve"> from 4.4</w:t>
      </w:r>
      <w:r w:rsidR="00880C51">
        <w:rPr>
          <w:rFonts w:ascii="Times New Roman" w:hAnsi="Times New Roman" w:cs="Times New Roman"/>
          <w:sz w:val="24"/>
          <w:szCs w:val="24"/>
        </w:rPr>
        <w:t>-</w:t>
      </w:r>
      <w:r w:rsidRPr="00400DA8">
        <w:rPr>
          <w:rFonts w:ascii="Times New Roman" w:hAnsi="Times New Roman" w:cs="Times New Roman"/>
          <w:sz w:val="24"/>
          <w:szCs w:val="24"/>
        </w:rPr>
        <w:t>22.0</w:t>
      </w:r>
      <w:r w:rsidR="00880C51">
        <w:rPr>
          <w:rFonts w:ascii="Times New Roman" w:hAnsi="Times New Roman" w:cs="Times New Roman"/>
          <w:sz w:val="24"/>
          <w:szCs w:val="24"/>
        </w:rPr>
        <w:t xml:space="preserve"> </w:t>
      </w:r>
      <w:r w:rsidRPr="00400DA8">
        <w:rPr>
          <w:rFonts w:ascii="Times New Roman" w:hAnsi="Times New Roman" w:cs="Times New Roman"/>
          <w:sz w:val="24"/>
          <w:szCs w:val="24"/>
        </w:rPr>
        <w:t>m below ground level (bgl) in 2000 to 5.6</w:t>
      </w:r>
      <w:r w:rsidR="00880C51">
        <w:rPr>
          <w:rFonts w:ascii="Times New Roman" w:hAnsi="Times New Roman" w:cs="Times New Roman"/>
          <w:sz w:val="24"/>
          <w:szCs w:val="24"/>
        </w:rPr>
        <w:t>-</w:t>
      </w:r>
      <w:r w:rsidRPr="00400DA8">
        <w:rPr>
          <w:rFonts w:ascii="Times New Roman" w:hAnsi="Times New Roman" w:cs="Times New Roman"/>
          <w:sz w:val="24"/>
          <w:szCs w:val="24"/>
        </w:rPr>
        <w:t>26.1</w:t>
      </w:r>
      <w:r w:rsidR="00880C51">
        <w:rPr>
          <w:rFonts w:ascii="Times New Roman" w:hAnsi="Times New Roman" w:cs="Times New Roman"/>
          <w:sz w:val="24"/>
          <w:szCs w:val="24"/>
        </w:rPr>
        <w:t xml:space="preserve"> </w:t>
      </w:r>
      <w:r w:rsidRPr="00400DA8">
        <w:rPr>
          <w:rFonts w:ascii="Times New Roman" w:hAnsi="Times New Roman" w:cs="Times New Roman"/>
          <w:sz w:val="24"/>
          <w:szCs w:val="24"/>
        </w:rPr>
        <w:t xml:space="preserve">m bgl in 2020, reflecting progressive depletion. Spatially, northern and western regions consistently </w:t>
      </w:r>
      <w:r w:rsidR="00ED20AD">
        <w:rPr>
          <w:rFonts w:ascii="Times New Roman" w:hAnsi="Times New Roman" w:cs="Times New Roman"/>
          <w:sz w:val="24"/>
          <w:szCs w:val="24"/>
        </w:rPr>
        <w:t>show</w:t>
      </w:r>
      <w:r w:rsidRPr="00400DA8">
        <w:rPr>
          <w:rFonts w:ascii="Times New Roman" w:hAnsi="Times New Roman" w:cs="Times New Roman"/>
          <w:sz w:val="24"/>
          <w:szCs w:val="24"/>
        </w:rPr>
        <w:t>ed shallower water levels, while southeastern areas remained critically deeper. Post-monsoon analysis revealed an initial recovery phase (2000–2008) due to effective recharge, followed by a reversal after 2012, with expansion of deeper zones exceeding 26 m bgl by 2020. The study highlights a shift from recovery to depletion driven by combined natural and anthropogenic factors, emphasizing the need for sustainable groundwater management strategies, including regulated extraction and improved recharge interventions.</w:t>
      </w:r>
    </w:p>
    <w:p w14:paraId="50BABFD4" w14:textId="068E005A" w:rsidR="00155B2D" w:rsidRPr="00155B2D" w:rsidRDefault="00155B2D" w:rsidP="00155B2D">
      <w:pPr>
        <w:spacing w:after="120" w:line="360" w:lineRule="auto"/>
        <w:jc w:val="both"/>
        <w:rPr>
          <w:b/>
          <w:bCs/>
          <w:lang w:val="en-IN"/>
        </w:rPr>
      </w:pPr>
      <w:r w:rsidRPr="00400DA8">
        <w:rPr>
          <w:rFonts w:ascii="Times New Roman" w:hAnsi="Times New Roman" w:cs="Times New Roman"/>
          <w:b/>
          <w:bCs/>
          <w:sz w:val="24"/>
          <w:szCs w:val="24"/>
        </w:rPr>
        <w:t>Keywords:</w:t>
      </w:r>
      <w:r w:rsidRPr="00400DA8">
        <w:rPr>
          <w:b/>
          <w:bCs/>
          <w:lang w:val="en-IN"/>
        </w:rPr>
        <w:t xml:space="preserve"> </w:t>
      </w:r>
      <w:r w:rsidRPr="00400DA8">
        <w:rPr>
          <w:rFonts w:ascii="Times New Roman" w:hAnsi="Times New Roman" w:cs="Times New Roman"/>
          <w:sz w:val="24"/>
          <w:szCs w:val="24"/>
          <w:lang w:val="en-IN"/>
        </w:rPr>
        <w:t xml:space="preserve">Groundwater variability, </w:t>
      </w:r>
      <w:proofErr w:type="spellStart"/>
      <w:r w:rsidRPr="00155B2D">
        <w:rPr>
          <w:rFonts w:ascii="Times New Roman" w:hAnsi="Times New Roman" w:cs="Times New Roman"/>
          <w:sz w:val="24"/>
          <w:szCs w:val="24"/>
          <w:lang w:val="en-IN"/>
        </w:rPr>
        <w:t>Spatio</w:t>
      </w:r>
      <w:proofErr w:type="spellEnd"/>
      <w:r w:rsidRPr="00155B2D">
        <w:rPr>
          <w:rFonts w:ascii="Times New Roman" w:hAnsi="Times New Roman" w:cs="Times New Roman"/>
          <w:sz w:val="24"/>
          <w:szCs w:val="24"/>
          <w:lang w:val="en-IN"/>
        </w:rPr>
        <w:t>-temporal analysis</w:t>
      </w:r>
      <w:r w:rsidRPr="00400DA8">
        <w:rPr>
          <w:rFonts w:ascii="Times New Roman" w:hAnsi="Times New Roman" w:cs="Times New Roman"/>
          <w:sz w:val="24"/>
          <w:szCs w:val="24"/>
          <w:lang w:val="en-IN"/>
        </w:rPr>
        <w:t>,</w:t>
      </w:r>
      <w:r w:rsidRPr="00155B2D">
        <w:rPr>
          <w:rFonts w:ascii="Times New Roman" w:hAnsi="Times New Roman" w:cs="Times New Roman"/>
          <w:sz w:val="24"/>
          <w:szCs w:val="24"/>
          <w:lang w:val="en-IN"/>
        </w:rPr>
        <w:t xml:space="preserve"> Ordinary Kriging</w:t>
      </w:r>
      <w:r w:rsidRPr="00400DA8">
        <w:rPr>
          <w:rFonts w:ascii="Times New Roman" w:hAnsi="Times New Roman" w:cs="Times New Roman"/>
          <w:sz w:val="24"/>
          <w:szCs w:val="24"/>
          <w:lang w:val="en-IN"/>
        </w:rPr>
        <w:t xml:space="preserve">, </w:t>
      </w:r>
      <w:r w:rsidRPr="00155B2D">
        <w:rPr>
          <w:rFonts w:ascii="Times New Roman" w:hAnsi="Times New Roman" w:cs="Times New Roman"/>
          <w:sz w:val="24"/>
          <w:szCs w:val="24"/>
          <w:lang w:val="en-IN"/>
        </w:rPr>
        <w:t>Alluvial aquifers</w:t>
      </w:r>
      <w:r w:rsidRPr="00400DA8">
        <w:rPr>
          <w:rFonts w:ascii="Times New Roman" w:hAnsi="Times New Roman" w:cs="Times New Roman"/>
          <w:sz w:val="24"/>
          <w:szCs w:val="24"/>
          <w:lang w:val="en-IN"/>
        </w:rPr>
        <w:t xml:space="preserve">, </w:t>
      </w:r>
      <w:r w:rsidRPr="00155B2D">
        <w:rPr>
          <w:rFonts w:ascii="Times New Roman" w:hAnsi="Times New Roman" w:cs="Times New Roman"/>
          <w:sz w:val="24"/>
          <w:szCs w:val="24"/>
          <w:lang w:val="en-IN"/>
        </w:rPr>
        <w:t>Groundwater depletion</w:t>
      </w:r>
    </w:p>
    <w:p w14:paraId="6C7F1DD0" w14:textId="77777777"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 xml:space="preserve">1.Introduction </w:t>
      </w:r>
    </w:p>
    <w:p w14:paraId="63A79C56" w14:textId="66E7BD9D"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Water is crucial for human survival and is a vital input for producing food. To ensure sustainable food production, efficient use of water for crop irrigation is essential (</w:t>
      </w:r>
      <w:r w:rsidR="008D393E">
        <w:rPr>
          <w:rFonts w:ascii="Times New Roman" w:hAnsi="Times New Roman" w:cs="Times New Roman"/>
          <w:sz w:val="24"/>
          <w:szCs w:val="24"/>
        </w:rPr>
        <w:t xml:space="preserve">Mali &amp; Singh 2016; </w:t>
      </w:r>
      <w:r w:rsidRPr="00400DA8">
        <w:rPr>
          <w:rFonts w:ascii="Times New Roman" w:hAnsi="Times New Roman" w:cs="Times New Roman"/>
          <w:sz w:val="24"/>
          <w:szCs w:val="24"/>
        </w:rPr>
        <w:t>Kambale et al.</w:t>
      </w:r>
      <w:r w:rsidR="008D393E">
        <w:rPr>
          <w:rFonts w:ascii="Times New Roman" w:hAnsi="Times New Roman" w:cs="Times New Roman"/>
          <w:sz w:val="24"/>
          <w:szCs w:val="24"/>
        </w:rPr>
        <w:t>,</w:t>
      </w:r>
      <w:r w:rsidRPr="00400DA8">
        <w:rPr>
          <w:rFonts w:ascii="Times New Roman" w:hAnsi="Times New Roman" w:cs="Times New Roman"/>
          <w:sz w:val="24"/>
          <w:szCs w:val="24"/>
        </w:rPr>
        <w:t xml:space="preserve"> 2017). Groundwater is one of the largest freshwater reservoirs globally, which plays a critical role in providing drinking water to half of the global population (Gleeson et al., 2012), sustaining </w:t>
      </w:r>
      <w:r w:rsidRPr="00400DA8">
        <w:rPr>
          <w:rFonts w:ascii="Times New Roman" w:hAnsi="Times New Roman" w:cs="Times New Roman"/>
          <w:sz w:val="24"/>
          <w:szCs w:val="24"/>
        </w:rPr>
        <w:lastRenderedPageBreak/>
        <w:t>40 % of the global irrigated land (Siebert et al., 2010; Pandey et al. 2023). It has been estimated that between 20</w:t>
      </w:r>
      <w:r w:rsidR="00880C51">
        <w:rPr>
          <w:rFonts w:ascii="Times New Roman" w:hAnsi="Times New Roman" w:cs="Times New Roman"/>
          <w:sz w:val="24"/>
          <w:szCs w:val="24"/>
        </w:rPr>
        <w:t xml:space="preserve">-30% </w:t>
      </w:r>
      <w:r w:rsidRPr="00400DA8">
        <w:rPr>
          <w:rFonts w:ascii="Times New Roman" w:hAnsi="Times New Roman" w:cs="Times New Roman"/>
          <w:sz w:val="24"/>
          <w:szCs w:val="24"/>
        </w:rPr>
        <w:t>of the world’s largest groundwater aquifers are being used unsustainably due to factors such as climate change, population growth, and increased industrial activity (</w:t>
      </w:r>
      <w:proofErr w:type="spellStart"/>
      <w:r w:rsidRPr="00400DA8">
        <w:rPr>
          <w:rFonts w:ascii="Times New Roman" w:hAnsi="Times New Roman" w:cs="Times New Roman"/>
          <w:sz w:val="24"/>
          <w:szCs w:val="24"/>
        </w:rPr>
        <w:t>Pagendam</w:t>
      </w:r>
      <w:proofErr w:type="spellEnd"/>
      <w:r w:rsidRPr="00400DA8">
        <w:rPr>
          <w:rFonts w:ascii="Times New Roman" w:hAnsi="Times New Roman" w:cs="Times New Roman"/>
          <w:sz w:val="24"/>
          <w:szCs w:val="24"/>
        </w:rPr>
        <w:t xml:space="preserve"> et al. 2023; Sahoo et al. 2021</w:t>
      </w:r>
      <w:r w:rsidR="002C3615">
        <w:rPr>
          <w:rFonts w:ascii="Times New Roman" w:hAnsi="Times New Roman" w:cs="Times New Roman"/>
          <w:sz w:val="24"/>
          <w:szCs w:val="24"/>
        </w:rPr>
        <w:t>; Kaur et al. 2021</w:t>
      </w:r>
      <w:r w:rsidRPr="00400DA8">
        <w:rPr>
          <w:rFonts w:ascii="Times New Roman" w:hAnsi="Times New Roman" w:cs="Times New Roman"/>
          <w:sz w:val="24"/>
          <w:szCs w:val="24"/>
        </w:rPr>
        <w:t xml:space="preserve">). Groundwater extraction has become the backbone of India's agriculture and drinking water security, with the national average extraction rate at 63% (CGWB, 2019). However, groundwater extraction is not uniform across the country, with 16% of assessment units categorized as over-exploited and 4% as critical, indicating extraction exceeding annual recharge and between 90-100% of annual extractable resources, respectively. An additional 15% of assessment units are semi-critical, while 64% are categorized as safe. </w:t>
      </w:r>
      <w:r w:rsidR="00ED20AD" w:rsidRPr="00400DA8">
        <w:rPr>
          <w:rFonts w:ascii="Times New Roman" w:hAnsi="Times New Roman" w:cs="Times New Roman"/>
          <w:sz w:val="24"/>
          <w:szCs w:val="24"/>
        </w:rPr>
        <w:t>Finally,</w:t>
      </w:r>
      <w:r w:rsidRPr="00400DA8">
        <w:rPr>
          <w:rFonts w:ascii="Times New Roman" w:hAnsi="Times New Roman" w:cs="Times New Roman"/>
          <w:sz w:val="24"/>
          <w:szCs w:val="24"/>
        </w:rPr>
        <w:t xml:space="preserve"> 1% of assessment units are saline, with brackish or saline groundwater in phreatic aquifers. Nevertheless, large-scale development and utilization of groundwater in various parts of India have led to the depletion of groundwater resources.</w:t>
      </w:r>
    </w:p>
    <w:p w14:paraId="30257F1D" w14:textId="229A7F12" w:rsidR="00193BCA" w:rsidRDefault="00193BCA" w:rsidP="00193BCA">
      <w:pPr>
        <w:spacing w:after="120" w:line="360" w:lineRule="auto"/>
        <w:jc w:val="both"/>
        <w:rPr>
          <w:rFonts w:ascii="Times New Roman" w:hAnsi="Times New Roman" w:cs="Times New Roman"/>
          <w:sz w:val="24"/>
          <w:szCs w:val="24"/>
        </w:rPr>
      </w:pPr>
      <w:proofErr w:type="spellStart"/>
      <w:r w:rsidRPr="00400DA8">
        <w:rPr>
          <w:rFonts w:ascii="Times New Roman" w:eastAsia="Times New Roman" w:hAnsi="Times New Roman" w:cs="Times New Roman"/>
          <w:kern w:val="0"/>
          <w:sz w:val="24"/>
          <w:szCs w:val="24"/>
          <w14:ligatures w14:val="none"/>
        </w:rPr>
        <w:t>Spatio</w:t>
      </w:r>
      <w:proofErr w:type="spellEnd"/>
      <w:r w:rsidRPr="00400DA8">
        <w:rPr>
          <w:rFonts w:ascii="Times New Roman" w:eastAsia="Times New Roman" w:hAnsi="Times New Roman" w:cs="Times New Roman"/>
          <w:kern w:val="0"/>
          <w:sz w:val="24"/>
          <w:szCs w:val="24"/>
          <w14:ligatures w14:val="none"/>
        </w:rPr>
        <w:t xml:space="preserve">-temporal variability of groundwater levels </w:t>
      </w:r>
      <w:r w:rsidR="00E317C9" w:rsidRPr="00400DA8">
        <w:rPr>
          <w:rFonts w:ascii="Times New Roman" w:eastAsia="Times New Roman" w:hAnsi="Times New Roman" w:cs="Times New Roman"/>
          <w:kern w:val="0"/>
          <w:sz w:val="24"/>
          <w:szCs w:val="24"/>
          <w14:ligatures w14:val="none"/>
        </w:rPr>
        <w:t>is</w:t>
      </w:r>
      <w:r w:rsidRPr="00400DA8">
        <w:rPr>
          <w:rFonts w:ascii="Times New Roman" w:eastAsia="Times New Roman" w:hAnsi="Times New Roman" w:cs="Times New Roman"/>
          <w:kern w:val="0"/>
          <w:sz w:val="24"/>
          <w:szCs w:val="24"/>
          <w14:ligatures w14:val="none"/>
        </w:rPr>
        <w:t xml:space="preserve"> important for understanding the changes in groundwater resources over time and space (</w:t>
      </w:r>
      <w:proofErr w:type="spellStart"/>
      <w:r w:rsidRPr="00400DA8">
        <w:rPr>
          <w:rFonts w:ascii="Times New Roman" w:eastAsia="Times New Roman" w:hAnsi="Times New Roman" w:cs="Times New Roman"/>
          <w:kern w:val="0"/>
          <w:sz w:val="24"/>
          <w:szCs w:val="24"/>
          <w14:ligatures w14:val="none"/>
        </w:rPr>
        <w:t>Patle</w:t>
      </w:r>
      <w:proofErr w:type="spellEnd"/>
      <w:r w:rsidRPr="00400DA8">
        <w:rPr>
          <w:rFonts w:ascii="Times New Roman" w:eastAsia="Times New Roman" w:hAnsi="Times New Roman" w:cs="Times New Roman"/>
          <w:kern w:val="0"/>
          <w:sz w:val="24"/>
          <w:szCs w:val="24"/>
          <w14:ligatures w14:val="none"/>
        </w:rPr>
        <w:t xml:space="preserve"> et al. 2015</w:t>
      </w:r>
      <w:r w:rsidR="008D393E">
        <w:rPr>
          <w:rFonts w:ascii="Times New Roman" w:eastAsia="Times New Roman" w:hAnsi="Times New Roman" w:cs="Times New Roman"/>
          <w:kern w:val="0"/>
          <w:sz w:val="24"/>
          <w:szCs w:val="24"/>
          <w14:ligatures w14:val="none"/>
        </w:rPr>
        <w:t>; Ware et al. 2023</w:t>
      </w:r>
      <w:r w:rsidRPr="00400DA8">
        <w:rPr>
          <w:rFonts w:ascii="Times New Roman" w:eastAsia="Times New Roman" w:hAnsi="Times New Roman" w:cs="Times New Roman"/>
          <w:kern w:val="0"/>
          <w:sz w:val="24"/>
          <w:szCs w:val="24"/>
          <w14:ligatures w14:val="none"/>
        </w:rPr>
        <w:t xml:space="preserve">). Various methods are used to analyze the </w:t>
      </w:r>
      <w:proofErr w:type="spellStart"/>
      <w:r w:rsidRPr="00400DA8">
        <w:rPr>
          <w:rFonts w:ascii="Times New Roman" w:eastAsia="Times New Roman" w:hAnsi="Times New Roman" w:cs="Times New Roman"/>
          <w:kern w:val="0"/>
          <w:sz w:val="24"/>
          <w:szCs w:val="24"/>
          <w14:ligatures w14:val="none"/>
        </w:rPr>
        <w:t>spatio</w:t>
      </w:r>
      <w:proofErr w:type="spellEnd"/>
      <w:r w:rsidRPr="00400DA8">
        <w:rPr>
          <w:rFonts w:ascii="Times New Roman" w:eastAsia="Times New Roman" w:hAnsi="Times New Roman" w:cs="Times New Roman"/>
          <w:kern w:val="0"/>
          <w:sz w:val="24"/>
          <w:szCs w:val="24"/>
          <w14:ligatures w14:val="none"/>
        </w:rPr>
        <w:t>-temporal variability of groundwater levels, including geostatistical analysis, spatial interpolation, and remote sensing techniques (Roy et al. 2023). Geostatistical analysis involves the use of statistical techniques to quantify the spatial patterns and correlations of groundwater levels. Spatial interpolation methods, such as Kriging and Inverse Distance Weighting, are used to estimate groundwater levels at unmeasured locations based on the observed values at nearby monitoring wells. Remote sensing techniques, such as satellite imagery and aerial photography, can provide valuable information on the spatial and temporal variations of groundwater levels in large regions. Therefore, accurate prediction of groundwater levels requires the integration of various data sources, including hydrological, meteorological, and socio-economic data. Moreover, accurate prediction of future trends of groundwater levels is crucial for ensuring the long-term sustainability of groundwater resources.</w:t>
      </w:r>
      <w:r w:rsidR="00CB7AE7">
        <w:rPr>
          <w:rFonts w:ascii="Times New Roman" w:eastAsia="Times New Roman" w:hAnsi="Times New Roman" w:cs="Times New Roman"/>
          <w:kern w:val="0"/>
          <w:sz w:val="24"/>
          <w:szCs w:val="24"/>
          <w14:ligatures w14:val="none"/>
        </w:rPr>
        <w:t xml:space="preserve"> </w:t>
      </w:r>
      <w:r w:rsidRPr="00400DA8">
        <w:rPr>
          <w:rFonts w:ascii="Times New Roman" w:hAnsi="Times New Roman" w:cs="Times New Roman"/>
          <w:sz w:val="24"/>
          <w:szCs w:val="24"/>
        </w:rPr>
        <w:t>Therefore, the objective of this research is to investigate the groundwater variability in the alluvial aquifers of Anand district of Gujarat</w:t>
      </w:r>
      <w:r w:rsidR="00392FE8">
        <w:rPr>
          <w:rFonts w:ascii="Times New Roman" w:hAnsi="Times New Roman" w:cs="Times New Roman"/>
          <w:sz w:val="24"/>
          <w:szCs w:val="24"/>
        </w:rPr>
        <w:t xml:space="preserve"> for sustainable use of g</w:t>
      </w:r>
      <w:r w:rsidR="00E317C9">
        <w:rPr>
          <w:rFonts w:ascii="Times New Roman" w:hAnsi="Times New Roman" w:cs="Times New Roman"/>
          <w:sz w:val="24"/>
          <w:szCs w:val="24"/>
        </w:rPr>
        <w:t>roundwater.</w:t>
      </w:r>
    </w:p>
    <w:p w14:paraId="1C09ABC9" w14:textId="3A0FF41E" w:rsidR="00BE76B7" w:rsidRDefault="00BE76B7" w:rsidP="00193BCA">
      <w:pPr>
        <w:spacing w:after="120" w:line="360" w:lineRule="auto"/>
        <w:jc w:val="both"/>
        <w:rPr>
          <w:rFonts w:ascii="Times New Roman" w:eastAsia="Times New Roman" w:hAnsi="Times New Roman" w:cs="Times New Roman"/>
          <w:kern w:val="0"/>
          <w:sz w:val="24"/>
          <w:szCs w:val="24"/>
          <w14:ligatures w14:val="none"/>
        </w:rPr>
      </w:pPr>
    </w:p>
    <w:p w14:paraId="11150249" w14:textId="6E0566C2" w:rsidR="00BE76B7" w:rsidRDefault="00BE76B7" w:rsidP="00193BCA">
      <w:pPr>
        <w:spacing w:after="120" w:line="360" w:lineRule="auto"/>
        <w:jc w:val="both"/>
        <w:rPr>
          <w:rFonts w:ascii="Times New Roman" w:eastAsia="Times New Roman" w:hAnsi="Times New Roman" w:cs="Times New Roman"/>
          <w:kern w:val="0"/>
          <w:sz w:val="24"/>
          <w:szCs w:val="24"/>
          <w14:ligatures w14:val="none"/>
        </w:rPr>
      </w:pPr>
    </w:p>
    <w:p w14:paraId="6044222D" w14:textId="77777777" w:rsidR="00BE76B7" w:rsidRPr="00400DA8" w:rsidRDefault="00BE76B7" w:rsidP="00193BCA">
      <w:pPr>
        <w:spacing w:after="120" w:line="360" w:lineRule="auto"/>
        <w:jc w:val="both"/>
        <w:rPr>
          <w:rFonts w:ascii="Times New Roman" w:eastAsia="Times New Roman" w:hAnsi="Times New Roman" w:cs="Times New Roman"/>
          <w:kern w:val="0"/>
          <w:sz w:val="24"/>
          <w:szCs w:val="24"/>
          <w14:ligatures w14:val="none"/>
        </w:rPr>
      </w:pPr>
    </w:p>
    <w:p w14:paraId="298A3648" w14:textId="77777777"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lastRenderedPageBreak/>
        <w:t xml:space="preserve">2.Material and Methods </w:t>
      </w:r>
    </w:p>
    <w:p w14:paraId="36512B38" w14:textId="77777777"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 xml:space="preserve">2.1 Study Area </w:t>
      </w:r>
    </w:p>
    <w:p w14:paraId="2D20D532" w14:textId="1DC89928" w:rsidR="00A12004" w:rsidRDefault="00A12004" w:rsidP="00A12004">
      <w:pPr>
        <w:spacing w:after="120" w:line="360" w:lineRule="auto"/>
        <w:jc w:val="both"/>
        <w:rPr>
          <w:rFonts w:ascii="Times New Roman" w:hAnsi="Times New Roman" w:cs="Times New Roman"/>
          <w:sz w:val="24"/>
          <w:szCs w:val="24"/>
          <w:lang w:val="en-IN"/>
        </w:rPr>
      </w:pPr>
      <w:r w:rsidRPr="00A12004">
        <w:rPr>
          <w:rFonts w:ascii="Times New Roman" w:hAnsi="Times New Roman" w:cs="Times New Roman"/>
          <w:sz w:val="24"/>
          <w:szCs w:val="24"/>
          <w:lang w:val="en-IN"/>
        </w:rPr>
        <w:t xml:space="preserve">The Anand district of Gujarat state, </w:t>
      </w:r>
      <w:r w:rsidR="00392FE8">
        <w:rPr>
          <w:rFonts w:ascii="Times New Roman" w:hAnsi="Times New Roman" w:cs="Times New Roman"/>
          <w:sz w:val="24"/>
          <w:szCs w:val="24"/>
          <w:lang w:val="en-IN"/>
        </w:rPr>
        <w:t xml:space="preserve">India </w:t>
      </w:r>
      <w:r w:rsidRPr="00A12004">
        <w:rPr>
          <w:rFonts w:ascii="Times New Roman" w:hAnsi="Times New Roman" w:cs="Times New Roman"/>
          <w:sz w:val="24"/>
          <w:szCs w:val="24"/>
          <w:lang w:val="en-IN"/>
        </w:rPr>
        <w:t>which is roughly 2900 km² in size, has a semi-arid climate. The area has scorching summers and comparatively cold winters, according to meteorologi</w:t>
      </w:r>
      <w:r w:rsidR="00392FE8">
        <w:rPr>
          <w:rFonts w:ascii="Times New Roman" w:hAnsi="Times New Roman" w:cs="Times New Roman"/>
          <w:sz w:val="24"/>
          <w:szCs w:val="24"/>
          <w:lang w:val="en-IN"/>
        </w:rPr>
        <w:t>cal data from the closest India</w:t>
      </w:r>
      <w:r w:rsidRPr="00A12004">
        <w:rPr>
          <w:rFonts w:ascii="Times New Roman" w:hAnsi="Times New Roman" w:cs="Times New Roman"/>
          <w:sz w:val="24"/>
          <w:szCs w:val="24"/>
          <w:lang w:val="en-IN"/>
        </w:rPr>
        <w:t xml:space="preserve"> Meteorological Department (IMD) station in Ahmedabad. </w:t>
      </w:r>
      <w:r w:rsidRPr="00A12004">
        <w:rPr>
          <w:rFonts w:ascii="Times New Roman" w:hAnsi="Times New Roman" w:cs="Times New Roman"/>
          <w:sz w:val="24"/>
          <w:szCs w:val="24"/>
        </w:rPr>
        <w:t>The mean maximum temperature ranges from 28.4°C in January to about 41.8°C in May, while mean minimum temperatures vary from 11.7°C in January to 27°C in June. Relative humidity fluctuates between 32% in March and 79% in August. Wind velocity varies from approximately 74 km/day in November to 174 km/day in June. The long-term average annual rainfall is about 799.6 mm, with the majority of precipitation occurring during the southwest monsoon season (June–September). Agriculture in the district is practiced across all three seasons, with paddy and jowar dominating the kharif season, wheat and pulses in the rabi season, and jowar and groundnut during summer. In this study, long-term pre- and post-monsoon groundwater level data from 2000 to 2020 were utilized to assess the spatial variability of groundwater levels</w:t>
      </w:r>
      <w:r>
        <w:rPr>
          <w:rFonts w:ascii="Times New Roman" w:hAnsi="Times New Roman" w:cs="Times New Roman"/>
          <w:sz w:val="24"/>
          <w:szCs w:val="24"/>
        </w:rPr>
        <w:t>.</w:t>
      </w:r>
    </w:p>
    <w:p w14:paraId="3DFDE254" w14:textId="410D0FB8" w:rsidR="00193BCA" w:rsidRPr="00400DA8" w:rsidRDefault="00193BCA" w:rsidP="00A12004">
      <w:pPr>
        <w:spacing w:after="120" w:line="360" w:lineRule="auto"/>
        <w:jc w:val="center"/>
        <w:rPr>
          <w:rFonts w:ascii="Times New Roman" w:hAnsi="Times New Roman" w:cs="Times New Roman"/>
          <w:sz w:val="24"/>
          <w:szCs w:val="24"/>
        </w:rPr>
      </w:pPr>
      <w:r w:rsidRPr="00400DA8">
        <w:rPr>
          <w:rFonts w:ascii="Times New Roman" w:hAnsi="Times New Roman" w:cs="Times New Roman"/>
          <w:noProof/>
          <w:sz w:val="24"/>
          <w:szCs w:val="24"/>
          <w:lang w:val="en-IN" w:eastAsia="en-IN"/>
        </w:rPr>
        <w:lastRenderedPageBreak/>
        <w:drawing>
          <wp:inline distT="0" distB="0" distL="0" distR="0" wp14:anchorId="2BFCA388" wp14:editId="532873E6">
            <wp:extent cx="4213860" cy="4330065"/>
            <wp:effectExtent l="19050" t="19050" r="1524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510" t="2765" r="4546" b="5300"/>
                    <a:stretch/>
                  </pic:blipFill>
                  <pic:spPr bwMode="auto">
                    <a:xfrm>
                      <a:off x="0" y="0"/>
                      <a:ext cx="4265689" cy="4383323"/>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4FE07FF0" w14:textId="77777777" w:rsidR="00193BCA" w:rsidRPr="00400DA8" w:rsidRDefault="00193BCA" w:rsidP="00193BCA">
      <w:pPr>
        <w:spacing w:after="120" w:line="360" w:lineRule="auto"/>
        <w:jc w:val="center"/>
        <w:rPr>
          <w:rFonts w:ascii="Times New Roman" w:hAnsi="Times New Roman" w:cs="Times New Roman"/>
          <w:sz w:val="24"/>
          <w:szCs w:val="24"/>
        </w:rPr>
      </w:pPr>
      <w:r w:rsidRPr="00400DA8">
        <w:rPr>
          <w:rFonts w:ascii="Times New Roman" w:hAnsi="Times New Roman" w:cs="Times New Roman"/>
          <w:b/>
          <w:bCs/>
          <w:sz w:val="24"/>
          <w:szCs w:val="24"/>
        </w:rPr>
        <w:t xml:space="preserve">Fig. 1 </w:t>
      </w:r>
      <w:r w:rsidRPr="00400DA8">
        <w:rPr>
          <w:rFonts w:ascii="Times New Roman" w:hAnsi="Times New Roman" w:cs="Times New Roman"/>
          <w:sz w:val="24"/>
          <w:szCs w:val="24"/>
        </w:rPr>
        <w:t>The map showing location of the study area Anand district, Gujarat, India.</w:t>
      </w:r>
    </w:p>
    <w:p w14:paraId="729908B4" w14:textId="77777777" w:rsidR="00193BCA" w:rsidRPr="00400DA8" w:rsidRDefault="00193BCA" w:rsidP="00193BCA">
      <w:pPr>
        <w:spacing w:after="120" w:line="360" w:lineRule="auto"/>
        <w:jc w:val="both"/>
        <w:rPr>
          <w:rFonts w:ascii="Times New Roman" w:hAnsi="Times New Roman" w:cs="Times New Roman"/>
          <w:b/>
          <w:sz w:val="24"/>
          <w:szCs w:val="24"/>
        </w:rPr>
      </w:pPr>
      <w:r w:rsidRPr="00400DA8">
        <w:rPr>
          <w:rFonts w:ascii="Times New Roman" w:hAnsi="Times New Roman" w:cs="Times New Roman"/>
          <w:b/>
          <w:sz w:val="24"/>
          <w:szCs w:val="24"/>
        </w:rPr>
        <w:t>2.2 Data Collection</w:t>
      </w:r>
    </w:p>
    <w:p w14:paraId="73EFDE85" w14:textId="17FF4795" w:rsidR="00193BCA"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study utilized long-term groundwater level data for the period 2000–2020 to assess spatial and temporal variability. Pre-monsoon (June) and post-monsoon (October) groundwater level data from observation wells located across Anand district were collected from the India-WRIS (Water Resources Information System) portal. The groundwater monitoring network is maintained by the Central Ground Water Board (CGWB).</w:t>
      </w:r>
      <w:r w:rsidR="00FF79BE">
        <w:rPr>
          <w:rFonts w:ascii="Times New Roman" w:hAnsi="Times New Roman" w:cs="Times New Roman"/>
          <w:sz w:val="24"/>
          <w:szCs w:val="24"/>
        </w:rPr>
        <w:t xml:space="preserve"> The groundwater level data was</w:t>
      </w:r>
      <w:r w:rsidRPr="00400DA8">
        <w:rPr>
          <w:rFonts w:ascii="Times New Roman" w:hAnsi="Times New Roman" w:cs="Times New Roman"/>
          <w:sz w:val="24"/>
          <w:szCs w:val="24"/>
        </w:rPr>
        <w:t xml:space="preserve"> reported as depth to water level below ground level (m bgl). Only wells having consistent and continuous records for the study period</w:t>
      </w:r>
      <w:r w:rsidR="00FF79BE">
        <w:rPr>
          <w:rFonts w:ascii="Times New Roman" w:hAnsi="Times New Roman" w:cs="Times New Roman"/>
          <w:sz w:val="24"/>
          <w:szCs w:val="24"/>
        </w:rPr>
        <w:t>s was</w:t>
      </w:r>
      <w:r w:rsidRPr="00400DA8">
        <w:rPr>
          <w:rFonts w:ascii="Times New Roman" w:hAnsi="Times New Roman" w:cs="Times New Roman"/>
          <w:sz w:val="24"/>
          <w:szCs w:val="24"/>
        </w:rPr>
        <w:t xml:space="preserve"> considered for analysis to ensure data reliability. Ancillary data such as district boundary maps and administrative layers were collected from secondary sources for spatial analysis. </w:t>
      </w:r>
    </w:p>
    <w:p w14:paraId="3769EF4E" w14:textId="760E4472" w:rsidR="00592B76" w:rsidRDefault="00592B76" w:rsidP="00193BCA">
      <w:pPr>
        <w:spacing w:after="120" w:line="360" w:lineRule="auto"/>
        <w:jc w:val="both"/>
        <w:rPr>
          <w:rFonts w:ascii="Times New Roman" w:hAnsi="Times New Roman" w:cs="Times New Roman"/>
          <w:sz w:val="24"/>
          <w:szCs w:val="24"/>
        </w:rPr>
      </w:pPr>
    </w:p>
    <w:p w14:paraId="1C64C3B3" w14:textId="77777777" w:rsidR="00592B76" w:rsidRPr="00400DA8" w:rsidRDefault="00592B76" w:rsidP="00193BCA">
      <w:pPr>
        <w:spacing w:after="120" w:line="360" w:lineRule="auto"/>
        <w:jc w:val="both"/>
        <w:rPr>
          <w:rFonts w:ascii="Times New Roman" w:hAnsi="Times New Roman" w:cs="Times New Roman"/>
          <w:sz w:val="24"/>
          <w:szCs w:val="24"/>
        </w:rPr>
      </w:pPr>
      <w:bookmarkStart w:id="0" w:name="_GoBack"/>
      <w:bookmarkEnd w:id="0"/>
    </w:p>
    <w:p w14:paraId="67BA3EE8" w14:textId="73E8E0EA" w:rsidR="00193BCA" w:rsidRPr="00400DA8" w:rsidRDefault="001D6263" w:rsidP="00193BCA">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 </w:t>
      </w:r>
      <w:r w:rsidR="00193BCA" w:rsidRPr="00400DA8">
        <w:rPr>
          <w:rFonts w:ascii="Times New Roman" w:hAnsi="Times New Roman" w:cs="Times New Roman"/>
          <w:b/>
          <w:sz w:val="24"/>
          <w:szCs w:val="24"/>
        </w:rPr>
        <w:t>Spatial Analysis</w:t>
      </w:r>
    </w:p>
    <w:p w14:paraId="6F0C2FF5"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Spatial analysis was conducted to quantify the spatial variability and distribution of groundwater levels in Anand district during the period 2000–2020. Groundwater level observations from monitoring wells were georeferenced using their geographic coordinates and analyzed within a Geographic Information System (GIS) framework. Separate datasets were prepared for pre-monsoon (June) and post-monsoon (October) seasons to capture seasonal variations in groundwater levels.</w:t>
      </w:r>
    </w:p>
    <w:p w14:paraId="4198B680"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To transform discrete point observations into continuous groundwater level surfaces, geostatistical interpolation techniques were applied. Among various interpolation methods, ordinary kriging was adopted due to its capability to account for spatial autocorrelation and provide unbiased estimates with minimum estimation variance. Prior to interpolation, exploratory spatial data analysis was performed to examine data distribution and identify outliers.</w:t>
      </w:r>
    </w:p>
    <w:p w14:paraId="1A9E26F1" w14:textId="065672C9" w:rsidR="00193BCA" w:rsidRPr="00400DA8" w:rsidRDefault="00392FE8" w:rsidP="00193BC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Ordinary Kriging</w:t>
      </w:r>
      <w:r w:rsidR="00193BCA" w:rsidRPr="00400DA8">
        <w:rPr>
          <w:rFonts w:ascii="Times New Roman" w:hAnsi="Times New Roman" w:cs="Times New Roman"/>
          <w:sz w:val="24"/>
          <w:szCs w:val="24"/>
        </w:rPr>
        <w:t xml:space="preserve"> estimator is expressed as:</w:t>
      </w:r>
    </w:p>
    <w:p w14:paraId="4048A83E" w14:textId="713779E7" w:rsidR="00193BCA" w:rsidRPr="00400DA8" w:rsidRDefault="008F0129" w:rsidP="00E14F7A">
      <w:pPr>
        <w:spacing w:after="120" w:line="360" w:lineRule="auto"/>
        <w:jc w:val="center"/>
        <w:rPr>
          <w:rFonts w:ascii="Times New Roman" w:hAnsi="Times New Roman" w:cs="Times New Roman"/>
          <w:sz w:val="24"/>
          <w:szCs w:val="24"/>
        </w:rPr>
      </w:pPr>
      <m:oMathPara>
        <m:oMath>
          <m:acc>
            <m:accPr>
              <m:ctrlPr>
                <w:rPr>
                  <w:rFonts w:ascii="Cambria Math" w:hAnsi="Cambria Math" w:cs="Times New Roman"/>
                  <w:sz w:val="24"/>
                  <w:szCs w:val="24"/>
                </w:rPr>
              </m:ctrlPr>
            </m:accPr>
            <m:e>
              <m:r>
                <m:rPr>
                  <m:sty m:val="p"/>
                </m:rPr>
                <w:rPr>
                  <w:rFonts w:ascii="Cambria Math" w:hAnsi="Cambria Math" w:cs="Times New Roman"/>
                  <w:sz w:val="24"/>
                  <w:szCs w:val="24"/>
                </w:rPr>
                <m:t>Z</m:t>
              </m:r>
            </m:e>
          </m:acc>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0</m:t>
              </m:r>
            </m:sub>
          </m:sSub>
          <m:r>
            <m:rPr>
              <m:sty m:val="p"/>
            </m:rPr>
            <w:rPr>
              <w:rFonts w:ascii="Cambria Math" w:hAnsi="Times New Roman" w:cs="Times New Roman"/>
              <w:sz w:val="24"/>
              <w:szCs w:val="24"/>
            </w:rPr>
            <m:t>)=</m:t>
          </m:r>
          <m:nary>
            <m:naryPr>
              <m:chr m:val="∑"/>
              <m:limLoc m:val="undOvr"/>
              <m:ctrlPr>
                <w:rPr>
                  <w:rFonts w:ascii="Cambria Math" w:hAnsi="Times New Roman" w:cs="Times New Roman"/>
                  <w:sz w:val="24"/>
                  <w:szCs w:val="24"/>
                </w:rPr>
              </m:ctrlPr>
            </m:naryPr>
            <m:sub>
              <m:r>
                <w:rPr>
                  <w:rFonts w:ascii="Cambria Math" w:hAnsi="Times New Roman" w:cs="Times New Roman"/>
                  <w:sz w:val="24"/>
                  <w:szCs w:val="24"/>
                </w:rPr>
                <m:t>i</m:t>
              </m:r>
              <m:r>
                <w:rPr>
                  <w:rFonts w:ascii="Cambria Math" w:hAnsi="Times New Roman" w:cs="Times New Roman"/>
                  <w:sz w:val="24"/>
                  <w:szCs w:val="24"/>
                </w:rPr>
                <m:t>=1</m:t>
              </m:r>
            </m:sub>
            <m:sup>
              <m:r>
                <w:rPr>
                  <w:rFonts w:ascii="Cambria Math" w:hAnsi="Times New Roman"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e>
          </m:nary>
          <m:r>
            <m:rPr>
              <m:sty m:val="p"/>
            </m:rPr>
            <w:rPr>
              <w:rFonts w:ascii="Cambria Math" w:hAnsi="Times New Roman" w:cs="Times New Roman"/>
              <w:sz w:val="24"/>
              <w:szCs w:val="24"/>
            </w:rPr>
            <m:t>Z(</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m:rPr>
              <m:sty m:val="p"/>
            </m:rPr>
            <w:rPr>
              <w:rFonts w:ascii="Cambria Math" w:hAnsi="Times New Roman" w:cs="Times New Roman"/>
              <w:sz w:val="24"/>
              <w:szCs w:val="24"/>
            </w:rPr>
            <m:t>)</m:t>
          </m:r>
        </m:oMath>
      </m:oMathPara>
    </w:p>
    <w:p w14:paraId="3E6B314F"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where,</w:t>
      </w:r>
    </w:p>
    <w:p w14:paraId="314F74EC" w14:textId="6DB77AF1" w:rsidR="00193BCA" w:rsidRPr="00400DA8" w:rsidRDefault="008F0129" w:rsidP="00193BCA">
      <w:pPr>
        <w:spacing w:after="120" w:line="360" w:lineRule="auto"/>
        <w:jc w:val="both"/>
        <w:rPr>
          <w:rFonts w:ascii="Times New Roman" w:hAnsi="Times New Roman" w:cs="Times New Roman"/>
          <w:sz w:val="24"/>
          <w:szCs w:val="24"/>
        </w:rPr>
      </w:pPr>
      <m:oMath>
        <m:acc>
          <m:accPr>
            <m:ctrlPr>
              <w:rPr>
                <w:rFonts w:ascii="Cambria Math" w:hAnsi="Cambria Math" w:cs="Times New Roman"/>
                <w:sz w:val="24"/>
                <w:szCs w:val="24"/>
              </w:rPr>
            </m:ctrlPr>
          </m:accPr>
          <m:e>
            <m:r>
              <m:rPr>
                <m:sty m:val="p"/>
              </m:rPr>
              <w:rPr>
                <w:rFonts w:ascii="Cambria Math" w:hAnsi="Cambria Math" w:cs="Times New Roman"/>
                <w:sz w:val="24"/>
                <w:szCs w:val="24"/>
              </w:rPr>
              <m:t>Z</m:t>
            </m:r>
          </m:e>
        </m:acc>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0</m:t>
            </m:r>
          </m:sub>
        </m:sSub>
        <m:r>
          <m:rPr>
            <m:sty m:val="p"/>
          </m:rPr>
          <w:rPr>
            <w:rFonts w:ascii="Cambria Math" w:hAnsi="Times New Roman" w:cs="Times New Roman"/>
            <w:sz w:val="24"/>
            <w:szCs w:val="24"/>
          </w:rPr>
          <m:t>)</m:t>
        </m:r>
      </m:oMath>
      <w:r w:rsidR="00193BCA" w:rsidRPr="00400DA8">
        <w:rPr>
          <w:rFonts w:ascii="Times New Roman" w:hAnsi="Times New Roman" w:cs="Times New Roman"/>
          <w:sz w:val="24"/>
          <w:szCs w:val="24"/>
        </w:rPr>
        <w:t>= estimated groundwater level at the unsampled location x₀,</w:t>
      </w:r>
    </w:p>
    <w:p w14:paraId="504557AD" w14:textId="25F91E14" w:rsidR="00193BCA" w:rsidRPr="00400DA8" w:rsidRDefault="004D6A65" w:rsidP="00193BCA">
      <w:pPr>
        <w:spacing w:after="120" w:line="360" w:lineRule="auto"/>
        <w:jc w:val="both"/>
        <w:rPr>
          <w:rFonts w:ascii="Times New Roman" w:hAnsi="Times New Roman" w:cs="Times New Roman"/>
          <w:sz w:val="24"/>
          <w:szCs w:val="24"/>
        </w:rPr>
      </w:pPr>
      <m:oMath>
        <m:r>
          <m:rPr>
            <m:sty m:val="p"/>
          </m:rPr>
          <w:rPr>
            <w:rFonts w:ascii="Cambria Math" w:hAnsi="Times New Roman" w:cs="Times New Roman"/>
            <w:sz w:val="24"/>
            <w:szCs w:val="24"/>
          </w:rPr>
          <m:t>Z(</m:t>
        </m:r>
        <m:sSub>
          <m:sSubPr>
            <m:ctrlPr>
              <w:rPr>
                <w:rFonts w:ascii="Cambria Math" w:hAnsi="Times New Roman" w:cs="Times New Roman"/>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m:rPr>
            <m:sty m:val="p"/>
          </m:rPr>
          <w:rPr>
            <w:rFonts w:ascii="Cambria Math" w:hAnsi="Times New Roman" w:cs="Times New Roman"/>
            <w:sz w:val="24"/>
            <w:szCs w:val="24"/>
          </w:rPr>
          <m:t>)</m:t>
        </m:r>
      </m:oMath>
      <w:r w:rsidR="00193BCA" w:rsidRPr="00400DA8">
        <w:rPr>
          <w:rFonts w:ascii="Times New Roman" w:hAnsi="Times New Roman" w:cs="Times New Roman"/>
          <w:sz w:val="24"/>
          <w:szCs w:val="24"/>
        </w:rPr>
        <w:t xml:space="preserve"> = observed groundwater level at location xᵢ,</w:t>
      </w:r>
    </w:p>
    <w:p w14:paraId="0F416ECD" w14:textId="4403FE01" w:rsidR="00193BCA" w:rsidRPr="00400DA8" w:rsidRDefault="008F0129" w:rsidP="00193BCA">
      <w:pPr>
        <w:spacing w:after="120" w:line="36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oMath>
      <w:r w:rsidR="00193BCA" w:rsidRPr="00400DA8">
        <w:rPr>
          <w:rFonts w:ascii="Times New Roman" w:hAnsi="Times New Roman" w:cs="Times New Roman"/>
          <w:sz w:val="24"/>
          <w:szCs w:val="24"/>
        </w:rPr>
        <w:t xml:space="preserve"> = Kriging weight assigned to the </w:t>
      </w:r>
      <w:proofErr w:type="spellStart"/>
      <w:r w:rsidR="00193BCA" w:rsidRPr="00400DA8">
        <w:rPr>
          <w:rFonts w:ascii="Times New Roman" w:hAnsi="Times New Roman" w:cs="Times New Roman"/>
          <w:sz w:val="24"/>
          <w:szCs w:val="24"/>
        </w:rPr>
        <w:t>iᵗʰ</w:t>
      </w:r>
      <w:proofErr w:type="spellEnd"/>
      <w:r w:rsidR="00193BCA" w:rsidRPr="00400DA8">
        <w:rPr>
          <w:rFonts w:ascii="Times New Roman" w:hAnsi="Times New Roman" w:cs="Times New Roman"/>
          <w:sz w:val="24"/>
          <w:szCs w:val="24"/>
        </w:rPr>
        <w:t xml:space="preserve"> observation,</w:t>
      </w:r>
    </w:p>
    <w:p w14:paraId="5C4477FA"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n = number of neighboring observation points used in estimation.</w:t>
      </w:r>
    </w:p>
    <w:p w14:paraId="49BB92ED"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unbiasedness condition is given by:</w:t>
      </w:r>
    </w:p>
    <w:p w14:paraId="3C007786" w14:textId="3A35C33F" w:rsidR="00193BCA" w:rsidRPr="00400DA8" w:rsidRDefault="008F0129" w:rsidP="00193BCA">
      <w:pPr>
        <w:spacing w:after="120" w:line="360" w:lineRule="auto"/>
        <w:jc w:val="both"/>
        <w:rPr>
          <w:rFonts w:ascii="Times New Roman" w:hAnsi="Times New Roman" w:cs="Times New Roman"/>
          <w:sz w:val="24"/>
          <w:szCs w:val="24"/>
        </w:rPr>
      </w:pPr>
      <m:oMath>
        <m:nary>
          <m:naryPr>
            <m:chr m:val="∑"/>
            <m:limLoc m:val="undOvr"/>
            <m:ctrlPr>
              <w:rPr>
                <w:rFonts w:ascii="Cambria Math" w:hAnsi="Times New Roman" w:cs="Times New Roman"/>
                <w:sz w:val="24"/>
                <w:szCs w:val="24"/>
              </w:rPr>
            </m:ctrlPr>
          </m:naryPr>
          <m:sub>
            <m:r>
              <w:rPr>
                <w:rFonts w:ascii="Cambria Math" w:hAnsi="Times New Roman" w:cs="Times New Roman"/>
                <w:sz w:val="24"/>
                <w:szCs w:val="24"/>
              </w:rPr>
              <m:t>i</m:t>
            </m:r>
            <m:r>
              <w:rPr>
                <w:rFonts w:ascii="Cambria Math" w:hAnsi="Times New Roman" w:cs="Times New Roman"/>
                <w:sz w:val="24"/>
                <w:szCs w:val="24"/>
              </w:rPr>
              <m:t>=1</m:t>
            </m:r>
          </m:sub>
          <m:sup>
            <m:r>
              <w:rPr>
                <w:rFonts w:ascii="Cambria Math" w:hAnsi="Times New Roman"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e>
        </m:nary>
      </m:oMath>
      <w:r w:rsidR="00193BCA" w:rsidRPr="00400DA8">
        <w:rPr>
          <w:rFonts w:ascii="Times New Roman" w:hAnsi="Times New Roman" w:cs="Times New Roman"/>
          <w:sz w:val="24"/>
          <w:szCs w:val="24"/>
        </w:rPr>
        <w:t xml:space="preserve"> = 1</w:t>
      </w:r>
    </w:p>
    <w:p w14:paraId="78F618F5"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Kriging system of equations is written as:</w:t>
      </w:r>
    </w:p>
    <w:p w14:paraId="4F85517B" w14:textId="4D74F0A8" w:rsidR="004D6A65" w:rsidRPr="00400DA8" w:rsidRDefault="008F0129" w:rsidP="00193BCA">
      <w:pPr>
        <w:spacing w:after="120" w:line="360" w:lineRule="auto"/>
        <w:jc w:val="both"/>
        <w:rPr>
          <w:rFonts w:ascii="Times New Roman" w:hAnsi="Times New Roman" w:cs="Times New Roman"/>
          <w:sz w:val="24"/>
          <w:szCs w:val="24"/>
        </w:rPr>
      </w:pPr>
      <m:oMathPara>
        <m:oMathParaPr>
          <m:jc m:val="center"/>
        </m:oMathParaPr>
        <m:oMath>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e>
          </m:nary>
          <m:r>
            <w:rPr>
              <w:rFonts w:ascii="Cambria Math" w:hAnsi="Cambria Math" w:cs="Times New Roman"/>
              <w:sz w:val="24"/>
              <w:szCs w:val="24"/>
            </w:rPr>
            <m:t>γ</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j</m:t>
                  </m:r>
                </m:sub>
              </m:sSub>
            </m:e>
          </m:d>
          <m:r>
            <w:rPr>
              <w:rFonts w:ascii="Cambria Math" w:hAnsi="Times New Roman" w:cs="Times New Roman"/>
              <w:sz w:val="24"/>
              <w:szCs w:val="24"/>
            </w:rPr>
            <m:t>+</m:t>
          </m:r>
          <m:r>
            <w:rPr>
              <w:rFonts w:ascii="Cambria Math" w:hAnsi="Cambria Math" w:cs="Times New Roman"/>
              <w:sz w:val="24"/>
              <w:szCs w:val="24"/>
            </w:rPr>
            <m:t>µ</m:t>
          </m:r>
          <m:r>
            <w:rPr>
              <w:rFonts w:ascii="Cambria Math" w:hAnsi="Times New Roman" w:cs="Times New Roman"/>
              <w:sz w:val="24"/>
              <w:szCs w:val="24"/>
            </w:rPr>
            <m:t>=</m:t>
          </m:r>
          <m:r>
            <w:rPr>
              <w:rFonts w:ascii="Cambria Math" w:hAnsi="Cambria Math" w:cs="Times New Roman"/>
              <w:sz w:val="24"/>
              <w:szCs w:val="24"/>
            </w:rPr>
            <m:t>γ</m:t>
          </m:r>
          <m:d>
            <m:dPr>
              <m:ctrlPr>
                <w:rPr>
                  <w:rFonts w:ascii="Cambria Math" w:hAnsi="Cambria Math"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o</m:t>
                  </m:r>
                </m:sub>
              </m:sSub>
              <m:ctrlPr>
                <w:rPr>
                  <w:rFonts w:ascii="Cambria Math" w:hAnsi="Times New Roman" w:cs="Times New Roman"/>
                  <w:i/>
                  <w:sz w:val="24"/>
                  <w:szCs w:val="24"/>
                </w:rPr>
              </m:ctrlPr>
            </m:e>
          </m:d>
          <m:r>
            <w:rPr>
              <w:rFonts w:ascii="Cambria Math" w:hAnsi="Times New Roman" w:cs="Times New Roman"/>
              <w:sz w:val="24"/>
              <w:szCs w:val="24"/>
            </w:rPr>
            <m:t xml:space="preserve">,  </m:t>
          </m:r>
          <m:r>
            <w:rPr>
              <w:rFonts w:ascii="Cambria Math" w:hAnsi="Times New Roman" w:cs="Times New Roman"/>
              <w:sz w:val="24"/>
              <w:szCs w:val="24"/>
            </w:rPr>
            <m:t>i</m:t>
          </m:r>
          <m:r>
            <w:rPr>
              <w:rFonts w:ascii="Cambria Math" w:hAnsi="Times New Roman" w:cs="Times New Roman"/>
              <w:sz w:val="24"/>
              <w:szCs w:val="24"/>
            </w:rPr>
            <m:t>=1,2,</m:t>
          </m:r>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n</m:t>
          </m:r>
        </m:oMath>
      </m:oMathPara>
    </w:p>
    <w:p w14:paraId="6C33ED89"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where,</w:t>
      </w:r>
    </w:p>
    <w:p w14:paraId="1F2C9642" w14:textId="73863915" w:rsidR="00193BCA" w:rsidRPr="00400DA8" w:rsidRDefault="00E14F7A" w:rsidP="00193BCA">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m:t>γ</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j</m:t>
                </m:r>
              </m:sub>
            </m:sSub>
          </m:e>
        </m:d>
      </m:oMath>
      <w:r w:rsidR="00193BCA" w:rsidRPr="00400DA8">
        <w:rPr>
          <w:rFonts w:ascii="Times New Roman" w:hAnsi="Times New Roman" w:cs="Times New Roman"/>
          <w:sz w:val="24"/>
          <w:szCs w:val="24"/>
        </w:rPr>
        <w:t xml:space="preserve"> = semivariance between locations xᵢ and xⱼ,</w:t>
      </w:r>
    </w:p>
    <w:p w14:paraId="0C8D34A0" w14:textId="7DE9FF58" w:rsidR="00193BCA" w:rsidRPr="00400DA8" w:rsidRDefault="00E14F7A" w:rsidP="00193BCA">
      <w:pPr>
        <w:spacing w:after="120" w:line="360" w:lineRule="auto"/>
        <w:jc w:val="both"/>
        <w:rPr>
          <w:rFonts w:ascii="Times New Roman" w:hAnsi="Times New Roman" w:cs="Times New Roman"/>
          <w:sz w:val="24"/>
          <w:szCs w:val="24"/>
        </w:rPr>
      </w:pPr>
      <m:oMath>
        <m:r>
          <w:rPr>
            <w:rFonts w:ascii="Cambria Math" w:hAnsi="Cambria Math" w:cs="Times New Roman"/>
            <w:sz w:val="24"/>
            <w:szCs w:val="24"/>
          </w:rPr>
          <w:lastRenderedPageBreak/>
          <m:t>γ</m:t>
        </m:r>
        <m:d>
          <m:dPr>
            <m:ctrlPr>
              <w:rPr>
                <w:rFonts w:ascii="Cambria Math" w:hAnsi="Cambria Math"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o</m:t>
                </m:r>
              </m:sub>
            </m:sSub>
            <m:ctrlPr>
              <w:rPr>
                <w:rFonts w:ascii="Cambria Math" w:hAnsi="Times New Roman" w:cs="Times New Roman"/>
                <w:i/>
                <w:sz w:val="24"/>
                <w:szCs w:val="24"/>
              </w:rPr>
            </m:ctrlPr>
          </m:e>
        </m:d>
      </m:oMath>
      <w:r w:rsidR="00193BCA" w:rsidRPr="00400DA8">
        <w:rPr>
          <w:rFonts w:ascii="Times New Roman" w:hAnsi="Times New Roman" w:cs="Times New Roman"/>
          <w:sz w:val="24"/>
          <w:szCs w:val="24"/>
        </w:rPr>
        <w:t xml:space="preserve"> = semivariance between the observation point xᵢ and estimation point x₀,</w:t>
      </w:r>
    </w:p>
    <w:p w14:paraId="20289F04"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μ = Lagrange multiplier.</w:t>
      </w:r>
    </w:p>
    <w:p w14:paraId="51691B78"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sz w:val="24"/>
          <w:szCs w:val="24"/>
        </w:rPr>
        <w:t>The estimation variance of Ordinary Kriging is given by:</w:t>
      </w:r>
    </w:p>
    <w:p w14:paraId="2B3A75E7" w14:textId="31590DFE" w:rsidR="00E14F7A" w:rsidRPr="00400DA8" w:rsidRDefault="008F0129" w:rsidP="00E14F7A">
      <w:pPr>
        <w:spacing w:after="120"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m:rPr>
                      <m:sty m:val="p"/>
                    </m:rPr>
                    <w:rPr>
                      <w:rFonts w:ascii="Cambria Math" w:hAnsi="Cambria Math" w:cs="Times New Roman"/>
                      <w:sz w:val="24"/>
                      <w:szCs w:val="24"/>
                    </w:rPr>
                    <m:t>σ</m:t>
                  </m:r>
                </m:e>
                <m:sup>
                  <m:r>
                    <w:rPr>
                      <w:rFonts w:ascii="Cambria Math" w:hAnsi="Cambria Math" w:cs="Times New Roman"/>
                      <w:sz w:val="24"/>
                      <w:szCs w:val="24"/>
                    </w:rPr>
                    <m:t>2</m:t>
                  </m:r>
                </m:sup>
              </m:sSup>
            </m:e>
            <m:sub>
              <m:r>
                <w:rPr>
                  <w:rFonts w:ascii="Cambria Math" w:hAnsi="Cambria Math" w:cs="Times New Roman"/>
                  <w:sz w:val="24"/>
                  <w:szCs w:val="24"/>
                </w:rPr>
                <m:t>OK</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m:rPr>
                      <m:sty m:val="p"/>
                    </m:rPr>
                    <w:rPr>
                      <w:rFonts w:ascii="Cambria Math" w:hAnsi="Cambria Math" w:cs="Times New Roman"/>
                      <w:sz w:val="24"/>
                      <w:szCs w:val="24"/>
                    </w:rPr>
                    <m:t>λ</m:t>
                  </m:r>
                </m:e>
                <m:sub>
                  <m:r>
                    <w:rPr>
                      <w:rFonts w:ascii="Cambria Math" w:hAnsi="Times New Roman" w:cs="Times New Roman"/>
                      <w:sz w:val="24"/>
                      <w:szCs w:val="24"/>
                    </w:rPr>
                    <m:t>i</m:t>
                  </m:r>
                </m:sub>
              </m:sSub>
              <m:r>
                <w:rPr>
                  <w:rFonts w:ascii="Cambria Math" w:hAnsi="Cambria Math" w:cs="Times New Roman"/>
                  <w:sz w:val="24"/>
                  <w:szCs w:val="24"/>
                </w:rPr>
                <m:t>γ</m:t>
              </m:r>
              <m:d>
                <m:dPr>
                  <m:ctrlPr>
                    <w:rPr>
                      <w:rFonts w:ascii="Cambria Math" w:hAnsi="Cambria Math"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i</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o</m:t>
                      </m:r>
                    </m:sub>
                  </m:sSub>
                  <m:ctrlPr>
                    <w:rPr>
                      <w:rFonts w:ascii="Cambria Math" w:hAnsi="Times New Roman" w:cs="Times New Roman"/>
                      <w:i/>
                      <w:sz w:val="24"/>
                      <w:szCs w:val="24"/>
                    </w:rPr>
                  </m:ctrlPr>
                </m:e>
              </m:d>
              <m:r>
                <w:rPr>
                  <w:rFonts w:ascii="Cambria Math" w:hAnsi="Times New Roman" w:cs="Times New Roman"/>
                  <w:sz w:val="24"/>
                  <w:szCs w:val="24"/>
                </w:rPr>
                <m:t>+</m:t>
              </m:r>
              <m:r>
                <w:rPr>
                  <w:rFonts w:ascii="Cambria Math" w:hAnsi="Cambria Math" w:cs="Times New Roman"/>
                  <w:sz w:val="24"/>
                  <w:szCs w:val="24"/>
                </w:rPr>
                <m:t>µ</m:t>
              </m:r>
            </m:e>
          </m:nary>
        </m:oMath>
      </m:oMathPara>
    </w:p>
    <w:p w14:paraId="310277E8" w14:textId="05DC5AD2" w:rsidR="00193BCA" w:rsidRPr="00400DA8" w:rsidRDefault="00193BCA" w:rsidP="00193BCA">
      <w:pPr>
        <w:spacing w:after="120" w:line="360" w:lineRule="auto"/>
        <w:jc w:val="both"/>
        <w:rPr>
          <w:rFonts w:ascii="Times New Roman" w:hAnsi="Times New Roman" w:cs="Times New Roman"/>
          <w:b/>
          <w:bCs/>
          <w:sz w:val="24"/>
          <w:szCs w:val="24"/>
        </w:rPr>
      </w:pPr>
      <w:r w:rsidRPr="00400DA8">
        <w:rPr>
          <w:rFonts w:ascii="Times New Roman" w:hAnsi="Times New Roman" w:cs="Times New Roman"/>
          <w:b/>
          <w:bCs/>
          <w:sz w:val="24"/>
          <w:szCs w:val="24"/>
        </w:rPr>
        <w:t>3.</w:t>
      </w:r>
      <w:r w:rsidR="006764EC">
        <w:rPr>
          <w:rFonts w:ascii="Times New Roman" w:hAnsi="Times New Roman" w:cs="Times New Roman"/>
          <w:b/>
          <w:bCs/>
          <w:sz w:val="24"/>
          <w:szCs w:val="24"/>
        </w:rPr>
        <w:t xml:space="preserve"> </w:t>
      </w:r>
      <w:r w:rsidR="00E14F7A" w:rsidRPr="00400DA8">
        <w:rPr>
          <w:rFonts w:ascii="Times New Roman" w:hAnsi="Times New Roman" w:cs="Times New Roman"/>
          <w:b/>
          <w:bCs/>
          <w:sz w:val="24"/>
          <w:szCs w:val="24"/>
        </w:rPr>
        <w:t>Results and Discussions</w:t>
      </w:r>
    </w:p>
    <w:p w14:paraId="53B6FECC" w14:textId="77777777" w:rsidR="00F2696D" w:rsidRDefault="00F2696D" w:rsidP="00193BCA">
      <w:pPr>
        <w:spacing w:after="120" w:line="360" w:lineRule="auto"/>
        <w:jc w:val="both"/>
        <w:rPr>
          <w:rFonts w:ascii="Times New Roman" w:hAnsi="Times New Roman" w:cs="Times New Roman"/>
          <w:sz w:val="24"/>
          <w:szCs w:val="24"/>
        </w:rPr>
      </w:pPr>
      <w:r w:rsidRPr="00F2696D">
        <w:rPr>
          <w:rFonts w:ascii="Times New Roman" w:hAnsi="Times New Roman" w:cs="Times New Roman"/>
          <w:sz w:val="24"/>
          <w:szCs w:val="24"/>
        </w:rPr>
        <w:t xml:space="preserve">The geostatistical analysis using Ordinary Kriging revealed pronounced </w:t>
      </w:r>
      <w:proofErr w:type="spellStart"/>
      <w:r w:rsidRPr="00F2696D">
        <w:rPr>
          <w:rFonts w:ascii="Times New Roman" w:hAnsi="Times New Roman" w:cs="Times New Roman"/>
          <w:sz w:val="24"/>
          <w:szCs w:val="24"/>
        </w:rPr>
        <w:t>spatio</w:t>
      </w:r>
      <w:proofErr w:type="spellEnd"/>
      <w:r w:rsidRPr="00F2696D">
        <w:rPr>
          <w:rFonts w:ascii="Times New Roman" w:hAnsi="Times New Roman" w:cs="Times New Roman"/>
          <w:sz w:val="24"/>
          <w:szCs w:val="24"/>
        </w:rPr>
        <w:t>-temporal variability in groundwater levels across Anand district during the period 2000–2020 for both pre- and post-monsoon seasons. The interpolated maps clearly illustrate that groundwater depth is highly heterogeneous, governed by a combination of hydrogeological conditions and anthropogenic influences.</w:t>
      </w:r>
    </w:p>
    <w:p w14:paraId="1E04A0D5" w14:textId="778FAA90" w:rsidR="00193BCA" w:rsidRPr="00400DA8" w:rsidRDefault="006764EC" w:rsidP="00193BCA">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193BCA" w:rsidRPr="00400DA8">
        <w:rPr>
          <w:rFonts w:ascii="Times New Roman" w:hAnsi="Times New Roman" w:cs="Times New Roman"/>
          <w:b/>
          <w:bCs/>
          <w:sz w:val="24"/>
          <w:szCs w:val="24"/>
        </w:rPr>
        <w:t>Pre-Monsoon Spatial variability of groundwater level</w:t>
      </w:r>
    </w:p>
    <w:p w14:paraId="75288E45" w14:textId="50143286" w:rsidR="00193BCA" w:rsidRPr="00400DA8" w:rsidRDefault="00BB4B09" w:rsidP="00193BCA">
      <w:pPr>
        <w:spacing w:after="120" w:line="360" w:lineRule="auto"/>
        <w:jc w:val="both"/>
        <w:rPr>
          <w:rFonts w:ascii="Times New Roman" w:hAnsi="Times New Roman" w:cs="Times New Roman"/>
          <w:noProof/>
          <w:sz w:val="24"/>
          <w:szCs w:val="24"/>
        </w:rPr>
      </w:pPr>
      <w:r w:rsidRPr="00BB4B09">
        <w:rPr>
          <w:rFonts w:ascii="Times New Roman" w:hAnsi="Times New Roman" w:cs="Times New Roman"/>
          <w:sz w:val="24"/>
          <w:szCs w:val="24"/>
        </w:rPr>
        <w:t xml:space="preserve">Spatial distribution maps generated using Ordinary Kriging illustrate the pre-monsoon groundwater depth variability across Anand District, Gujarat, at four-year intervals from 2000 to 2020. Over the two-decade period, pronounced </w:t>
      </w:r>
      <w:proofErr w:type="spellStart"/>
      <w:r w:rsidRPr="00BB4B09">
        <w:rPr>
          <w:rFonts w:ascii="Times New Roman" w:hAnsi="Times New Roman" w:cs="Times New Roman"/>
          <w:sz w:val="24"/>
          <w:szCs w:val="24"/>
        </w:rPr>
        <w:t>spatio</w:t>
      </w:r>
      <w:proofErr w:type="spellEnd"/>
      <w:r w:rsidRPr="00BB4B09">
        <w:rPr>
          <w:rFonts w:ascii="Times New Roman" w:hAnsi="Times New Roman" w:cs="Times New Roman"/>
          <w:sz w:val="24"/>
          <w:szCs w:val="24"/>
        </w:rPr>
        <w:t xml:space="preserve">-temporal fluctuations in groundwater levels were observed, reflecting the combined influence of natural processes and anthropogenic interventions (Todd and Mays, 2005; Kambale et al., 2017). In 2000, groundwater depths ranged between 4.4 and 22.0 m below ground level (bgl), with relatively shallow water tables observed in the northern and parts of the western and central regions, while deeper groundwater conditions prevailed in the southern region. By 2004, groundwater levels had further declined, with depths extending up to 26.1 m bgl, particularly in the southeastern part, although the spatial pattern of shallow zones remained largely unchanged. A temporary improvement was evident in 2008, when groundwater depths ranged from 2.1 to 20.7 m bgl, and shallow zones expanded, particularly in recharge-favorable areas, indicating the role of effective recharge processes (Gleeson et al., 2012). However, in 2012, groundwater levels again showed deterioration, with depths reaching up to 26.5 m bgl and a noticeable reduction in shallow zones, suggesting increased groundwater extraction and reduced recharge. In 2016, partial recovery was observed with depths ranging from 4.6 to 24.4 m bgl, especially in the western region, although deeper zones persisted. By 2020, groundwater depths ranged between 5.6 and 26.1 m bgl, with a clear contraction of shallow zones and continued </w:t>
      </w:r>
      <w:r w:rsidRPr="00BB4B09">
        <w:rPr>
          <w:rFonts w:ascii="Times New Roman" w:hAnsi="Times New Roman" w:cs="Times New Roman"/>
          <w:sz w:val="24"/>
          <w:szCs w:val="24"/>
        </w:rPr>
        <w:lastRenderedPageBreak/>
        <w:t>dominance of deeper water tables. Throughout the study period, the northern and western regions consistently maintained relatively shallow groundwater levels, whereas the southeastern region remained critically affected, with depths often exceeding 22–28.6 m bgl. The progressive expansion of deeper groundwater zones highlights increasing stress on aquifer systems driven by both climatic variability and intensive groundwater abstraction, emphasizing the urgent need for sustainable groundwater management strategies (Rodell et al., 2009; Sahoo et al., 2021).</w:t>
      </w:r>
      <w:r w:rsidR="00193BCA" w:rsidRPr="00400DA8">
        <w:rPr>
          <w:rFonts w:ascii="Times New Roman" w:hAnsi="Times New Roman" w:cs="Times New Roman"/>
          <w:sz w:val="24"/>
          <w:szCs w:val="24"/>
        </w:rPr>
        <w:t xml:space="preserve"> </w:t>
      </w:r>
      <w:r w:rsidR="00193BCA" w:rsidRPr="00400DA8">
        <w:rPr>
          <w:rFonts w:ascii="Times New Roman" w:hAnsi="Times New Roman" w:cs="Times New Roman"/>
          <w:noProof/>
          <w:sz w:val="24"/>
          <w:szCs w:val="24"/>
        </w:rPr>
        <w:t xml:space="preserve"> </w:t>
      </w:r>
      <w:r w:rsidR="00193BCA" w:rsidRPr="00400DA8">
        <w:rPr>
          <w:rFonts w:ascii="Times New Roman" w:hAnsi="Times New Roman" w:cs="Times New Roman"/>
          <w:noProof/>
          <w:sz w:val="24"/>
          <w:szCs w:val="24"/>
          <w:lang w:val="en-IN" w:eastAsia="en-IN"/>
        </w:rPr>
        <w:drawing>
          <wp:inline distT="0" distB="0" distL="0" distR="0" wp14:anchorId="0BE077A1" wp14:editId="3D5A05C0">
            <wp:extent cx="2840990" cy="2700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0990" cy="2700655"/>
                    </a:xfrm>
                    <a:prstGeom prst="rect">
                      <a:avLst/>
                    </a:prstGeom>
                    <a:noFill/>
                  </pic:spPr>
                </pic:pic>
              </a:graphicData>
            </a:graphic>
          </wp:inline>
        </w:drawing>
      </w:r>
      <w:r w:rsidR="00193BCA" w:rsidRPr="00400DA8">
        <w:rPr>
          <w:rFonts w:ascii="Times New Roman" w:hAnsi="Times New Roman" w:cs="Times New Roman"/>
          <w:noProof/>
          <w:sz w:val="24"/>
          <w:szCs w:val="24"/>
        </w:rPr>
        <w:t xml:space="preserve"> </w:t>
      </w:r>
      <w:r w:rsidR="00193BCA" w:rsidRPr="00400DA8">
        <w:rPr>
          <w:rFonts w:ascii="Times New Roman" w:hAnsi="Times New Roman" w:cs="Times New Roman"/>
          <w:noProof/>
          <w:sz w:val="24"/>
          <w:szCs w:val="24"/>
          <w:lang w:val="en-IN" w:eastAsia="en-IN"/>
        </w:rPr>
        <w:drawing>
          <wp:inline distT="0" distB="0" distL="0" distR="0" wp14:anchorId="419B5B4F" wp14:editId="000AC743">
            <wp:extent cx="2889885" cy="2651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85" cy="2651760"/>
                    </a:xfrm>
                    <a:prstGeom prst="rect">
                      <a:avLst/>
                    </a:prstGeom>
                    <a:noFill/>
                  </pic:spPr>
                </pic:pic>
              </a:graphicData>
            </a:graphic>
          </wp:inline>
        </w:drawing>
      </w:r>
    </w:p>
    <w:p w14:paraId="2FE6F417"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388AF57C" wp14:editId="45F86CF7">
            <wp:extent cx="2827020" cy="2682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020" cy="2682240"/>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66791BD1" wp14:editId="4F2D03D5">
            <wp:extent cx="2743200" cy="26460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646045"/>
                    </a:xfrm>
                    <a:prstGeom prst="rect">
                      <a:avLst/>
                    </a:prstGeom>
                    <a:noFill/>
                  </pic:spPr>
                </pic:pic>
              </a:graphicData>
            </a:graphic>
          </wp:inline>
        </w:drawing>
      </w:r>
    </w:p>
    <w:p w14:paraId="4A2ED61F"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lastRenderedPageBreak/>
        <w:t xml:space="preserve">       </w:t>
      </w:r>
      <w:r w:rsidRPr="00400DA8">
        <w:rPr>
          <w:rFonts w:ascii="Times New Roman" w:hAnsi="Times New Roman" w:cs="Times New Roman"/>
          <w:noProof/>
          <w:sz w:val="24"/>
          <w:szCs w:val="24"/>
          <w:lang w:val="en-IN" w:eastAsia="en-IN"/>
        </w:rPr>
        <w:drawing>
          <wp:inline distT="0" distB="0" distL="0" distR="0" wp14:anchorId="0CF8D33B" wp14:editId="40CC3189">
            <wp:extent cx="2758440" cy="2700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8440" cy="2700655"/>
                    </a:xfrm>
                    <a:prstGeom prst="rect">
                      <a:avLst/>
                    </a:prstGeom>
                    <a:noFill/>
                  </pic:spPr>
                </pic:pic>
              </a:graphicData>
            </a:graphic>
          </wp:inline>
        </w:drawing>
      </w:r>
      <w:r w:rsidRPr="00400DA8">
        <w:rPr>
          <w:rFonts w:ascii="Times New Roman" w:hAnsi="Times New Roman" w:cs="Times New Roman"/>
          <w:noProof/>
          <w:sz w:val="24"/>
          <w:szCs w:val="24"/>
          <w:lang w:val="en-IN" w:eastAsia="en-IN"/>
        </w:rPr>
        <w:drawing>
          <wp:inline distT="0" distB="0" distL="0" distR="0" wp14:anchorId="749529F6" wp14:editId="1977B05D">
            <wp:extent cx="2910840" cy="2712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0840" cy="2712720"/>
                    </a:xfrm>
                    <a:prstGeom prst="rect">
                      <a:avLst/>
                    </a:prstGeom>
                    <a:noFill/>
                  </pic:spPr>
                </pic:pic>
              </a:graphicData>
            </a:graphic>
          </wp:inline>
        </w:drawing>
      </w:r>
    </w:p>
    <w:p w14:paraId="01D92CD8"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b/>
          <w:bCs/>
          <w:sz w:val="24"/>
          <w:szCs w:val="24"/>
        </w:rPr>
        <w:t>Fig. 2(a-f)</w:t>
      </w:r>
      <w:r w:rsidRPr="00400DA8">
        <w:rPr>
          <w:rFonts w:ascii="Times New Roman" w:hAnsi="Times New Roman" w:cs="Times New Roman"/>
          <w:sz w:val="24"/>
          <w:szCs w:val="24"/>
        </w:rPr>
        <w:t xml:space="preserve"> Spatial variation of groundwater depth in Anand District, Gujarat, over the pre-monsoon seasons for year 2000 to 2020.</w:t>
      </w:r>
    </w:p>
    <w:p w14:paraId="039A1C2F" w14:textId="1FD9219A" w:rsidR="00193BCA" w:rsidRPr="00400DA8" w:rsidRDefault="006764EC" w:rsidP="00193BCA">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193BCA" w:rsidRPr="00400DA8">
        <w:rPr>
          <w:rFonts w:ascii="Times New Roman" w:hAnsi="Times New Roman" w:cs="Times New Roman"/>
          <w:b/>
          <w:bCs/>
          <w:sz w:val="24"/>
          <w:szCs w:val="24"/>
        </w:rPr>
        <w:t>Post-Monsoon Spatial variability of groundwater level</w:t>
      </w:r>
    </w:p>
    <w:p w14:paraId="4073D791" w14:textId="77777777" w:rsidR="00BB4B09" w:rsidRPr="00BB4B09" w:rsidRDefault="00BB4B09" w:rsidP="00BB4B09">
      <w:pPr>
        <w:spacing w:after="120" w:line="360" w:lineRule="auto"/>
        <w:jc w:val="both"/>
        <w:rPr>
          <w:rFonts w:ascii="Times New Roman" w:eastAsia="Times New Roman" w:hAnsi="Times New Roman" w:cs="Times New Roman"/>
          <w:kern w:val="0"/>
          <w:sz w:val="24"/>
          <w:szCs w:val="24"/>
          <w:lang w:val="en-IN"/>
          <w14:ligatures w14:val="none"/>
        </w:rPr>
      </w:pPr>
      <w:r w:rsidRPr="00BB4B09">
        <w:rPr>
          <w:rFonts w:ascii="Times New Roman" w:eastAsia="Times New Roman" w:hAnsi="Times New Roman" w:cs="Times New Roman"/>
          <w:kern w:val="0"/>
          <w:sz w:val="24"/>
          <w:szCs w:val="24"/>
          <w:lang w:val="en-IN"/>
          <w14:ligatures w14:val="none"/>
        </w:rPr>
        <w:t>GIS-based maps generated using Ordinary Kriging for the post-monsoon periods (2000–2020) at four-year intervals reveal substantial spatial and temporal variability in groundwater depth across Anand District, Gujarat. In 2000, groundwater conditions were predominantly stressed, with deeper water levels ranging from 15.8 to 20.7 m below ground level (bgl) dominating the southeastern region, while moderately deep levels (10.8–15.8 m bgl) prevailed in central areas and shallow zones (5.7–8.2 m bgl) were restricted to limited pockets in the northern and western parts. This distribution indicates significant groundwater stress, particularly in the southeastern region (Todd and Mays, 2005). By 2004, a marked improvement was observed, characterized by the expansion of shallow groundwater zones (0.3–4.4 m bgl) in the northern and western regions and a reduction in deeper zones in the southeast, suggesting enhanced recharge conditions. This recovery trend continued in 2008, with widespread shallow groundwater levels (0.2–8.0 m bgl) across much of the district and a contraction of deeper zones, representing the peak of groundwater recovery during the study period (Gleeson et al., 2012).</w:t>
      </w:r>
    </w:p>
    <w:p w14:paraId="37219F7B" w14:textId="72D4C65F" w:rsidR="00BB4B09" w:rsidRPr="00BB4B09" w:rsidRDefault="00BB4B09" w:rsidP="00BB4B09">
      <w:pPr>
        <w:spacing w:after="120" w:line="360" w:lineRule="auto"/>
        <w:jc w:val="both"/>
        <w:rPr>
          <w:rFonts w:ascii="Times New Roman" w:eastAsia="Times New Roman" w:hAnsi="Times New Roman" w:cs="Times New Roman"/>
          <w:kern w:val="0"/>
          <w:sz w:val="24"/>
          <w:szCs w:val="24"/>
          <w:lang w:val="en-IN"/>
          <w14:ligatures w14:val="none"/>
        </w:rPr>
      </w:pPr>
      <w:r w:rsidRPr="00BB4B09">
        <w:rPr>
          <w:rFonts w:ascii="Times New Roman" w:eastAsia="Times New Roman" w:hAnsi="Times New Roman" w:cs="Times New Roman"/>
          <w:kern w:val="0"/>
          <w:sz w:val="24"/>
          <w:szCs w:val="24"/>
          <w:lang w:val="en-IN"/>
          <w14:ligatures w14:val="none"/>
        </w:rPr>
        <w:t xml:space="preserve">In 2012, groundwater conditions remained relatively </w:t>
      </w:r>
      <w:r w:rsidR="00A12004" w:rsidRPr="00BB4B09">
        <w:rPr>
          <w:rFonts w:ascii="Times New Roman" w:eastAsia="Times New Roman" w:hAnsi="Times New Roman" w:cs="Times New Roman"/>
          <w:kern w:val="0"/>
          <w:sz w:val="24"/>
          <w:szCs w:val="24"/>
          <w:lang w:val="en-IN"/>
          <w14:ligatures w14:val="none"/>
        </w:rPr>
        <w:t>favourable</w:t>
      </w:r>
      <w:r w:rsidRPr="00BB4B09">
        <w:rPr>
          <w:rFonts w:ascii="Times New Roman" w:eastAsia="Times New Roman" w:hAnsi="Times New Roman" w:cs="Times New Roman"/>
          <w:kern w:val="0"/>
          <w:sz w:val="24"/>
          <w:szCs w:val="24"/>
          <w:lang w:val="en-IN"/>
          <w14:ligatures w14:val="none"/>
        </w:rPr>
        <w:t xml:space="preserve">, with shallow to moderately shallow depths (1.1–9.6 m bgl) dominating large areas; however, isolated pockets of deep groundwater (22.4–26.1 m bgl) persisted in the southeastern region, indicating localized stress. A </w:t>
      </w:r>
      <w:r w:rsidRPr="00BB4B09">
        <w:rPr>
          <w:rFonts w:ascii="Times New Roman" w:eastAsia="Times New Roman" w:hAnsi="Times New Roman" w:cs="Times New Roman"/>
          <w:kern w:val="0"/>
          <w:sz w:val="24"/>
          <w:szCs w:val="24"/>
          <w:lang w:val="en-IN"/>
          <w14:ligatures w14:val="none"/>
        </w:rPr>
        <w:lastRenderedPageBreak/>
        <w:t>reversal of this recovery trend became evident by 2016, when deeper groundwater zones (15.3–20.1 m bgl) expanded significantly across central and southeastern regions, while shallow zones became confined to the northern and western parts, suggesting increasing groundwater abstraction and declining recharge efficiency (Rodell et al., 2009; Sahoo et al., 2021). By 2020, groundwater conditions further deteriorated, with extensive areas in the southeastern region exhibiting depths exceeding 26.2–31.1 m bgl, accompanied by the expansion of moderately deep zones (21.3–26.1 m bgl) in central areas. Shallow groundwater zones (1.2–6.2 m bgl) remained limited to the northern and western regions, indicating widespread depletion across the district.</w:t>
      </w:r>
    </w:p>
    <w:p w14:paraId="1FF0084E" w14:textId="3C63CBB2" w:rsidR="00BB4B09" w:rsidRPr="00BB4B09" w:rsidRDefault="00BB4B09" w:rsidP="00BB4B09">
      <w:pPr>
        <w:spacing w:after="120" w:line="360" w:lineRule="auto"/>
        <w:jc w:val="both"/>
        <w:rPr>
          <w:rFonts w:ascii="Times New Roman" w:eastAsia="Times New Roman" w:hAnsi="Times New Roman" w:cs="Times New Roman"/>
          <w:kern w:val="0"/>
          <w:sz w:val="24"/>
          <w:szCs w:val="24"/>
          <w:lang w:val="en-IN"/>
          <w14:ligatures w14:val="none"/>
        </w:rPr>
      </w:pPr>
      <w:r w:rsidRPr="00BB4B09">
        <w:rPr>
          <w:rFonts w:ascii="Times New Roman" w:eastAsia="Times New Roman" w:hAnsi="Times New Roman" w:cs="Times New Roman"/>
          <w:kern w:val="0"/>
          <w:sz w:val="24"/>
          <w:szCs w:val="24"/>
          <w:lang w:val="en-IN"/>
          <w14:ligatures w14:val="none"/>
        </w:rPr>
        <w:t>The comparative analysis of groundwater maps from 2000 to 2020 highlights a distinct transition from an initial phase of recovery (2000–2008) to progressive and widespread depletion after 2012. While favo</w:t>
      </w:r>
      <w:r w:rsidR="00FF79BE">
        <w:rPr>
          <w:rFonts w:ascii="Times New Roman" w:eastAsia="Times New Roman" w:hAnsi="Times New Roman" w:cs="Times New Roman"/>
          <w:kern w:val="0"/>
          <w:sz w:val="24"/>
          <w:szCs w:val="24"/>
          <w:lang w:val="en-IN"/>
          <w14:ligatures w14:val="none"/>
        </w:rPr>
        <w:t>u</w:t>
      </w:r>
      <w:r w:rsidRPr="00BB4B09">
        <w:rPr>
          <w:rFonts w:ascii="Times New Roman" w:eastAsia="Times New Roman" w:hAnsi="Times New Roman" w:cs="Times New Roman"/>
          <w:kern w:val="0"/>
          <w:sz w:val="24"/>
          <w:szCs w:val="24"/>
          <w:lang w:val="en-IN"/>
          <w14:ligatures w14:val="none"/>
        </w:rPr>
        <w:t>rable monsoonal recharge contributed to short-term improv</w:t>
      </w:r>
      <w:r w:rsidR="00FF79BE">
        <w:rPr>
          <w:rFonts w:ascii="Times New Roman" w:eastAsia="Times New Roman" w:hAnsi="Times New Roman" w:cs="Times New Roman"/>
          <w:kern w:val="0"/>
          <w:sz w:val="24"/>
          <w:szCs w:val="24"/>
          <w:lang w:val="en-IN"/>
          <w14:ligatures w14:val="none"/>
        </w:rPr>
        <w:t>ements, the long-term decline is</w:t>
      </w:r>
      <w:r w:rsidRPr="00BB4B09">
        <w:rPr>
          <w:rFonts w:ascii="Times New Roman" w:eastAsia="Times New Roman" w:hAnsi="Times New Roman" w:cs="Times New Roman"/>
          <w:kern w:val="0"/>
          <w:sz w:val="24"/>
          <w:szCs w:val="24"/>
          <w:lang w:val="en-IN"/>
          <w14:ligatures w14:val="none"/>
        </w:rPr>
        <w:t xml:space="preserve"> primarily attributed to increased groundwater extraction and reduced recharge efficiency (Siebert et al., 2010; CGWB, 2019). The persistence of critically deep groundwater levels in the southeastern region underscores the influence of localized hydrogeological and anthropogenic factors (</w:t>
      </w:r>
      <w:proofErr w:type="spellStart"/>
      <w:r w:rsidRPr="00BB4B09">
        <w:rPr>
          <w:rFonts w:ascii="Times New Roman" w:eastAsia="Times New Roman" w:hAnsi="Times New Roman" w:cs="Times New Roman"/>
          <w:kern w:val="0"/>
          <w:sz w:val="24"/>
          <w:szCs w:val="24"/>
          <w:lang w:val="en-IN"/>
          <w14:ligatures w14:val="none"/>
        </w:rPr>
        <w:t>Patle</w:t>
      </w:r>
      <w:proofErr w:type="spellEnd"/>
      <w:r w:rsidRPr="00BB4B09">
        <w:rPr>
          <w:rFonts w:ascii="Times New Roman" w:eastAsia="Times New Roman" w:hAnsi="Times New Roman" w:cs="Times New Roman"/>
          <w:kern w:val="0"/>
          <w:sz w:val="24"/>
          <w:szCs w:val="24"/>
          <w:lang w:val="en-IN"/>
          <w14:ligatures w14:val="none"/>
        </w:rPr>
        <w:t xml:space="preserve"> et al., 2015). Overall, these findings emphasize the urgent need for targeted groundwater management and conservation strategies to ensure sustainable utilization of groundwater resources in semi-arid regions.</w:t>
      </w:r>
    </w:p>
    <w:p w14:paraId="0FFD02A0"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1FB5AC24" wp14:editId="17999814">
            <wp:extent cx="2840990" cy="2688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990" cy="2688590"/>
                    </a:xfrm>
                    <a:prstGeom prst="rect">
                      <a:avLst/>
                    </a:prstGeom>
                    <a:noFill/>
                  </pic:spPr>
                </pic:pic>
              </a:graphicData>
            </a:graphic>
          </wp:inline>
        </w:drawing>
      </w:r>
      <w:r w:rsidRPr="00400DA8">
        <w:rPr>
          <w:rFonts w:ascii="Times New Roman" w:hAnsi="Times New Roman" w:cs="Times New Roman"/>
          <w:noProof/>
          <w:sz w:val="24"/>
          <w:szCs w:val="24"/>
          <w:lang w:val="en-IN" w:eastAsia="en-IN"/>
        </w:rPr>
        <w:drawing>
          <wp:inline distT="0" distB="0" distL="0" distR="0" wp14:anchorId="7A6BF72D" wp14:editId="1AF6773B">
            <wp:extent cx="2840990" cy="271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0990" cy="2712720"/>
                    </a:xfrm>
                    <a:prstGeom prst="rect">
                      <a:avLst/>
                    </a:prstGeom>
                    <a:noFill/>
                  </pic:spPr>
                </pic:pic>
              </a:graphicData>
            </a:graphic>
          </wp:inline>
        </w:drawing>
      </w:r>
    </w:p>
    <w:p w14:paraId="785A7AC7"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lastRenderedPageBreak/>
        <w:t xml:space="preserve">   </w:t>
      </w:r>
      <w:r w:rsidRPr="00400DA8">
        <w:rPr>
          <w:rFonts w:ascii="Times New Roman" w:hAnsi="Times New Roman" w:cs="Times New Roman"/>
          <w:noProof/>
          <w:sz w:val="24"/>
          <w:szCs w:val="24"/>
          <w:lang w:val="en-IN" w:eastAsia="en-IN"/>
        </w:rPr>
        <w:drawing>
          <wp:inline distT="0" distB="0" distL="0" distR="0" wp14:anchorId="7C48CBE6" wp14:editId="0FC342F9">
            <wp:extent cx="2865120" cy="28473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5120" cy="2847340"/>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50ED0D38" wp14:editId="3120F11D">
            <wp:extent cx="2867025" cy="2871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5" cy="2871470"/>
                    </a:xfrm>
                    <a:prstGeom prst="rect">
                      <a:avLst/>
                    </a:prstGeom>
                    <a:noFill/>
                  </pic:spPr>
                </pic:pic>
              </a:graphicData>
            </a:graphic>
          </wp:inline>
        </w:drawing>
      </w:r>
    </w:p>
    <w:p w14:paraId="42252F83" w14:textId="77777777" w:rsidR="00193BCA" w:rsidRPr="00400DA8" w:rsidRDefault="00193BCA" w:rsidP="00193BCA">
      <w:pPr>
        <w:spacing w:after="120" w:line="360" w:lineRule="auto"/>
        <w:jc w:val="both"/>
        <w:rPr>
          <w:rFonts w:ascii="Times New Roman" w:hAnsi="Times New Roman" w:cs="Times New Roman"/>
          <w:noProof/>
          <w:sz w:val="24"/>
          <w:szCs w:val="24"/>
        </w:rPr>
      </w:pP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57CEC238" wp14:editId="31FDD2A2">
            <wp:extent cx="2767388" cy="26392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366" cy="2651668"/>
                    </a:xfrm>
                    <a:prstGeom prst="rect">
                      <a:avLst/>
                    </a:prstGeom>
                    <a:noFill/>
                  </pic:spPr>
                </pic:pic>
              </a:graphicData>
            </a:graphic>
          </wp:inline>
        </w:drawing>
      </w:r>
      <w:r w:rsidRPr="00400DA8">
        <w:rPr>
          <w:rFonts w:ascii="Times New Roman" w:hAnsi="Times New Roman" w:cs="Times New Roman"/>
          <w:noProof/>
          <w:sz w:val="24"/>
          <w:szCs w:val="24"/>
        </w:rPr>
        <w:t xml:space="preserve">   </w:t>
      </w:r>
      <w:r w:rsidRPr="00400DA8">
        <w:rPr>
          <w:rFonts w:ascii="Times New Roman" w:hAnsi="Times New Roman" w:cs="Times New Roman"/>
          <w:noProof/>
          <w:sz w:val="24"/>
          <w:szCs w:val="24"/>
          <w:lang w:val="en-IN" w:eastAsia="en-IN"/>
        </w:rPr>
        <w:drawing>
          <wp:inline distT="0" distB="0" distL="0" distR="0" wp14:anchorId="71866717" wp14:editId="4C2DE02E">
            <wp:extent cx="2715490" cy="264059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2226" cy="2647143"/>
                    </a:xfrm>
                    <a:prstGeom prst="rect">
                      <a:avLst/>
                    </a:prstGeom>
                    <a:noFill/>
                  </pic:spPr>
                </pic:pic>
              </a:graphicData>
            </a:graphic>
          </wp:inline>
        </w:drawing>
      </w:r>
    </w:p>
    <w:p w14:paraId="279C7AF3" w14:textId="77777777" w:rsidR="00193BCA" w:rsidRPr="00400DA8" w:rsidRDefault="00193BCA" w:rsidP="00193BCA">
      <w:pPr>
        <w:spacing w:after="120" w:line="360" w:lineRule="auto"/>
        <w:jc w:val="both"/>
        <w:rPr>
          <w:rFonts w:ascii="Times New Roman" w:hAnsi="Times New Roman" w:cs="Times New Roman"/>
          <w:sz w:val="24"/>
          <w:szCs w:val="24"/>
        </w:rPr>
      </w:pPr>
      <w:r w:rsidRPr="00400DA8">
        <w:rPr>
          <w:rFonts w:ascii="Times New Roman" w:hAnsi="Times New Roman" w:cs="Times New Roman"/>
          <w:b/>
          <w:bCs/>
          <w:sz w:val="24"/>
          <w:szCs w:val="24"/>
        </w:rPr>
        <w:t>Fig. 3(a-f)</w:t>
      </w:r>
      <w:r w:rsidRPr="00400DA8">
        <w:rPr>
          <w:rFonts w:ascii="Times New Roman" w:hAnsi="Times New Roman" w:cs="Times New Roman"/>
          <w:sz w:val="24"/>
          <w:szCs w:val="24"/>
        </w:rPr>
        <w:t xml:space="preserve"> Spatial variation of groundwater depth in Anand District, Gujarat, over the post-monsoon seasons for year 2000 to 2020.</w:t>
      </w:r>
    </w:p>
    <w:p w14:paraId="2D299DF5" w14:textId="4C8B8E63" w:rsidR="00155B2D" w:rsidRPr="00400DA8" w:rsidRDefault="006764EC" w:rsidP="00193BCA">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155B2D" w:rsidRPr="00400DA8">
        <w:rPr>
          <w:rFonts w:ascii="Times New Roman" w:hAnsi="Times New Roman" w:cs="Times New Roman"/>
          <w:b/>
          <w:bCs/>
          <w:sz w:val="24"/>
          <w:szCs w:val="24"/>
        </w:rPr>
        <w:t>. Conclusions</w:t>
      </w:r>
    </w:p>
    <w:p w14:paraId="50339517" w14:textId="252A3A97" w:rsidR="00155B2D" w:rsidRDefault="00155B2D" w:rsidP="00155B2D">
      <w:pPr>
        <w:spacing w:after="120" w:line="360" w:lineRule="auto"/>
        <w:jc w:val="both"/>
        <w:rPr>
          <w:rFonts w:ascii="Times New Roman" w:hAnsi="Times New Roman" w:cs="Times New Roman"/>
          <w:noProof/>
          <w:sz w:val="24"/>
          <w:szCs w:val="24"/>
          <w:lang w:val="en-IN"/>
        </w:rPr>
      </w:pPr>
      <w:r w:rsidRPr="00155B2D">
        <w:rPr>
          <w:rFonts w:ascii="Times New Roman" w:hAnsi="Times New Roman" w:cs="Times New Roman"/>
          <w:noProof/>
          <w:sz w:val="24"/>
          <w:szCs w:val="24"/>
          <w:lang w:val="en-IN"/>
        </w:rPr>
        <w:t xml:space="preserve">The present study provides a comprehensive assessment of the spatio-temporal dynamics of groundwater levels in the alluvial aquifers of Anand district, Gujarat, over a 20-year period (2000–2020) using geostatistical techniques. The results reveal a clear transition from an initial phase of groundwater recovery (2000–2008) to a sustained period of depletion after 2012, with a pronounced expansion of deeper water table zones, particularly in the southeastern and central </w:t>
      </w:r>
      <w:r w:rsidRPr="00155B2D">
        <w:rPr>
          <w:rFonts w:ascii="Times New Roman" w:hAnsi="Times New Roman" w:cs="Times New Roman"/>
          <w:noProof/>
          <w:sz w:val="24"/>
          <w:szCs w:val="24"/>
          <w:lang w:val="en-IN"/>
        </w:rPr>
        <w:lastRenderedPageBreak/>
        <w:t>regions. Persistent spatial heterogeneity, characterized by relatively stable shallow groundwater in the northern and western parts and critical deepening in other areas, underscores the combined influence of hydrogeological settings and anthropogenic pressures, including intensive groundwater extraction and variability in recharge. The application of Ordinary Kriging effectively captured these spatial patterns and temporal shifts, demonstrating its robustness for groundwater assessment in data-sparse regions. Overall, t</w:t>
      </w:r>
      <w:r w:rsidR="00FF79BE">
        <w:rPr>
          <w:rFonts w:ascii="Times New Roman" w:hAnsi="Times New Roman" w:cs="Times New Roman"/>
          <w:noProof/>
          <w:sz w:val="24"/>
          <w:szCs w:val="24"/>
          <w:lang w:val="en-IN"/>
        </w:rPr>
        <w:t>he findings shows</w:t>
      </w:r>
      <w:r w:rsidRPr="00155B2D">
        <w:rPr>
          <w:rFonts w:ascii="Times New Roman" w:hAnsi="Times New Roman" w:cs="Times New Roman"/>
          <w:noProof/>
          <w:sz w:val="24"/>
          <w:szCs w:val="24"/>
          <w:lang w:val="en-IN"/>
        </w:rPr>
        <w:t xml:space="preserve"> groundwater decline and emphasize the need for integrated and region-specific management strategies, including regulated abstraction, artificial recharge enhancement, and climate-resilient water planning, to ensure long-term sustainability of groundwater resources in semi-arid alluvial aquifer systems.</w:t>
      </w:r>
    </w:p>
    <w:p w14:paraId="701FD6B0" w14:textId="77777777" w:rsidR="00CB7AE7" w:rsidRDefault="00CB7AE7" w:rsidP="00155B2D">
      <w:pPr>
        <w:spacing w:after="120" w:line="360" w:lineRule="auto"/>
        <w:jc w:val="both"/>
        <w:rPr>
          <w:rFonts w:ascii="Times New Roman" w:hAnsi="Times New Roman" w:cs="Times New Roman"/>
          <w:b/>
          <w:bCs/>
          <w:noProof/>
          <w:sz w:val="24"/>
          <w:szCs w:val="24"/>
          <w:lang w:val="en-IN"/>
        </w:rPr>
      </w:pPr>
    </w:p>
    <w:p w14:paraId="00D1888B" w14:textId="77777777" w:rsidR="00CB7AE7" w:rsidRDefault="00CB7AE7" w:rsidP="00155B2D">
      <w:pPr>
        <w:spacing w:after="120" w:line="360" w:lineRule="auto"/>
        <w:jc w:val="both"/>
        <w:rPr>
          <w:rFonts w:ascii="Times New Roman" w:hAnsi="Times New Roman" w:cs="Times New Roman"/>
          <w:b/>
          <w:bCs/>
          <w:noProof/>
          <w:sz w:val="24"/>
          <w:szCs w:val="24"/>
          <w:lang w:val="en-IN"/>
        </w:rPr>
      </w:pPr>
    </w:p>
    <w:p w14:paraId="6D9D2CC9" w14:textId="107C04D1" w:rsidR="00400DA8" w:rsidRPr="00CB7AE7" w:rsidRDefault="00400DA8" w:rsidP="00155B2D">
      <w:pPr>
        <w:spacing w:after="120" w:line="360" w:lineRule="auto"/>
        <w:jc w:val="both"/>
        <w:rPr>
          <w:rFonts w:ascii="Times New Roman" w:hAnsi="Times New Roman" w:cs="Times New Roman"/>
          <w:b/>
          <w:bCs/>
          <w:noProof/>
          <w:sz w:val="24"/>
          <w:szCs w:val="24"/>
          <w:lang w:val="en-IN"/>
        </w:rPr>
      </w:pPr>
      <w:r w:rsidRPr="00CB7AE7">
        <w:rPr>
          <w:rFonts w:ascii="Times New Roman" w:hAnsi="Times New Roman" w:cs="Times New Roman"/>
          <w:b/>
          <w:bCs/>
          <w:noProof/>
          <w:sz w:val="24"/>
          <w:szCs w:val="24"/>
          <w:lang w:val="en-IN"/>
        </w:rPr>
        <w:t>References:</w:t>
      </w:r>
    </w:p>
    <w:p w14:paraId="168AFEAB" w14:textId="50F89ED3" w:rsidR="00391A99" w:rsidRPr="002B0875" w:rsidRDefault="00FF79BE" w:rsidP="00FF79BE">
      <w:pPr>
        <w:spacing w:line="360" w:lineRule="auto"/>
        <w:jc w:val="both"/>
        <w:rPr>
          <w:rFonts w:ascii="Times New Roman" w:hAnsi="Times New Roman" w:cs="Times New Roman"/>
          <w:sz w:val="24"/>
          <w:szCs w:val="24"/>
        </w:rPr>
      </w:pPr>
      <w:r w:rsidRPr="008F24FE">
        <w:rPr>
          <w:rFonts w:ascii="Times New Roman" w:hAnsi="Times New Roman" w:cs="Times New Roman"/>
          <w:sz w:val="24"/>
          <w:szCs w:val="24"/>
        </w:rPr>
        <w:t xml:space="preserve">CGWB. </w:t>
      </w:r>
      <w:r>
        <w:rPr>
          <w:rFonts w:ascii="Times New Roman" w:hAnsi="Times New Roman" w:cs="Times New Roman"/>
          <w:sz w:val="24"/>
          <w:szCs w:val="24"/>
        </w:rPr>
        <w:t>(</w:t>
      </w:r>
      <w:r w:rsidRPr="008F24FE">
        <w:rPr>
          <w:rFonts w:ascii="Times New Roman" w:hAnsi="Times New Roman" w:cs="Times New Roman"/>
          <w:sz w:val="24"/>
          <w:szCs w:val="24"/>
        </w:rPr>
        <w:t>201</w:t>
      </w:r>
      <w:r>
        <w:rPr>
          <w:rFonts w:ascii="Times New Roman" w:hAnsi="Times New Roman" w:cs="Times New Roman"/>
          <w:sz w:val="24"/>
          <w:szCs w:val="24"/>
        </w:rPr>
        <w:t>9)</w:t>
      </w:r>
      <w:r w:rsidRPr="008F24FE">
        <w:rPr>
          <w:rFonts w:ascii="Times New Roman" w:hAnsi="Times New Roman" w:cs="Times New Roman"/>
          <w:sz w:val="24"/>
          <w:szCs w:val="24"/>
        </w:rPr>
        <w:t>. Ground water</w:t>
      </w:r>
      <w:r>
        <w:rPr>
          <w:rFonts w:ascii="Times New Roman" w:hAnsi="Times New Roman" w:cs="Times New Roman"/>
          <w:sz w:val="24"/>
          <w:szCs w:val="24"/>
        </w:rPr>
        <w:t xml:space="preserve"> year book, Gujarat state</w:t>
      </w:r>
      <w:r w:rsidRPr="008F24FE">
        <w:rPr>
          <w:rFonts w:ascii="Times New Roman" w:hAnsi="Times New Roman" w:cs="Times New Roman"/>
          <w:sz w:val="24"/>
          <w:szCs w:val="24"/>
        </w:rPr>
        <w:t xml:space="preserve"> Central Ground Water Board, Ministry of </w:t>
      </w:r>
      <w:r>
        <w:rPr>
          <w:rFonts w:ascii="Times New Roman" w:hAnsi="Times New Roman" w:cs="Times New Roman"/>
          <w:sz w:val="24"/>
          <w:szCs w:val="24"/>
        </w:rPr>
        <w:t>Jal Shakti</w:t>
      </w:r>
      <w:r w:rsidRPr="008F24FE">
        <w:rPr>
          <w:rFonts w:ascii="Times New Roman" w:hAnsi="Times New Roman" w:cs="Times New Roman"/>
          <w:sz w:val="24"/>
          <w:szCs w:val="24"/>
        </w:rPr>
        <w:t>, Government of India</w:t>
      </w:r>
      <w:r w:rsidR="00391A99" w:rsidRPr="002B0875">
        <w:rPr>
          <w:rFonts w:ascii="Times New Roman" w:hAnsi="Times New Roman" w:cs="Times New Roman"/>
          <w:sz w:val="24"/>
          <w:szCs w:val="24"/>
        </w:rPr>
        <w:t>.</w:t>
      </w:r>
    </w:p>
    <w:p w14:paraId="6D589E64" w14:textId="77777777" w:rsidR="00391A99" w:rsidRPr="002B0875" w:rsidRDefault="00391A99" w:rsidP="002B0875">
      <w:pPr>
        <w:spacing w:after="120" w:line="360" w:lineRule="auto"/>
        <w:jc w:val="both"/>
        <w:rPr>
          <w:rFonts w:ascii="Times New Roman" w:hAnsi="Times New Roman" w:cs="Times New Roman"/>
          <w:sz w:val="24"/>
          <w:szCs w:val="24"/>
          <w:shd w:val="clear" w:color="auto" w:fill="FFFFFF"/>
        </w:rPr>
      </w:pPr>
      <w:r w:rsidRPr="002B0875">
        <w:rPr>
          <w:rFonts w:ascii="Times New Roman" w:hAnsi="Times New Roman" w:cs="Times New Roman"/>
          <w:sz w:val="24"/>
          <w:szCs w:val="24"/>
          <w:shd w:val="clear" w:color="auto" w:fill="FFFFFF"/>
        </w:rPr>
        <w:t xml:space="preserve">Gleeson, T., Wada, Y., </w:t>
      </w:r>
      <w:proofErr w:type="spellStart"/>
      <w:r w:rsidRPr="002B0875">
        <w:rPr>
          <w:rFonts w:ascii="Times New Roman" w:hAnsi="Times New Roman" w:cs="Times New Roman"/>
          <w:sz w:val="24"/>
          <w:szCs w:val="24"/>
          <w:shd w:val="clear" w:color="auto" w:fill="FFFFFF"/>
        </w:rPr>
        <w:t>Bierkens</w:t>
      </w:r>
      <w:proofErr w:type="spellEnd"/>
      <w:r w:rsidRPr="002B0875">
        <w:rPr>
          <w:rFonts w:ascii="Times New Roman" w:hAnsi="Times New Roman" w:cs="Times New Roman"/>
          <w:sz w:val="24"/>
          <w:szCs w:val="24"/>
          <w:shd w:val="clear" w:color="auto" w:fill="FFFFFF"/>
        </w:rPr>
        <w:t>, M. F., &amp; Van Beek, L. P. (2012). Water balance of global aquifers revealed by groundwater footprint. </w:t>
      </w:r>
      <w:r w:rsidRPr="002B0875">
        <w:rPr>
          <w:rFonts w:ascii="Times New Roman" w:hAnsi="Times New Roman" w:cs="Times New Roman"/>
          <w:i/>
          <w:iCs/>
          <w:sz w:val="24"/>
          <w:szCs w:val="24"/>
          <w:shd w:val="clear" w:color="auto" w:fill="FFFFFF"/>
        </w:rPr>
        <w:t>Nature</w:t>
      </w:r>
      <w:r w:rsidRPr="002B0875">
        <w:rPr>
          <w:rFonts w:ascii="Times New Roman" w:hAnsi="Times New Roman" w:cs="Times New Roman"/>
          <w:sz w:val="24"/>
          <w:szCs w:val="24"/>
          <w:shd w:val="clear" w:color="auto" w:fill="FFFFFF"/>
        </w:rPr>
        <w:t>, </w:t>
      </w:r>
      <w:r w:rsidRPr="002B0875">
        <w:rPr>
          <w:rFonts w:ascii="Times New Roman" w:hAnsi="Times New Roman" w:cs="Times New Roman"/>
          <w:i/>
          <w:iCs/>
          <w:sz w:val="24"/>
          <w:szCs w:val="24"/>
          <w:shd w:val="clear" w:color="auto" w:fill="FFFFFF"/>
        </w:rPr>
        <w:t>488</w:t>
      </w:r>
      <w:r w:rsidRPr="002B0875">
        <w:rPr>
          <w:rFonts w:ascii="Times New Roman" w:hAnsi="Times New Roman" w:cs="Times New Roman"/>
          <w:sz w:val="24"/>
          <w:szCs w:val="24"/>
          <w:shd w:val="clear" w:color="auto" w:fill="FFFFFF"/>
        </w:rPr>
        <w:t>(7410), 197-200.</w:t>
      </w:r>
    </w:p>
    <w:p w14:paraId="7BC14BF9" w14:textId="51218935" w:rsidR="00391A99" w:rsidRDefault="00391A99" w:rsidP="002B0875">
      <w:pPr>
        <w:spacing w:after="120" w:line="360" w:lineRule="auto"/>
        <w:jc w:val="both"/>
        <w:rPr>
          <w:rFonts w:ascii="Times New Roman" w:hAnsi="Times New Roman" w:cs="Times New Roman"/>
          <w:sz w:val="24"/>
          <w:szCs w:val="24"/>
          <w:shd w:val="clear" w:color="auto" w:fill="FFFFFF"/>
        </w:rPr>
      </w:pPr>
      <w:r w:rsidRPr="002B0875">
        <w:rPr>
          <w:rFonts w:ascii="Times New Roman" w:hAnsi="Times New Roman" w:cs="Times New Roman"/>
          <w:sz w:val="24"/>
          <w:szCs w:val="24"/>
          <w:shd w:val="clear" w:color="auto" w:fill="FFFFFF"/>
        </w:rPr>
        <w:t>Kambale, J. B., Singh, D. K., &amp; Sarangi, A. (2017). Impact of climate change on groundwater recharge in a semi-arid region of northern India. </w:t>
      </w:r>
      <w:r w:rsidRPr="002B0875">
        <w:rPr>
          <w:rFonts w:ascii="Times New Roman" w:hAnsi="Times New Roman" w:cs="Times New Roman"/>
          <w:i/>
          <w:iCs/>
          <w:sz w:val="24"/>
          <w:szCs w:val="24"/>
          <w:shd w:val="clear" w:color="auto" w:fill="FFFFFF"/>
        </w:rPr>
        <w:t>Applied Ecology and Environmental Research</w:t>
      </w:r>
      <w:r w:rsidRPr="002B0875">
        <w:rPr>
          <w:rFonts w:ascii="Times New Roman" w:hAnsi="Times New Roman" w:cs="Times New Roman"/>
          <w:sz w:val="24"/>
          <w:szCs w:val="24"/>
          <w:shd w:val="clear" w:color="auto" w:fill="FFFFFF"/>
        </w:rPr>
        <w:t>, </w:t>
      </w:r>
      <w:r w:rsidRPr="002B0875">
        <w:rPr>
          <w:rFonts w:ascii="Times New Roman" w:hAnsi="Times New Roman" w:cs="Times New Roman"/>
          <w:i/>
          <w:iCs/>
          <w:sz w:val="24"/>
          <w:szCs w:val="24"/>
          <w:shd w:val="clear" w:color="auto" w:fill="FFFFFF"/>
        </w:rPr>
        <w:t>15</w:t>
      </w:r>
      <w:r w:rsidRPr="002B0875">
        <w:rPr>
          <w:rFonts w:ascii="Times New Roman" w:hAnsi="Times New Roman" w:cs="Times New Roman"/>
          <w:sz w:val="24"/>
          <w:szCs w:val="24"/>
          <w:shd w:val="clear" w:color="auto" w:fill="FFFFFF"/>
        </w:rPr>
        <w:t>(1), 335-362.</w:t>
      </w:r>
    </w:p>
    <w:p w14:paraId="0E999CAF" w14:textId="259C6E23" w:rsidR="008D393E" w:rsidRPr="008D393E" w:rsidRDefault="008D393E" w:rsidP="008D393E">
      <w:pPr>
        <w:spacing w:line="360" w:lineRule="auto"/>
        <w:jc w:val="both"/>
        <w:rPr>
          <w:rFonts w:ascii="Times New Roman" w:hAnsi="Times New Roman" w:cs="Times New Roman"/>
          <w:sz w:val="24"/>
          <w:szCs w:val="24"/>
          <w:shd w:val="clear" w:color="auto" w:fill="FFFFFF"/>
        </w:rPr>
      </w:pPr>
      <w:r w:rsidRPr="008D393E">
        <w:rPr>
          <w:rFonts w:ascii="Times New Roman" w:hAnsi="Times New Roman" w:cs="Times New Roman"/>
          <w:sz w:val="24"/>
          <w:szCs w:val="24"/>
          <w:shd w:val="clear" w:color="auto" w:fill="FFFFFF"/>
        </w:rPr>
        <w:t xml:space="preserve">Mali, S. S., &amp; Singh, D. K. (2016). Groundwater modeling for assessing the recharge potential and water table </w:t>
      </w:r>
      <w:proofErr w:type="spellStart"/>
      <w:r w:rsidRPr="008D393E">
        <w:rPr>
          <w:rFonts w:ascii="Times New Roman" w:hAnsi="Times New Roman" w:cs="Times New Roman"/>
          <w:sz w:val="24"/>
          <w:szCs w:val="24"/>
          <w:shd w:val="clear" w:color="auto" w:fill="FFFFFF"/>
        </w:rPr>
        <w:t>behaviour</w:t>
      </w:r>
      <w:proofErr w:type="spellEnd"/>
      <w:r w:rsidRPr="008D393E">
        <w:rPr>
          <w:rFonts w:ascii="Times New Roman" w:hAnsi="Times New Roman" w:cs="Times New Roman"/>
          <w:sz w:val="24"/>
          <w:szCs w:val="24"/>
          <w:shd w:val="clear" w:color="auto" w:fill="FFFFFF"/>
        </w:rPr>
        <w:t xml:space="preserve"> under varying levels of pumping and recharge.</w:t>
      </w:r>
    </w:p>
    <w:p w14:paraId="418C9428" w14:textId="77777777" w:rsidR="00391A99" w:rsidRPr="002B0875" w:rsidRDefault="00391A99" w:rsidP="002B0875">
      <w:pPr>
        <w:spacing w:after="120" w:line="360" w:lineRule="auto"/>
        <w:jc w:val="both"/>
        <w:rPr>
          <w:rFonts w:ascii="Times New Roman" w:hAnsi="Times New Roman" w:cs="Times New Roman"/>
          <w:sz w:val="24"/>
          <w:szCs w:val="24"/>
          <w:shd w:val="clear" w:color="auto" w:fill="FFFFFF"/>
        </w:rPr>
      </w:pPr>
      <w:proofErr w:type="spellStart"/>
      <w:r w:rsidRPr="002B0875">
        <w:rPr>
          <w:rFonts w:ascii="Times New Roman" w:hAnsi="Times New Roman" w:cs="Times New Roman"/>
          <w:sz w:val="24"/>
          <w:szCs w:val="24"/>
          <w:shd w:val="clear" w:color="auto" w:fill="FFFFFF"/>
        </w:rPr>
        <w:t>Pagendam</w:t>
      </w:r>
      <w:proofErr w:type="spellEnd"/>
      <w:r w:rsidRPr="002B0875">
        <w:rPr>
          <w:rFonts w:ascii="Times New Roman" w:hAnsi="Times New Roman" w:cs="Times New Roman"/>
          <w:sz w:val="24"/>
          <w:szCs w:val="24"/>
          <w:shd w:val="clear" w:color="auto" w:fill="FFFFFF"/>
        </w:rPr>
        <w:t xml:space="preserve">, D., Janardhanan, S., Dabrowski, J., &amp; </w:t>
      </w:r>
      <w:proofErr w:type="spellStart"/>
      <w:r w:rsidRPr="002B0875">
        <w:rPr>
          <w:rFonts w:ascii="Times New Roman" w:hAnsi="Times New Roman" w:cs="Times New Roman"/>
          <w:sz w:val="24"/>
          <w:szCs w:val="24"/>
          <w:shd w:val="clear" w:color="auto" w:fill="FFFFFF"/>
        </w:rPr>
        <w:t>MacKinlay</w:t>
      </w:r>
      <w:proofErr w:type="spellEnd"/>
      <w:r w:rsidRPr="002B0875">
        <w:rPr>
          <w:rFonts w:ascii="Times New Roman" w:hAnsi="Times New Roman" w:cs="Times New Roman"/>
          <w:sz w:val="24"/>
          <w:szCs w:val="24"/>
          <w:shd w:val="clear" w:color="auto" w:fill="FFFFFF"/>
        </w:rPr>
        <w:t xml:space="preserve">, D. (2023). A log-additive neural model for </w:t>
      </w:r>
      <w:proofErr w:type="spellStart"/>
      <w:r w:rsidRPr="002B0875">
        <w:rPr>
          <w:rFonts w:ascii="Times New Roman" w:hAnsi="Times New Roman" w:cs="Times New Roman"/>
          <w:sz w:val="24"/>
          <w:szCs w:val="24"/>
          <w:shd w:val="clear" w:color="auto" w:fill="FFFFFF"/>
        </w:rPr>
        <w:t>spatio</w:t>
      </w:r>
      <w:proofErr w:type="spellEnd"/>
      <w:r w:rsidRPr="002B0875">
        <w:rPr>
          <w:rFonts w:ascii="Times New Roman" w:hAnsi="Times New Roman" w:cs="Times New Roman"/>
          <w:sz w:val="24"/>
          <w:szCs w:val="24"/>
          <w:shd w:val="clear" w:color="auto" w:fill="FFFFFF"/>
        </w:rPr>
        <w:t>-temporal prediction of groundwater levels. </w:t>
      </w:r>
      <w:r w:rsidRPr="002B0875">
        <w:rPr>
          <w:rFonts w:ascii="Times New Roman" w:hAnsi="Times New Roman" w:cs="Times New Roman"/>
          <w:i/>
          <w:iCs/>
          <w:sz w:val="24"/>
          <w:szCs w:val="24"/>
          <w:shd w:val="clear" w:color="auto" w:fill="FFFFFF"/>
        </w:rPr>
        <w:t>Spatial Statistics</w:t>
      </w:r>
      <w:r w:rsidRPr="002B0875">
        <w:rPr>
          <w:rFonts w:ascii="Times New Roman" w:hAnsi="Times New Roman" w:cs="Times New Roman"/>
          <w:sz w:val="24"/>
          <w:szCs w:val="24"/>
          <w:shd w:val="clear" w:color="auto" w:fill="FFFFFF"/>
        </w:rPr>
        <w:t>, </w:t>
      </w:r>
      <w:r w:rsidRPr="002B0875">
        <w:rPr>
          <w:rFonts w:ascii="Times New Roman" w:hAnsi="Times New Roman" w:cs="Times New Roman"/>
          <w:i/>
          <w:iCs/>
          <w:sz w:val="24"/>
          <w:szCs w:val="24"/>
          <w:shd w:val="clear" w:color="auto" w:fill="FFFFFF"/>
        </w:rPr>
        <w:t>55</w:t>
      </w:r>
      <w:r w:rsidRPr="002B0875">
        <w:rPr>
          <w:rFonts w:ascii="Times New Roman" w:hAnsi="Times New Roman" w:cs="Times New Roman"/>
          <w:sz w:val="24"/>
          <w:szCs w:val="24"/>
          <w:shd w:val="clear" w:color="auto" w:fill="FFFFFF"/>
        </w:rPr>
        <w:t>, 100740.</w:t>
      </w:r>
    </w:p>
    <w:p w14:paraId="491C9062" w14:textId="77777777" w:rsidR="00391A99" w:rsidRPr="002B0875" w:rsidRDefault="00391A99" w:rsidP="002B0875">
      <w:pPr>
        <w:spacing w:after="120" w:line="360" w:lineRule="auto"/>
        <w:jc w:val="both"/>
        <w:rPr>
          <w:rFonts w:ascii="Times New Roman" w:hAnsi="Times New Roman" w:cs="Times New Roman"/>
          <w:sz w:val="24"/>
          <w:szCs w:val="24"/>
          <w:shd w:val="clear" w:color="auto" w:fill="FFFFFF"/>
        </w:rPr>
      </w:pPr>
      <w:r w:rsidRPr="002B0875">
        <w:rPr>
          <w:rFonts w:ascii="Times New Roman" w:hAnsi="Times New Roman" w:cs="Times New Roman"/>
          <w:sz w:val="24"/>
          <w:szCs w:val="24"/>
          <w:shd w:val="clear" w:color="auto" w:fill="FFFFFF"/>
        </w:rPr>
        <w:t xml:space="preserve">Pandey, A., </w:t>
      </w:r>
      <w:proofErr w:type="spellStart"/>
      <w:r w:rsidRPr="002B0875">
        <w:rPr>
          <w:rFonts w:ascii="Times New Roman" w:hAnsi="Times New Roman" w:cs="Times New Roman"/>
          <w:sz w:val="24"/>
          <w:szCs w:val="24"/>
          <w:shd w:val="clear" w:color="auto" w:fill="FFFFFF"/>
        </w:rPr>
        <w:t>Padhya</w:t>
      </w:r>
      <w:proofErr w:type="spellEnd"/>
      <w:r w:rsidRPr="002B0875">
        <w:rPr>
          <w:rFonts w:ascii="Times New Roman" w:hAnsi="Times New Roman" w:cs="Times New Roman"/>
          <w:sz w:val="24"/>
          <w:szCs w:val="24"/>
          <w:shd w:val="clear" w:color="auto" w:fill="FFFFFF"/>
        </w:rPr>
        <w:t xml:space="preserve">, V., Chakra, S., Ganguly, A., &amp; Deshpande, R. D. (2023). Groundwater recharge in Central India and its </w:t>
      </w:r>
      <w:proofErr w:type="spellStart"/>
      <w:r w:rsidRPr="002B0875">
        <w:rPr>
          <w:rFonts w:ascii="Times New Roman" w:hAnsi="Times New Roman" w:cs="Times New Roman"/>
          <w:sz w:val="24"/>
          <w:szCs w:val="24"/>
          <w:shd w:val="clear" w:color="auto" w:fill="FFFFFF"/>
        </w:rPr>
        <w:t>spatio</w:t>
      </w:r>
      <w:proofErr w:type="spellEnd"/>
      <w:r w:rsidRPr="002B0875">
        <w:rPr>
          <w:rFonts w:ascii="Times New Roman" w:hAnsi="Times New Roman" w:cs="Times New Roman"/>
          <w:sz w:val="24"/>
          <w:szCs w:val="24"/>
          <w:shd w:val="clear" w:color="auto" w:fill="FFFFFF"/>
        </w:rPr>
        <w:t>-temporal variation: Insights and implications from oxygen and hydrogen isotopes. </w:t>
      </w:r>
      <w:r w:rsidRPr="002B0875">
        <w:rPr>
          <w:rFonts w:ascii="Times New Roman" w:hAnsi="Times New Roman" w:cs="Times New Roman"/>
          <w:i/>
          <w:iCs/>
          <w:sz w:val="24"/>
          <w:szCs w:val="24"/>
          <w:shd w:val="clear" w:color="auto" w:fill="FFFFFF"/>
        </w:rPr>
        <w:t>Journal of Hydrology</w:t>
      </w:r>
      <w:r w:rsidRPr="002B0875">
        <w:rPr>
          <w:rFonts w:ascii="Times New Roman" w:hAnsi="Times New Roman" w:cs="Times New Roman"/>
          <w:sz w:val="24"/>
          <w:szCs w:val="24"/>
          <w:shd w:val="clear" w:color="auto" w:fill="FFFFFF"/>
        </w:rPr>
        <w:t>, </w:t>
      </w:r>
      <w:r w:rsidRPr="002B0875">
        <w:rPr>
          <w:rFonts w:ascii="Times New Roman" w:hAnsi="Times New Roman" w:cs="Times New Roman"/>
          <w:i/>
          <w:iCs/>
          <w:sz w:val="24"/>
          <w:szCs w:val="24"/>
          <w:shd w:val="clear" w:color="auto" w:fill="FFFFFF"/>
        </w:rPr>
        <w:t>617</w:t>
      </w:r>
      <w:r w:rsidRPr="002B0875">
        <w:rPr>
          <w:rFonts w:ascii="Times New Roman" w:hAnsi="Times New Roman" w:cs="Times New Roman"/>
          <w:sz w:val="24"/>
          <w:szCs w:val="24"/>
          <w:shd w:val="clear" w:color="auto" w:fill="FFFFFF"/>
        </w:rPr>
        <w:t>, 129040.</w:t>
      </w:r>
    </w:p>
    <w:p w14:paraId="67DBCEE0" w14:textId="77777777" w:rsidR="00391A99" w:rsidRDefault="00391A99" w:rsidP="002B0875">
      <w:pPr>
        <w:autoSpaceDE w:val="0"/>
        <w:autoSpaceDN w:val="0"/>
        <w:adjustRightInd w:val="0"/>
        <w:spacing w:after="120" w:line="360" w:lineRule="auto"/>
        <w:jc w:val="both"/>
        <w:rPr>
          <w:rFonts w:ascii="Times New Roman" w:hAnsi="Times New Roman" w:cs="Times New Roman"/>
          <w:sz w:val="24"/>
          <w:szCs w:val="24"/>
        </w:rPr>
      </w:pPr>
      <w:proofErr w:type="spellStart"/>
      <w:r w:rsidRPr="002B0875">
        <w:rPr>
          <w:rFonts w:ascii="Times New Roman" w:hAnsi="Times New Roman" w:cs="Times New Roman"/>
          <w:sz w:val="24"/>
          <w:szCs w:val="24"/>
        </w:rPr>
        <w:t>Patle</w:t>
      </w:r>
      <w:proofErr w:type="spellEnd"/>
      <w:r w:rsidRPr="002B0875">
        <w:rPr>
          <w:rFonts w:ascii="Times New Roman" w:hAnsi="Times New Roman" w:cs="Times New Roman"/>
          <w:sz w:val="24"/>
          <w:szCs w:val="24"/>
        </w:rPr>
        <w:t xml:space="preserve">, G.T., Singh, D.K., Sarangi, A., Rai, A., Khanna, M. &amp;Sahoo, R. N. (2015). Time series analysis of groundwater levels and projection of future trend. </w:t>
      </w:r>
      <w:r w:rsidRPr="002B0875">
        <w:rPr>
          <w:rFonts w:ascii="Times New Roman" w:hAnsi="Times New Roman" w:cs="Times New Roman"/>
          <w:i/>
          <w:sz w:val="24"/>
          <w:szCs w:val="24"/>
        </w:rPr>
        <w:t xml:space="preserve">J. </w:t>
      </w:r>
      <w:proofErr w:type="spellStart"/>
      <w:r w:rsidRPr="002B0875">
        <w:rPr>
          <w:rFonts w:ascii="Times New Roman" w:hAnsi="Times New Roman" w:cs="Times New Roman"/>
          <w:i/>
          <w:sz w:val="24"/>
          <w:szCs w:val="24"/>
        </w:rPr>
        <w:t>GeolSoc</w:t>
      </w:r>
      <w:proofErr w:type="spellEnd"/>
      <w:r w:rsidRPr="002B0875">
        <w:rPr>
          <w:rFonts w:ascii="Times New Roman" w:hAnsi="Times New Roman" w:cs="Times New Roman"/>
          <w:i/>
          <w:sz w:val="24"/>
          <w:szCs w:val="24"/>
        </w:rPr>
        <w:t xml:space="preserve"> India</w:t>
      </w:r>
      <w:r w:rsidRPr="002B0875">
        <w:rPr>
          <w:rFonts w:ascii="Times New Roman" w:hAnsi="Times New Roman" w:cs="Times New Roman"/>
          <w:sz w:val="24"/>
          <w:szCs w:val="24"/>
        </w:rPr>
        <w:t>; 85:232</w:t>
      </w:r>
      <w:r w:rsidRPr="002B0875">
        <w:rPr>
          <w:rFonts w:ascii="Times New Roman" w:eastAsia="MnxrnwAdvTT3713a231+20" w:hAnsi="Times New Roman" w:cs="Times New Roman"/>
          <w:sz w:val="24"/>
          <w:szCs w:val="24"/>
        </w:rPr>
        <w:t>–</w:t>
      </w:r>
      <w:r w:rsidRPr="002B0875">
        <w:rPr>
          <w:rFonts w:ascii="Times New Roman" w:hAnsi="Times New Roman" w:cs="Times New Roman"/>
          <w:sz w:val="24"/>
          <w:szCs w:val="24"/>
        </w:rPr>
        <w:t>242.</w:t>
      </w:r>
    </w:p>
    <w:p w14:paraId="6C7F0EAB" w14:textId="10B4CF27" w:rsidR="00391A99" w:rsidRPr="002B0875" w:rsidRDefault="00391A99" w:rsidP="002B0875">
      <w:pPr>
        <w:autoSpaceDE w:val="0"/>
        <w:autoSpaceDN w:val="0"/>
        <w:adjustRightInd w:val="0"/>
        <w:spacing w:after="120" w:line="360" w:lineRule="auto"/>
        <w:jc w:val="both"/>
        <w:rPr>
          <w:rFonts w:ascii="Times New Roman" w:hAnsi="Times New Roman" w:cs="Times New Roman"/>
          <w:sz w:val="24"/>
          <w:szCs w:val="24"/>
        </w:rPr>
      </w:pPr>
      <w:r w:rsidRPr="00391A99">
        <w:rPr>
          <w:rFonts w:ascii="Times New Roman" w:hAnsi="Times New Roman" w:cs="Times New Roman"/>
          <w:sz w:val="24"/>
          <w:szCs w:val="24"/>
        </w:rPr>
        <w:lastRenderedPageBreak/>
        <w:t xml:space="preserve">Rodell, M., </w:t>
      </w:r>
      <w:proofErr w:type="spellStart"/>
      <w:r w:rsidRPr="00391A99">
        <w:rPr>
          <w:rFonts w:ascii="Times New Roman" w:hAnsi="Times New Roman" w:cs="Times New Roman"/>
          <w:sz w:val="24"/>
          <w:szCs w:val="24"/>
        </w:rPr>
        <w:t>Velicogna</w:t>
      </w:r>
      <w:proofErr w:type="spellEnd"/>
      <w:r w:rsidRPr="00391A99">
        <w:rPr>
          <w:rFonts w:ascii="Times New Roman" w:hAnsi="Times New Roman" w:cs="Times New Roman"/>
          <w:sz w:val="24"/>
          <w:szCs w:val="24"/>
        </w:rPr>
        <w:t>, I., &amp; Famiglietti, J. S. (2009). Satellite-based estimates of groundwater depletion in India. </w:t>
      </w:r>
      <w:r w:rsidRPr="00391A99">
        <w:rPr>
          <w:rFonts w:ascii="Times New Roman" w:hAnsi="Times New Roman" w:cs="Times New Roman"/>
          <w:i/>
          <w:iCs/>
          <w:sz w:val="24"/>
          <w:szCs w:val="24"/>
        </w:rPr>
        <w:t>Nature</w:t>
      </w:r>
      <w:r w:rsidRPr="00391A99">
        <w:rPr>
          <w:rFonts w:ascii="Times New Roman" w:hAnsi="Times New Roman" w:cs="Times New Roman"/>
          <w:sz w:val="24"/>
          <w:szCs w:val="24"/>
        </w:rPr>
        <w:t>, </w:t>
      </w:r>
      <w:r w:rsidRPr="00391A99">
        <w:rPr>
          <w:rFonts w:ascii="Times New Roman" w:hAnsi="Times New Roman" w:cs="Times New Roman"/>
          <w:i/>
          <w:iCs/>
          <w:sz w:val="24"/>
          <w:szCs w:val="24"/>
        </w:rPr>
        <w:t>460</w:t>
      </w:r>
      <w:r w:rsidRPr="00391A99">
        <w:rPr>
          <w:rFonts w:ascii="Times New Roman" w:hAnsi="Times New Roman" w:cs="Times New Roman"/>
          <w:sz w:val="24"/>
          <w:szCs w:val="24"/>
        </w:rPr>
        <w:t>(7258), 999-1002.</w:t>
      </w:r>
    </w:p>
    <w:p w14:paraId="769C47F4" w14:textId="77777777" w:rsidR="00391A99" w:rsidRPr="002B0875" w:rsidRDefault="00391A99" w:rsidP="002B0875">
      <w:pPr>
        <w:spacing w:after="120" w:line="360" w:lineRule="auto"/>
        <w:jc w:val="both"/>
        <w:rPr>
          <w:rFonts w:ascii="Times New Roman" w:hAnsi="Times New Roman" w:cs="Times New Roman"/>
          <w:noProof/>
          <w:sz w:val="24"/>
          <w:szCs w:val="24"/>
        </w:rPr>
      </w:pPr>
      <w:r w:rsidRPr="002B0875">
        <w:rPr>
          <w:rFonts w:ascii="Times New Roman" w:hAnsi="Times New Roman" w:cs="Times New Roman"/>
          <w:sz w:val="24"/>
          <w:szCs w:val="24"/>
          <w:shd w:val="clear" w:color="auto" w:fill="FFFFFF"/>
        </w:rPr>
        <w:t xml:space="preserve">Roy, S., </w:t>
      </w:r>
      <w:proofErr w:type="spellStart"/>
      <w:r w:rsidRPr="002B0875">
        <w:rPr>
          <w:rFonts w:ascii="Times New Roman" w:hAnsi="Times New Roman" w:cs="Times New Roman"/>
          <w:sz w:val="24"/>
          <w:szCs w:val="24"/>
          <w:shd w:val="clear" w:color="auto" w:fill="FFFFFF"/>
        </w:rPr>
        <w:t>Taloor</w:t>
      </w:r>
      <w:proofErr w:type="spellEnd"/>
      <w:r w:rsidRPr="002B0875">
        <w:rPr>
          <w:rFonts w:ascii="Times New Roman" w:hAnsi="Times New Roman" w:cs="Times New Roman"/>
          <w:sz w:val="24"/>
          <w:szCs w:val="24"/>
          <w:shd w:val="clear" w:color="auto" w:fill="FFFFFF"/>
        </w:rPr>
        <w:t xml:space="preserve">, A. K., &amp; Bhattacharya, P. (2023). A geospatial approach for understanding the </w:t>
      </w:r>
      <w:proofErr w:type="spellStart"/>
      <w:r w:rsidRPr="002B0875">
        <w:rPr>
          <w:rFonts w:ascii="Times New Roman" w:hAnsi="Times New Roman" w:cs="Times New Roman"/>
          <w:sz w:val="24"/>
          <w:szCs w:val="24"/>
          <w:shd w:val="clear" w:color="auto" w:fill="FFFFFF"/>
        </w:rPr>
        <w:t>spatio</w:t>
      </w:r>
      <w:proofErr w:type="spellEnd"/>
      <w:r w:rsidRPr="002B0875">
        <w:rPr>
          <w:rFonts w:ascii="Times New Roman" w:hAnsi="Times New Roman" w:cs="Times New Roman"/>
          <w:sz w:val="24"/>
          <w:szCs w:val="24"/>
          <w:shd w:val="clear" w:color="auto" w:fill="FFFFFF"/>
        </w:rPr>
        <w:t>-temporal variability and projection of future trend in groundwater availability in the Tawi basin, Jammu, India. </w:t>
      </w:r>
      <w:r w:rsidRPr="002B0875">
        <w:rPr>
          <w:rFonts w:ascii="Times New Roman" w:hAnsi="Times New Roman" w:cs="Times New Roman"/>
          <w:i/>
          <w:iCs/>
          <w:sz w:val="24"/>
          <w:szCs w:val="24"/>
          <w:shd w:val="clear" w:color="auto" w:fill="FFFFFF"/>
        </w:rPr>
        <w:t>Groundwater for Sustainable Development</w:t>
      </w:r>
      <w:r w:rsidRPr="002B0875">
        <w:rPr>
          <w:rFonts w:ascii="Times New Roman" w:hAnsi="Times New Roman" w:cs="Times New Roman"/>
          <w:sz w:val="24"/>
          <w:szCs w:val="24"/>
          <w:shd w:val="clear" w:color="auto" w:fill="FFFFFF"/>
        </w:rPr>
        <w:t>, 100912.</w:t>
      </w:r>
    </w:p>
    <w:p w14:paraId="64816103" w14:textId="77777777" w:rsidR="00391A99" w:rsidRPr="002B0875" w:rsidRDefault="00391A99" w:rsidP="002B0875">
      <w:pPr>
        <w:spacing w:after="120" w:line="360" w:lineRule="auto"/>
        <w:jc w:val="both"/>
        <w:rPr>
          <w:rFonts w:ascii="Times New Roman" w:hAnsi="Times New Roman" w:cs="Times New Roman"/>
          <w:sz w:val="24"/>
          <w:szCs w:val="24"/>
        </w:rPr>
      </w:pPr>
      <w:r w:rsidRPr="002B0875">
        <w:rPr>
          <w:rFonts w:ascii="Times New Roman" w:hAnsi="Times New Roman" w:cs="Times New Roman"/>
          <w:sz w:val="24"/>
          <w:szCs w:val="24"/>
          <w:shd w:val="clear" w:color="auto" w:fill="FFFFFF"/>
        </w:rPr>
        <w:t xml:space="preserve">Sahoo, S., Swain, S., Goswami, A., Sharma, R., &amp; </w:t>
      </w:r>
      <w:proofErr w:type="spellStart"/>
      <w:r w:rsidRPr="002B0875">
        <w:rPr>
          <w:rFonts w:ascii="Times New Roman" w:hAnsi="Times New Roman" w:cs="Times New Roman"/>
          <w:sz w:val="24"/>
          <w:szCs w:val="24"/>
          <w:shd w:val="clear" w:color="auto" w:fill="FFFFFF"/>
        </w:rPr>
        <w:t>Pateriya</w:t>
      </w:r>
      <w:proofErr w:type="spellEnd"/>
      <w:r w:rsidRPr="002B0875">
        <w:rPr>
          <w:rFonts w:ascii="Times New Roman" w:hAnsi="Times New Roman" w:cs="Times New Roman"/>
          <w:sz w:val="24"/>
          <w:szCs w:val="24"/>
          <w:shd w:val="clear" w:color="auto" w:fill="FFFFFF"/>
        </w:rPr>
        <w:t>, B. (2021). Assessment of trends and multi-decadal changes in groundwater level in parts of the Malwa region, Punjab, India. </w:t>
      </w:r>
      <w:r w:rsidRPr="002B0875">
        <w:rPr>
          <w:rFonts w:ascii="Times New Roman" w:hAnsi="Times New Roman" w:cs="Times New Roman"/>
          <w:i/>
          <w:iCs/>
          <w:sz w:val="24"/>
          <w:szCs w:val="24"/>
          <w:shd w:val="clear" w:color="auto" w:fill="FFFFFF"/>
        </w:rPr>
        <w:t>Groundwater for Sustainable Development</w:t>
      </w:r>
      <w:r w:rsidRPr="002B0875">
        <w:rPr>
          <w:rFonts w:ascii="Times New Roman" w:hAnsi="Times New Roman" w:cs="Times New Roman"/>
          <w:sz w:val="24"/>
          <w:szCs w:val="24"/>
          <w:shd w:val="clear" w:color="auto" w:fill="FFFFFF"/>
        </w:rPr>
        <w:t>, </w:t>
      </w:r>
      <w:r w:rsidRPr="002B0875">
        <w:rPr>
          <w:rFonts w:ascii="Times New Roman" w:hAnsi="Times New Roman" w:cs="Times New Roman"/>
          <w:i/>
          <w:iCs/>
          <w:sz w:val="24"/>
          <w:szCs w:val="24"/>
          <w:shd w:val="clear" w:color="auto" w:fill="FFFFFF"/>
        </w:rPr>
        <w:t>14</w:t>
      </w:r>
      <w:r w:rsidRPr="002B0875">
        <w:rPr>
          <w:rFonts w:ascii="Times New Roman" w:hAnsi="Times New Roman" w:cs="Times New Roman"/>
          <w:sz w:val="24"/>
          <w:szCs w:val="24"/>
          <w:shd w:val="clear" w:color="auto" w:fill="FFFFFF"/>
        </w:rPr>
        <w:t>, 100644.</w:t>
      </w:r>
    </w:p>
    <w:p w14:paraId="52739637" w14:textId="77777777" w:rsidR="00391A99" w:rsidRDefault="00391A99" w:rsidP="002B0875">
      <w:pPr>
        <w:autoSpaceDE w:val="0"/>
        <w:autoSpaceDN w:val="0"/>
        <w:adjustRightInd w:val="0"/>
        <w:spacing w:after="120" w:line="360" w:lineRule="auto"/>
        <w:jc w:val="both"/>
        <w:rPr>
          <w:rFonts w:ascii="Times New Roman" w:hAnsi="Times New Roman" w:cs="Times New Roman"/>
          <w:sz w:val="24"/>
          <w:szCs w:val="24"/>
        </w:rPr>
      </w:pPr>
      <w:r w:rsidRPr="002B0875">
        <w:rPr>
          <w:rFonts w:ascii="Times New Roman" w:hAnsi="Times New Roman" w:cs="Times New Roman"/>
          <w:sz w:val="24"/>
          <w:szCs w:val="24"/>
        </w:rPr>
        <w:t xml:space="preserve">Siebert, S., Burke, J., </w:t>
      </w:r>
      <w:proofErr w:type="spellStart"/>
      <w:r w:rsidRPr="002B0875">
        <w:rPr>
          <w:rFonts w:ascii="Times New Roman" w:hAnsi="Times New Roman" w:cs="Times New Roman"/>
          <w:sz w:val="24"/>
          <w:szCs w:val="24"/>
        </w:rPr>
        <w:t>Faures</w:t>
      </w:r>
      <w:proofErr w:type="spellEnd"/>
      <w:r w:rsidRPr="002B0875">
        <w:rPr>
          <w:rFonts w:ascii="Times New Roman" w:hAnsi="Times New Roman" w:cs="Times New Roman"/>
          <w:sz w:val="24"/>
          <w:szCs w:val="24"/>
        </w:rPr>
        <w:t xml:space="preserve">, J. M., </w:t>
      </w:r>
      <w:proofErr w:type="spellStart"/>
      <w:r w:rsidRPr="002B0875">
        <w:rPr>
          <w:rFonts w:ascii="Times New Roman" w:hAnsi="Times New Roman" w:cs="Times New Roman"/>
          <w:sz w:val="24"/>
          <w:szCs w:val="24"/>
        </w:rPr>
        <w:t>Frenken</w:t>
      </w:r>
      <w:proofErr w:type="spellEnd"/>
      <w:r w:rsidRPr="002B0875">
        <w:rPr>
          <w:rFonts w:ascii="Times New Roman" w:hAnsi="Times New Roman" w:cs="Times New Roman"/>
          <w:sz w:val="24"/>
          <w:szCs w:val="24"/>
        </w:rPr>
        <w:t>, K., Hoogeveen, J., Doll, P. &amp;Portmann, F. T. (2010). Groundwater use for irrigation</w:t>
      </w:r>
      <w:r w:rsidRPr="002B0875">
        <w:rPr>
          <w:rFonts w:ascii="Times New Roman" w:eastAsia="MnxrnwAdvTT3713a231+20" w:hAnsi="Times New Roman" w:cs="Times New Roman"/>
          <w:sz w:val="24"/>
          <w:szCs w:val="24"/>
        </w:rPr>
        <w:t xml:space="preserve">– </w:t>
      </w:r>
      <w:r w:rsidRPr="002B0875">
        <w:rPr>
          <w:rFonts w:ascii="Times New Roman" w:hAnsi="Times New Roman" w:cs="Times New Roman"/>
          <w:sz w:val="24"/>
          <w:szCs w:val="24"/>
        </w:rPr>
        <w:t xml:space="preserve">a global inventory. </w:t>
      </w:r>
      <w:proofErr w:type="spellStart"/>
      <w:r w:rsidRPr="002B0875">
        <w:rPr>
          <w:rFonts w:ascii="Times New Roman" w:hAnsi="Times New Roman" w:cs="Times New Roman"/>
          <w:i/>
          <w:sz w:val="24"/>
          <w:szCs w:val="24"/>
        </w:rPr>
        <w:t>Hydrol</w:t>
      </w:r>
      <w:proofErr w:type="spellEnd"/>
      <w:r w:rsidRPr="002B0875">
        <w:rPr>
          <w:rFonts w:ascii="Times New Roman" w:hAnsi="Times New Roman" w:cs="Times New Roman"/>
          <w:i/>
          <w:sz w:val="24"/>
          <w:szCs w:val="24"/>
        </w:rPr>
        <w:t xml:space="preserve"> Earth </w:t>
      </w:r>
      <w:proofErr w:type="spellStart"/>
      <w:r w:rsidRPr="002B0875">
        <w:rPr>
          <w:rFonts w:ascii="Times New Roman" w:hAnsi="Times New Roman" w:cs="Times New Roman"/>
          <w:i/>
          <w:sz w:val="24"/>
          <w:szCs w:val="24"/>
        </w:rPr>
        <w:t>SystSci</w:t>
      </w:r>
      <w:proofErr w:type="spellEnd"/>
      <w:r w:rsidRPr="002B0875">
        <w:rPr>
          <w:rFonts w:ascii="Times New Roman" w:hAnsi="Times New Roman" w:cs="Times New Roman"/>
          <w:i/>
          <w:sz w:val="24"/>
          <w:szCs w:val="24"/>
        </w:rPr>
        <w:t>;</w:t>
      </w:r>
      <w:r w:rsidRPr="002B0875">
        <w:rPr>
          <w:rFonts w:ascii="Times New Roman" w:hAnsi="Times New Roman" w:cs="Times New Roman"/>
          <w:sz w:val="24"/>
          <w:szCs w:val="24"/>
        </w:rPr>
        <w:t xml:space="preserve"> 14(10):1863</w:t>
      </w:r>
      <w:r w:rsidRPr="002B0875">
        <w:rPr>
          <w:rFonts w:ascii="Times New Roman" w:eastAsia="MnxrnwAdvTT3713a231+20" w:hAnsi="Times New Roman" w:cs="Times New Roman"/>
          <w:sz w:val="24"/>
          <w:szCs w:val="24"/>
        </w:rPr>
        <w:t>–</w:t>
      </w:r>
      <w:r w:rsidRPr="002B0875">
        <w:rPr>
          <w:rFonts w:ascii="Times New Roman" w:hAnsi="Times New Roman" w:cs="Times New Roman"/>
          <w:sz w:val="24"/>
          <w:szCs w:val="24"/>
        </w:rPr>
        <w:t>1880.</w:t>
      </w:r>
    </w:p>
    <w:p w14:paraId="4F5CD449" w14:textId="5B961211" w:rsidR="00391A99" w:rsidRDefault="00391A99" w:rsidP="002B0875">
      <w:pPr>
        <w:autoSpaceDE w:val="0"/>
        <w:autoSpaceDN w:val="0"/>
        <w:adjustRightInd w:val="0"/>
        <w:spacing w:after="120" w:line="360" w:lineRule="auto"/>
        <w:jc w:val="both"/>
        <w:rPr>
          <w:rFonts w:ascii="Times New Roman" w:hAnsi="Times New Roman" w:cs="Times New Roman"/>
          <w:sz w:val="24"/>
          <w:szCs w:val="24"/>
        </w:rPr>
      </w:pPr>
      <w:r w:rsidRPr="00391A99">
        <w:rPr>
          <w:rFonts w:ascii="Times New Roman" w:hAnsi="Times New Roman" w:cs="Times New Roman"/>
          <w:sz w:val="24"/>
          <w:szCs w:val="24"/>
        </w:rPr>
        <w:t>Todd, D. K., &amp; Mays, L. W. (2004). </w:t>
      </w:r>
      <w:r w:rsidRPr="00391A99">
        <w:rPr>
          <w:rFonts w:ascii="Times New Roman" w:hAnsi="Times New Roman" w:cs="Times New Roman"/>
          <w:i/>
          <w:iCs/>
          <w:sz w:val="24"/>
          <w:szCs w:val="24"/>
        </w:rPr>
        <w:t>Groundwater hydrology</w:t>
      </w:r>
      <w:r w:rsidRPr="00391A99">
        <w:rPr>
          <w:rFonts w:ascii="Times New Roman" w:hAnsi="Times New Roman" w:cs="Times New Roman"/>
          <w:sz w:val="24"/>
          <w:szCs w:val="24"/>
        </w:rPr>
        <w:t>. John Wiley &amp; Sons.</w:t>
      </w:r>
    </w:p>
    <w:p w14:paraId="5FC16341" w14:textId="57441C83" w:rsidR="008D393E" w:rsidRDefault="008D393E" w:rsidP="008D393E">
      <w:pPr>
        <w:tabs>
          <w:tab w:val="left" w:pos="720"/>
        </w:tabs>
        <w:autoSpaceDE w:val="0"/>
        <w:autoSpaceDN w:val="0"/>
        <w:adjustRightInd w:val="0"/>
        <w:spacing w:before="240" w:line="360" w:lineRule="auto"/>
        <w:ind w:left="450" w:hanging="720"/>
        <w:jc w:val="both"/>
        <w:rPr>
          <w:rFonts w:ascii="Times New Roman" w:eastAsia="Times New Roman" w:hAnsi="Times New Roman" w:cs="Times New Roman"/>
          <w:sz w:val="24"/>
          <w:szCs w:val="24"/>
        </w:rPr>
      </w:pPr>
      <w:r w:rsidRPr="002336D2">
        <w:rPr>
          <w:rFonts w:ascii="Times New Roman" w:eastAsia="Times New Roman" w:hAnsi="Times New Roman" w:cs="Times New Roman"/>
          <w:sz w:val="24"/>
          <w:szCs w:val="24"/>
        </w:rPr>
        <w:t xml:space="preserve">Ware, H. H., Mengistu, T. D., </w:t>
      </w:r>
      <w:proofErr w:type="spellStart"/>
      <w:r w:rsidRPr="002336D2">
        <w:rPr>
          <w:rFonts w:ascii="Times New Roman" w:eastAsia="Times New Roman" w:hAnsi="Times New Roman" w:cs="Times New Roman"/>
          <w:sz w:val="24"/>
          <w:szCs w:val="24"/>
        </w:rPr>
        <w:t>Yifru</w:t>
      </w:r>
      <w:proofErr w:type="spellEnd"/>
      <w:r w:rsidRPr="002336D2">
        <w:rPr>
          <w:rFonts w:ascii="Times New Roman" w:eastAsia="Times New Roman" w:hAnsi="Times New Roman" w:cs="Times New Roman"/>
          <w:sz w:val="24"/>
          <w:szCs w:val="24"/>
        </w:rPr>
        <w:t>, B. A., Chang, S. W., &amp; Chung, I. M. (2023). Assessment of spatiotemporal groundwater recharge distribution using SWAT-MODFLOW model and transient water table fluctuation method. </w:t>
      </w:r>
      <w:r w:rsidRPr="002336D2">
        <w:rPr>
          <w:rFonts w:ascii="Times New Roman" w:eastAsia="Times New Roman" w:hAnsi="Times New Roman" w:cs="Times New Roman"/>
          <w:i/>
          <w:iCs/>
          <w:sz w:val="24"/>
          <w:szCs w:val="24"/>
        </w:rPr>
        <w:t>Water</w:t>
      </w:r>
      <w:r w:rsidRPr="002336D2">
        <w:rPr>
          <w:rFonts w:ascii="Times New Roman" w:eastAsia="Times New Roman" w:hAnsi="Times New Roman" w:cs="Times New Roman"/>
          <w:sz w:val="24"/>
          <w:szCs w:val="24"/>
        </w:rPr>
        <w:t>, </w:t>
      </w:r>
      <w:r w:rsidRPr="002336D2">
        <w:rPr>
          <w:rFonts w:ascii="Times New Roman" w:eastAsia="Times New Roman" w:hAnsi="Times New Roman" w:cs="Times New Roman"/>
          <w:i/>
          <w:iCs/>
          <w:sz w:val="24"/>
          <w:szCs w:val="24"/>
        </w:rPr>
        <w:t>15</w:t>
      </w:r>
      <w:r w:rsidRPr="002336D2">
        <w:rPr>
          <w:rFonts w:ascii="Times New Roman" w:eastAsia="Times New Roman" w:hAnsi="Times New Roman" w:cs="Times New Roman"/>
          <w:sz w:val="24"/>
          <w:szCs w:val="24"/>
        </w:rPr>
        <w:t>(11), 2112.</w:t>
      </w:r>
    </w:p>
    <w:p w14:paraId="7BA7DDBB" w14:textId="77777777" w:rsidR="002C3615" w:rsidRPr="002336D2" w:rsidRDefault="002C3615" w:rsidP="002C3615">
      <w:pPr>
        <w:spacing w:line="360" w:lineRule="auto"/>
        <w:ind w:left="450" w:hanging="720"/>
        <w:jc w:val="both"/>
        <w:rPr>
          <w:rFonts w:ascii="Times New Roman" w:hAnsi="Times New Roman" w:cs="Times New Roman"/>
          <w:sz w:val="24"/>
          <w:szCs w:val="24"/>
          <w:shd w:val="clear" w:color="auto" w:fill="FFFFFF"/>
        </w:rPr>
      </w:pPr>
      <w:r w:rsidRPr="002336D2">
        <w:rPr>
          <w:rFonts w:ascii="Times New Roman" w:hAnsi="Times New Roman" w:cs="Times New Roman"/>
          <w:sz w:val="24"/>
          <w:szCs w:val="24"/>
          <w:shd w:val="clear" w:color="auto" w:fill="FFFFFF"/>
        </w:rPr>
        <w:t xml:space="preserve">Kaur, N., Kaur, S., Kaur, P. and Aggarwal, R. (2021). Impact of climate change on groundwater levels in </w:t>
      </w:r>
      <w:proofErr w:type="spellStart"/>
      <w:r w:rsidRPr="002336D2">
        <w:rPr>
          <w:rFonts w:ascii="Times New Roman" w:hAnsi="Times New Roman" w:cs="Times New Roman"/>
          <w:sz w:val="24"/>
          <w:szCs w:val="24"/>
          <w:shd w:val="clear" w:color="auto" w:fill="FFFFFF"/>
        </w:rPr>
        <w:t>Sirhind</w:t>
      </w:r>
      <w:proofErr w:type="spellEnd"/>
      <w:r w:rsidRPr="002336D2">
        <w:rPr>
          <w:rFonts w:ascii="Times New Roman" w:hAnsi="Times New Roman" w:cs="Times New Roman"/>
          <w:sz w:val="24"/>
          <w:szCs w:val="24"/>
          <w:shd w:val="clear" w:color="auto" w:fill="FFFFFF"/>
        </w:rPr>
        <w:t xml:space="preserve"> Canal Tract of Punjab, India. Groundwater for Sustainable Development, 15, p.100670.</w:t>
      </w:r>
    </w:p>
    <w:p w14:paraId="6B06B703" w14:textId="77777777" w:rsidR="002C3615" w:rsidRPr="002336D2" w:rsidRDefault="002C3615" w:rsidP="008D393E">
      <w:pPr>
        <w:tabs>
          <w:tab w:val="left" w:pos="720"/>
        </w:tabs>
        <w:autoSpaceDE w:val="0"/>
        <w:autoSpaceDN w:val="0"/>
        <w:adjustRightInd w:val="0"/>
        <w:spacing w:before="240" w:line="360" w:lineRule="auto"/>
        <w:ind w:left="450" w:hanging="720"/>
        <w:jc w:val="both"/>
        <w:rPr>
          <w:rFonts w:ascii="Times New Roman" w:hAnsi="Times New Roman" w:cs="Times New Roman"/>
          <w:sz w:val="24"/>
          <w:szCs w:val="24"/>
          <w:lang w:bidi="hi-IN"/>
        </w:rPr>
      </w:pPr>
    </w:p>
    <w:p w14:paraId="27401063" w14:textId="77777777" w:rsidR="008D393E" w:rsidRPr="002B0875" w:rsidRDefault="008D393E" w:rsidP="002B0875">
      <w:pPr>
        <w:autoSpaceDE w:val="0"/>
        <w:autoSpaceDN w:val="0"/>
        <w:adjustRightInd w:val="0"/>
        <w:spacing w:after="120" w:line="360" w:lineRule="auto"/>
        <w:jc w:val="both"/>
        <w:rPr>
          <w:rFonts w:ascii="Times New Roman" w:hAnsi="Times New Roman" w:cs="Times New Roman"/>
          <w:sz w:val="24"/>
          <w:szCs w:val="24"/>
        </w:rPr>
      </w:pPr>
    </w:p>
    <w:p w14:paraId="61443762" w14:textId="77777777" w:rsidR="00400DA8" w:rsidRPr="00155B2D" w:rsidRDefault="00400DA8" w:rsidP="00155B2D">
      <w:pPr>
        <w:spacing w:after="120" w:line="360" w:lineRule="auto"/>
        <w:jc w:val="both"/>
        <w:rPr>
          <w:rFonts w:ascii="Times New Roman" w:hAnsi="Times New Roman" w:cs="Times New Roman"/>
          <w:noProof/>
          <w:sz w:val="24"/>
          <w:szCs w:val="24"/>
          <w:lang w:val="en-IN"/>
        </w:rPr>
      </w:pPr>
    </w:p>
    <w:p w14:paraId="67FB759D" w14:textId="77777777" w:rsidR="00155B2D" w:rsidRPr="00400DA8" w:rsidRDefault="00155B2D" w:rsidP="00193BCA">
      <w:pPr>
        <w:spacing w:after="120" w:line="360" w:lineRule="auto"/>
        <w:jc w:val="both"/>
        <w:rPr>
          <w:rFonts w:ascii="Times New Roman" w:hAnsi="Times New Roman" w:cs="Times New Roman"/>
          <w:noProof/>
          <w:sz w:val="24"/>
          <w:szCs w:val="24"/>
        </w:rPr>
      </w:pPr>
    </w:p>
    <w:sectPr w:rsidR="00155B2D" w:rsidRPr="00400DA8" w:rsidSect="00193BCA">
      <w:headerReference w:type="even" r:id="rId19"/>
      <w:headerReference w:type="default" r:id="rId20"/>
      <w:footerReference w:type="even" r:id="rId21"/>
      <w:footerReference w:type="default" r:id="rId22"/>
      <w:headerReference w:type="first" r:id="rId23"/>
      <w:footerReference w:type="first" r:id="rId24"/>
      <w:pgSz w:w="12240" w:h="15840"/>
      <w:pgMar w:top="141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BF122" w14:textId="77777777" w:rsidR="008F0129" w:rsidRDefault="008F0129" w:rsidP="007D6517">
      <w:pPr>
        <w:spacing w:after="0" w:line="240" w:lineRule="auto"/>
      </w:pPr>
      <w:r>
        <w:separator/>
      </w:r>
    </w:p>
  </w:endnote>
  <w:endnote w:type="continuationSeparator" w:id="0">
    <w:p w14:paraId="191DDC83" w14:textId="77777777" w:rsidR="008F0129" w:rsidRDefault="008F0129" w:rsidP="007D6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xrnwAdvTT3713a231+20">
    <w:altName w:val="MS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3793E" w14:textId="77777777" w:rsidR="007D6517" w:rsidRDefault="007D6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03FB" w14:textId="77777777" w:rsidR="007D6517" w:rsidRDefault="007D6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0BD0A" w14:textId="77777777" w:rsidR="007D6517" w:rsidRDefault="007D6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961C98" w14:textId="77777777" w:rsidR="008F0129" w:rsidRDefault="008F0129" w:rsidP="007D6517">
      <w:pPr>
        <w:spacing w:after="0" w:line="240" w:lineRule="auto"/>
      </w:pPr>
      <w:r>
        <w:separator/>
      </w:r>
    </w:p>
  </w:footnote>
  <w:footnote w:type="continuationSeparator" w:id="0">
    <w:p w14:paraId="3D0D5C83" w14:textId="77777777" w:rsidR="008F0129" w:rsidRDefault="008F0129" w:rsidP="007D6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8AA0" w14:textId="5072F666" w:rsidR="007D6517" w:rsidRDefault="007D6517">
    <w:pPr>
      <w:pStyle w:val="Header"/>
    </w:pPr>
    <w:r>
      <w:rPr>
        <w:noProof/>
      </w:rPr>
      <w:pict w14:anchorId="2003E4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452532"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48471" w14:textId="53E84E45" w:rsidR="007D6517" w:rsidRDefault="007D6517">
    <w:pPr>
      <w:pStyle w:val="Header"/>
    </w:pPr>
    <w:r>
      <w:rPr>
        <w:noProof/>
      </w:rPr>
      <w:pict w14:anchorId="63447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452533"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1B0B" w14:textId="3EF6D566" w:rsidR="007D6517" w:rsidRDefault="007D6517">
    <w:pPr>
      <w:pStyle w:val="Header"/>
    </w:pPr>
    <w:r>
      <w:rPr>
        <w:noProof/>
      </w:rPr>
      <w:pict w14:anchorId="398F06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452531"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CA"/>
    <w:rsid w:val="00155B2D"/>
    <w:rsid w:val="00193BCA"/>
    <w:rsid w:val="001D6263"/>
    <w:rsid w:val="002B0875"/>
    <w:rsid w:val="002C3615"/>
    <w:rsid w:val="003819A6"/>
    <w:rsid w:val="00391A99"/>
    <w:rsid w:val="00392FE8"/>
    <w:rsid w:val="003A662E"/>
    <w:rsid w:val="00400DA8"/>
    <w:rsid w:val="004A166C"/>
    <w:rsid w:val="004D6A65"/>
    <w:rsid w:val="00592B76"/>
    <w:rsid w:val="006764EC"/>
    <w:rsid w:val="006D79F3"/>
    <w:rsid w:val="0072099D"/>
    <w:rsid w:val="007D6517"/>
    <w:rsid w:val="007D6B10"/>
    <w:rsid w:val="00803A8A"/>
    <w:rsid w:val="00880C51"/>
    <w:rsid w:val="008D393E"/>
    <w:rsid w:val="008F0129"/>
    <w:rsid w:val="00A12004"/>
    <w:rsid w:val="00BB4B09"/>
    <w:rsid w:val="00BE76B7"/>
    <w:rsid w:val="00C22745"/>
    <w:rsid w:val="00CB7AE7"/>
    <w:rsid w:val="00D53467"/>
    <w:rsid w:val="00D73152"/>
    <w:rsid w:val="00E14F7A"/>
    <w:rsid w:val="00E317C9"/>
    <w:rsid w:val="00ED20AD"/>
    <w:rsid w:val="00F2696D"/>
    <w:rsid w:val="00F4725D"/>
    <w:rsid w:val="00F6265F"/>
    <w:rsid w:val="00FF79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64702C"/>
  <w15:chartTrackingRefBased/>
  <w15:docId w15:val="{DDC83191-5D17-45EE-ABFC-467DB6018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BCA"/>
    <w:pPr>
      <w:spacing w:line="259" w:lineRule="auto"/>
    </w:pPr>
    <w:rPr>
      <w:sz w:val="22"/>
      <w:szCs w:val="22"/>
      <w:lang w:val="en-US"/>
    </w:rPr>
  </w:style>
  <w:style w:type="paragraph" w:styleId="Heading1">
    <w:name w:val="heading 1"/>
    <w:basedOn w:val="Normal"/>
    <w:next w:val="Normal"/>
    <w:link w:val="Heading1Char"/>
    <w:uiPriority w:val="9"/>
    <w:qFormat/>
    <w:rsid w:val="00193BC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93BC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93BC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93BC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93BC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93BC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3BC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BC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BC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3B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93B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93B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93B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93B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93B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B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B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BCA"/>
    <w:rPr>
      <w:rFonts w:eastAsiaTheme="majorEastAsia" w:cstheme="majorBidi"/>
      <w:color w:val="272727" w:themeColor="text1" w:themeTint="D8"/>
    </w:rPr>
  </w:style>
  <w:style w:type="paragraph" w:styleId="Title">
    <w:name w:val="Title"/>
    <w:basedOn w:val="Normal"/>
    <w:next w:val="Normal"/>
    <w:link w:val="TitleChar"/>
    <w:uiPriority w:val="10"/>
    <w:qFormat/>
    <w:rsid w:val="00193B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B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3B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3B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BCA"/>
    <w:pPr>
      <w:spacing w:before="160"/>
      <w:jc w:val="center"/>
    </w:pPr>
    <w:rPr>
      <w:i/>
      <w:iCs/>
      <w:color w:val="404040" w:themeColor="text1" w:themeTint="BF"/>
    </w:rPr>
  </w:style>
  <w:style w:type="character" w:customStyle="1" w:styleId="QuoteChar">
    <w:name w:val="Quote Char"/>
    <w:basedOn w:val="DefaultParagraphFont"/>
    <w:link w:val="Quote"/>
    <w:uiPriority w:val="29"/>
    <w:rsid w:val="00193BCA"/>
    <w:rPr>
      <w:i/>
      <w:iCs/>
      <w:color w:val="404040" w:themeColor="text1" w:themeTint="BF"/>
    </w:rPr>
  </w:style>
  <w:style w:type="paragraph" w:styleId="ListParagraph">
    <w:name w:val="List Paragraph"/>
    <w:aliases w:val="List Figures,List Paragraph (numbered (a)),Normal 2,List Paragraph1,List Paragraph2,Sub Paragraph,List Paragraph11,Light Grid - Accent 31,ANNEX,Numbered List Paragraph,WB List Paragraph,ReferencesCxSpLast,lp1,Numbered Paragraph,Graphic"/>
    <w:basedOn w:val="Normal"/>
    <w:link w:val="ListParagraphChar"/>
    <w:uiPriority w:val="34"/>
    <w:qFormat/>
    <w:rsid w:val="00193BCA"/>
    <w:pPr>
      <w:ind w:left="720"/>
      <w:contextualSpacing/>
    </w:pPr>
  </w:style>
  <w:style w:type="character" w:styleId="IntenseEmphasis">
    <w:name w:val="Intense Emphasis"/>
    <w:basedOn w:val="DefaultParagraphFont"/>
    <w:uiPriority w:val="21"/>
    <w:qFormat/>
    <w:rsid w:val="00193BCA"/>
    <w:rPr>
      <w:i/>
      <w:iCs/>
      <w:color w:val="2F5496" w:themeColor="accent1" w:themeShade="BF"/>
    </w:rPr>
  </w:style>
  <w:style w:type="paragraph" w:styleId="IntenseQuote">
    <w:name w:val="Intense Quote"/>
    <w:basedOn w:val="Normal"/>
    <w:next w:val="Normal"/>
    <w:link w:val="IntenseQuoteChar"/>
    <w:uiPriority w:val="30"/>
    <w:qFormat/>
    <w:rsid w:val="00193BC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93BCA"/>
    <w:rPr>
      <w:i/>
      <w:iCs/>
      <w:color w:val="2F5496" w:themeColor="accent1" w:themeShade="BF"/>
    </w:rPr>
  </w:style>
  <w:style w:type="character" w:styleId="IntenseReference">
    <w:name w:val="Intense Reference"/>
    <w:basedOn w:val="DefaultParagraphFont"/>
    <w:uiPriority w:val="32"/>
    <w:qFormat/>
    <w:rsid w:val="00193BCA"/>
    <w:rPr>
      <w:b/>
      <w:bCs/>
      <w:smallCaps/>
      <w:color w:val="2F5496" w:themeColor="accent1" w:themeShade="BF"/>
      <w:spacing w:val="5"/>
    </w:rPr>
  </w:style>
  <w:style w:type="character" w:customStyle="1" w:styleId="ListParagraphChar">
    <w:name w:val="List Paragraph Char"/>
    <w:aliases w:val="List Figures Char,List Paragraph (numbered (a)) Char,Normal 2 Char,List Paragraph1 Char,List Paragraph2 Char,Sub Paragraph Char,List Paragraph11 Char,Light Grid - Accent 31 Char,ANNEX Char,Numbered List Paragraph Char,lp1 Char"/>
    <w:link w:val="ListParagraph"/>
    <w:uiPriority w:val="34"/>
    <w:locked/>
    <w:rsid w:val="00193BCA"/>
  </w:style>
  <w:style w:type="paragraph" w:styleId="NormalWeb">
    <w:name w:val="Normal (Web)"/>
    <w:basedOn w:val="Normal"/>
    <w:uiPriority w:val="99"/>
    <w:unhideWhenUsed/>
    <w:rsid w:val="00193BCA"/>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PlaceholderText">
    <w:name w:val="Placeholder Text"/>
    <w:basedOn w:val="DefaultParagraphFont"/>
    <w:uiPriority w:val="99"/>
    <w:semiHidden/>
    <w:rsid w:val="004D6A65"/>
    <w:rPr>
      <w:color w:val="666666"/>
    </w:rPr>
  </w:style>
  <w:style w:type="character" w:styleId="Hyperlink">
    <w:name w:val="Hyperlink"/>
    <w:basedOn w:val="DefaultParagraphFont"/>
    <w:uiPriority w:val="99"/>
    <w:unhideWhenUsed/>
    <w:rsid w:val="006D79F3"/>
    <w:rPr>
      <w:color w:val="0563C1" w:themeColor="hyperlink"/>
      <w:u w:val="single"/>
    </w:rPr>
  </w:style>
  <w:style w:type="character" w:styleId="UnresolvedMention">
    <w:name w:val="Unresolved Mention"/>
    <w:basedOn w:val="DefaultParagraphFont"/>
    <w:uiPriority w:val="99"/>
    <w:semiHidden/>
    <w:unhideWhenUsed/>
    <w:rsid w:val="006D79F3"/>
    <w:rPr>
      <w:color w:val="605E5C"/>
      <w:shd w:val="clear" w:color="auto" w:fill="E1DFDD"/>
    </w:rPr>
  </w:style>
  <w:style w:type="table" w:customStyle="1" w:styleId="TableGrid1">
    <w:name w:val="Table Grid1"/>
    <w:basedOn w:val="TableNormal"/>
    <w:next w:val="TableGrid"/>
    <w:uiPriority w:val="39"/>
    <w:rsid w:val="006D79F3"/>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D7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6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517"/>
    <w:rPr>
      <w:sz w:val="22"/>
      <w:szCs w:val="22"/>
      <w:lang w:val="en-US"/>
    </w:rPr>
  </w:style>
  <w:style w:type="paragraph" w:styleId="Footer">
    <w:name w:val="footer"/>
    <w:basedOn w:val="Normal"/>
    <w:link w:val="FooterChar"/>
    <w:uiPriority w:val="99"/>
    <w:unhideWhenUsed/>
    <w:rsid w:val="007D6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517"/>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12</Pages>
  <Words>2738</Words>
  <Characters>15607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Barnali Saha</dc:creator>
  <cp:keywords/>
  <dc:description/>
  <cp:lastModifiedBy>SDI PC 1170</cp:lastModifiedBy>
  <cp:revision>50</cp:revision>
  <dcterms:created xsi:type="dcterms:W3CDTF">2026-03-17T18:40:00Z</dcterms:created>
  <dcterms:modified xsi:type="dcterms:W3CDTF">2026-03-21T11:07:00Z</dcterms:modified>
</cp:coreProperties>
</file>