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CF39" w14:textId="77777777" w:rsidR="00091B9E" w:rsidRPr="00264C8E" w:rsidRDefault="00AE74F9" w:rsidP="00AE74F9">
      <w:pPr>
        <w:jc w:val="center"/>
        <w:rPr>
          <w:rFonts w:ascii="Times New Roman" w:hAnsi="Times New Roman" w:cs="Times New Roman"/>
          <w:b/>
          <w:bCs/>
          <w:sz w:val="24"/>
          <w:szCs w:val="24"/>
        </w:rPr>
      </w:pPr>
      <w:r w:rsidRPr="00264C8E">
        <w:rPr>
          <w:rFonts w:ascii="Times New Roman" w:hAnsi="Times New Roman" w:cs="Times New Roman"/>
          <w:b/>
          <w:bCs/>
          <w:sz w:val="24"/>
          <w:szCs w:val="24"/>
        </w:rPr>
        <w:t>Dynamics of India’s Fresh Mango Exports: Growth Patterns and Market Direction</w:t>
      </w:r>
    </w:p>
    <w:p w14:paraId="3802F873" w14:textId="77777777" w:rsidR="00C72509" w:rsidRPr="00264C8E" w:rsidRDefault="00845B29" w:rsidP="00C72509">
      <w:pPr>
        <w:pStyle w:val="Heading3"/>
        <w:rPr>
          <w:sz w:val="24"/>
          <w:szCs w:val="24"/>
        </w:rPr>
      </w:pPr>
      <w:r w:rsidRPr="00264C8E">
        <w:rPr>
          <w:sz w:val="24"/>
          <w:szCs w:val="24"/>
        </w:rPr>
        <w:t>Abstract</w:t>
      </w:r>
    </w:p>
    <w:p w14:paraId="650219C2" w14:textId="77777777" w:rsidR="00C72509" w:rsidRPr="00264C8E" w:rsidRDefault="00C72509" w:rsidP="00C72509">
      <w:pPr>
        <w:pStyle w:val="NormalWeb"/>
        <w:spacing w:line="360" w:lineRule="auto"/>
        <w:jc w:val="both"/>
      </w:pPr>
      <w:r w:rsidRPr="00264C8E">
        <w:tab/>
        <w:t>Mango (</w:t>
      </w:r>
      <w:proofErr w:type="spellStart"/>
      <w:r w:rsidRPr="00264C8E">
        <w:rPr>
          <w:rStyle w:val="Emphasis"/>
        </w:rPr>
        <w:t>Mangifera</w:t>
      </w:r>
      <w:proofErr w:type="spellEnd"/>
      <w:r w:rsidRPr="00264C8E">
        <w:rPr>
          <w:rStyle w:val="Emphasis"/>
        </w:rPr>
        <w:t xml:space="preserve"> </w:t>
      </w:r>
      <w:proofErr w:type="spellStart"/>
      <w:r w:rsidRPr="00264C8E">
        <w:rPr>
          <w:rStyle w:val="Emphasis"/>
        </w:rPr>
        <w:t>indica</w:t>
      </w:r>
      <w:proofErr w:type="spellEnd"/>
      <w:r w:rsidRPr="00264C8E">
        <w:rPr>
          <w:rStyle w:val="Emphasis"/>
        </w:rPr>
        <w:t xml:space="preserve"> L.</w:t>
      </w:r>
      <w:r w:rsidRPr="00264C8E">
        <w:t>), popularly known as the “King of Fruits,” is one of the most important tropical fruits cultivated worldwide. India is the largest producer of mangoes, accounting for nearly 40 per cent of global production. Despite this strong production base, India’s share in the global mango trade remains relatively modest due to factors such as peris</w:t>
      </w:r>
      <w:r w:rsidR="003E100D" w:rsidRPr="00264C8E">
        <w:t>hability, logistics constraints</w:t>
      </w:r>
      <w:r w:rsidRPr="00264C8E">
        <w:t xml:space="preserve"> and strict </w:t>
      </w:r>
      <w:proofErr w:type="spellStart"/>
      <w:r w:rsidRPr="00264C8E">
        <w:t>phyto</w:t>
      </w:r>
      <w:proofErr w:type="spellEnd"/>
      <w:r w:rsidR="00264C8E" w:rsidRPr="00264C8E">
        <w:t>-</w:t>
      </w:r>
      <w:r w:rsidRPr="00264C8E">
        <w:t>sanitary regulations in interna</w:t>
      </w:r>
      <w:r w:rsidR="003E100D" w:rsidRPr="00264C8E">
        <w:t>tional markets. T</w:t>
      </w:r>
      <w:r w:rsidRPr="00264C8E">
        <w:t>he</w:t>
      </w:r>
      <w:r w:rsidR="003E100D" w:rsidRPr="00264C8E">
        <w:t xml:space="preserve"> </w:t>
      </w:r>
      <w:r w:rsidRPr="00264C8E">
        <w:t>pr</w:t>
      </w:r>
      <w:r w:rsidR="003E100D" w:rsidRPr="00264C8E">
        <w:t>esent study examines the growth,</w:t>
      </w:r>
      <w:r w:rsidRPr="00264C8E">
        <w:t xml:space="preserve"> </w:t>
      </w:r>
      <w:r w:rsidR="003E100D" w:rsidRPr="00264C8E">
        <w:t>instability</w:t>
      </w:r>
      <w:r w:rsidRPr="00264C8E">
        <w:t xml:space="preserve"> and direction of India’s fresh mango and mango pulp exports over a period of twenty years (2004–05 to 2023–24). The study is based on secondary data collected from reliable sources such as the Agricultural and Processed Food Products Export Development Authority (APEDA) and the National Mango Database. Analytical tools including Compound Annual Growth Rate (CAGR)</w:t>
      </w:r>
      <w:r w:rsidR="003E100D" w:rsidRPr="00264C8E">
        <w:t>,</w:t>
      </w:r>
      <w:r w:rsidRPr="00264C8E">
        <w:t xml:space="preserve"> Cuddy–Della</w:t>
      </w:r>
      <w:r w:rsidR="003E100D" w:rsidRPr="00264C8E">
        <w:t xml:space="preserve"> Valle Instability Index (CDVI)</w:t>
      </w:r>
      <w:r w:rsidRPr="00264C8E">
        <w:t xml:space="preserve"> and Markov chain analysis were employed to assess export growth, variability, and trade direction. The results reveal that export quantities of fresh mangoes and mango pulp have shown declining trends, with CAGRs of –5.12 per cent and –2.93 per cent, respectively. However, export values have increased, indicating a shift towards a value-driven export model supported by higher international prices and improved product quality. The Markov chain analysis identified the USA, Oman, and the UAE as relatively stable markets for Indian mango exports. Strengthening supply chains, maintaining quality standards, and expanding export destinations are essential for enhancing India’s competitiveness in the global mango market.</w:t>
      </w:r>
    </w:p>
    <w:p w14:paraId="1CA31A58" w14:textId="77777777" w:rsidR="00C72509" w:rsidRPr="00264C8E" w:rsidRDefault="00C72509" w:rsidP="003E100D">
      <w:pPr>
        <w:pStyle w:val="Heading3"/>
        <w:jc w:val="both"/>
        <w:rPr>
          <w:b w:val="0"/>
          <w:bCs w:val="0"/>
          <w:sz w:val="24"/>
          <w:szCs w:val="24"/>
        </w:rPr>
      </w:pPr>
      <w:r w:rsidRPr="00264C8E">
        <w:rPr>
          <w:sz w:val="24"/>
          <w:szCs w:val="24"/>
        </w:rPr>
        <w:t>Keywords</w:t>
      </w:r>
      <w:r w:rsidR="003E100D" w:rsidRPr="00264C8E">
        <w:rPr>
          <w:sz w:val="24"/>
          <w:szCs w:val="24"/>
        </w:rPr>
        <w:t xml:space="preserve">:  </w:t>
      </w:r>
      <w:r w:rsidRPr="00264C8E">
        <w:rPr>
          <w:b w:val="0"/>
          <w:bCs w:val="0"/>
          <w:sz w:val="24"/>
          <w:szCs w:val="24"/>
        </w:rPr>
        <w:t>Mango exports, Mango pulp, Exp</w:t>
      </w:r>
      <w:r w:rsidR="003E100D" w:rsidRPr="00264C8E">
        <w:rPr>
          <w:b w:val="0"/>
          <w:bCs w:val="0"/>
          <w:sz w:val="24"/>
          <w:szCs w:val="24"/>
        </w:rPr>
        <w:t>ort growth, Instability</w:t>
      </w:r>
      <w:r w:rsidRPr="00264C8E">
        <w:rPr>
          <w:b w:val="0"/>
          <w:bCs w:val="0"/>
          <w:sz w:val="24"/>
          <w:szCs w:val="24"/>
        </w:rPr>
        <w:t xml:space="preserve">, </w:t>
      </w:r>
      <w:r w:rsidR="003E100D" w:rsidRPr="00264C8E">
        <w:rPr>
          <w:b w:val="0"/>
          <w:bCs w:val="0"/>
          <w:sz w:val="24"/>
          <w:szCs w:val="24"/>
        </w:rPr>
        <w:t xml:space="preserve">Trade direction.  </w:t>
      </w:r>
    </w:p>
    <w:p w14:paraId="383666E7" w14:textId="77777777" w:rsidR="00AE74F9" w:rsidRPr="00264C8E" w:rsidRDefault="00AE74F9" w:rsidP="00AE74F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264C8E">
        <w:rPr>
          <w:rFonts w:ascii="Times New Roman" w:eastAsia="Times New Roman" w:hAnsi="Times New Roman" w:cs="Times New Roman"/>
          <w:b/>
          <w:bCs/>
          <w:sz w:val="24"/>
          <w:szCs w:val="24"/>
          <w:lang w:eastAsia="en-IN"/>
        </w:rPr>
        <w:t>Introduction</w:t>
      </w:r>
    </w:p>
    <w:p w14:paraId="1A1689F5" w14:textId="77777777" w:rsidR="00AE74F9" w:rsidRPr="00264C8E" w:rsidRDefault="00AE74F9" w:rsidP="00AE74F9">
      <w:pPr>
        <w:pStyle w:val="NormalWeb"/>
        <w:spacing w:line="360" w:lineRule="auto"/>
        <w:jc w:val="both"/>
      </w:pPr>
      <w:r w:rsidRPr="00264C8E">
        <w:tab/>
        <w:t>Mango (</w:t>
      </w:r>
      <w:proofErr w:type="spellStart"/>
      <w:r w:rsidRPr="00264C8E">
        <w:rPr>
          <w:i/>
          <w:iCs/>
        </w:rPr>
        <w:t>Mangifera</w:t>
      </w:r>
      <w:proofErr w:type="spellEnd"/>
      <w:r w:rsidRPr="00264C8E">
        <w:rPr>
          <w:i/>
          <w:iCs/>
        </w:rPr>
        <w:t xml:space="preserve"> </w:t>
      </w:r>
      <w:proofErr w:type="spellStart"/>
      <w:r w:rsidRPr="00264C8E">
        <w:rPr>
          <w:i/>
          <w:iCs/>
        </w:rPr>
        <w:t>indica</w:t>
      </w:r>
      <w:proofErr w:type="spellEnd"/>
      <w:r w:rsidRPr="00264C8E">
        <w:t xml:space="preserve"> L.), popularly known as the “King of Fruits,” is one of the most widely cultivated and consumed tropical fruits in the world</w:t>
      </w:r>
      <w:r w:rsidR="00845B29" w:rsidRPr="00264C8E">
        <w:t xml:space="preserve"> (</w:t>
      </w:r>
      <w:proofErr w:type="spellStart"/>
      <w:r w:rsidR="00845B29" w:rsidRPr="00264C8E">
        <w:rPr>
          <w:color w:val="222222"/>
          <w:shd w:val="clear" w:color="auto" w:fill="FFFFFF"/>
        </w:rPr>
        <w:t>Tharanathan</w:t>
      </w:r>
      <w:proofErr w:type="spellEnd"/>
      <w:r w:rsidR="00845B29" w:rsidRPr="00264C8E">
        <w:rPr>
          <w:color w:val="222222"/>
          <w:shd w:val="clear" w:color="auto" w:fill="FFFFFF"/>
        </w:rPr>
        <w:t xml:space="preserve"> </w:t>
      </w:r>
      <w:r w:rsidR="00264C8E" w:rsidRPr="00264C8E">
        <w:rPr>
          <w:i/>
          <w:iCs/>
          <w:color w:val="222222"/>
          <w:shd w:val="clear" w:color="auto" w:fill="FFFFFF"/>
        </w:rPr>
        <w:t>et al</w:t>
      </w:r>
      <w:r w:rsidR="00845B29" w:rsidRPr="00264C8E">
        <w:rPr>
          <w:color w:val="222222"/>
          <w:shd w:val="clear" w:color="auto" w:fill="FFFFFF"/>
        </w:rPr>
        <w:t>., 2006</w:t>
      </w:r>
      <w:r w:rsidR="00845B29" w:rsidRPr="00264C8E">
        <w:t>)</w:t>
      </w:r>
      <w:r w:rsidRPr="00264C8E">
        <w:t>. Globally, mango production has shown steady growth due to rising consumer demand, improved cultivation practices, and expanding international trade</w:t>
      </w:r>
      <w:r w:rsidR="00845B29" w:rsidRPr="00264C8E">
        <w:t xml:space="preserve"> (</w:t>
      </w:r>
      <w:r w:rsidR="00845B29" w:rsidRPr="00264C8E">
        <w:rPr>
          <w:color w:val="222222"/>
          <w:shd w:val="clear" w:color="auto" w:fill="FFFFFF"/>
        </w:rPr>
        <w:t xml:space="preserve">Evans </w:t>
      </w:r>
      <w:r w:rsidR="00264C8E" w:rsidRPr="00264C8E">
        <w:rPr>
          <w:i/>
          <w:iCs/>
          <w:color w:val="222222"/>
          <w:shd w:val="clear" w:color="auto" w:fill="FFFFFF"/>
        </w:rPr>
        <w:t>et al</w:t>
      </w:r>
      <w:r w:rsidR="00845B29" w:rsidRPr="00264C8E">
        <w:rPr>
          <w:color w:val="222222"/>
          <w:shd w:val="clear" w:color="auto" w:fill="FFFFFF"/>
        </w:rPr>
        <w:t>., 2017</w:t>
      </w:r>
      <w:r w:rsidR="00CC3632" w:rsidRPr="00264C8E">
        <w:rPr>
          <w:color w:val="222222"/>
          <w:shd w:val="clear" w:color="auto" w:fill="FFFFFF"/>
        </w:rPr>
        <w:t>; Mitra</w:t>
      </w:r>
      <w:r w:rsidR="006C2FD7" w:rsidRPr="00264C8E">
        <w:rPr>
          <w:color w:val="222222"/>
          <w:shd w:val="clear" w:color="auto" w:fill="FFFFFF"/>
        </w:rPr>
        <w:t xml:space="preserve">, </w:t>
      </w:r>
      <w:r w:rsidR="00CC3632" w:rsidRPr="00264C8E">
        <w:rPr>
          <w:color w:val="222222"/>
          <w:shd w:val="clear" w:color="auto" w:fill="FFFFFF"/>
        </w:rPr>
        <w:t>2014</w:t>
      </w:r>
      <w:r w:rsidR="00845B29" w:rsidRPr="00264C8E">
        <w:t>)</w:t>
      </w:r>
      <w:r w:rsidRPr="00264C8E">
        <w:t xml:space="preserve">. In 2023, the world’s total mango production was estimated at about 59 million metric tonnes, with several countries contributing significantly to global output. Among them, India ranks first with about 24 million metric tonnes, followed by China (3.8 million tonnes), Indonesia (3.6 million tonnes), Pakistan (2.7 million tonnes), Mexico (2.4 million tonnes), and </w:t>
      </w:r>
      <w:r w:rsidRPr="00264C8E">
        <w:lastRenderedPageBreak/>
        <w:t xml:space="preserve">Brazil (2.1 million tonnes). Other important producing countries include Malawi (1.7 million tonnes), Thailand (1.6 million tonnes), Bangladesh (1.5 million tonnes), and Vietnam (1.4 million tonnes). Asia dominates global mango production, accounting for nearly 75 percent of the total output, mainly due to favourable </w:t>
      </w:r>
      <w:proofErr w:type="spellStart"/>
      <w:r w:rsidRPr="00264C8E">
        <w:t>agro</w:t>
      </w:r>
      <w:proofErr w:type="spellEnd"/>
      <w:r w:rsidRPr="00264C8E">
        <w:t>-climatic conditions and a long tradition of mango cultivation (FAOSTAT, 2023).</w:t>
      </w:r>
    </w:p>
    <w:p w14:paraId="6DB72DE7" w14:textId="77777777" w:rsidR="00AE74F9" w:rsidRPr="00264C8E" w:rsidRDefault="00AE74F9" w:rsidP="00AE74F9">
      <w:pPr>
        <w:pStyle w:val="NormalWeb"/>
        <w:spacing w:line="360" w:lineRule="auto"/>
        <w:jc w:val="both"/>
      </w:pPr>
      <w:r w:rsidRPr="00264C8E">
        <w:tab/>
        <w:t xml:space="preserve">India continues to maintain its position as the </w:t>
      </w:r>
      <w:r w:rsidRPr="00264C8E">
        <w:rPr>
          <w:rStyle w:val="Strong"/>
          <w:rFonts w:eastAsia="Segoe UI"/>
          <w:b w:val="0"/>
          <w:bCs w:val="0"/>
        </w:rPr>
        <w:t>largest producer of mangoes</w:t>
      </w:r>
      <w:r w:rsidRPr="00264C8E">
        <w:rPr>
          <w:b/>
          <w:bCs/>
        </w:rPr>
        <w:t>,</w:t>
      </w:r>
      <w:r w:rsidRPr="00264C8E">
        <w:t xml:space="preserve"> accounting for nearly </w:t>
      </w:r>
      <w:r w:rsidRPr="00264C8E">
        <w:rPr>
          <w:rStyle w:val="Strong"/>
          <w:rFonts w:eastAsia="Segoe UI"/>
          <w:b w:val="0"/>
          <w:bCs w:val="0"/>
        </w:rPr>
        <w:t>40 percent of global production</w:t>
      </w:r>
      <w:r w:rsidR="00FC2A5C" w:rsidRPr="00264C8E">
        <w:rPr>
          <w:rStyle w:val="Strong"/>
          <w:rFonts w:eastAsia="Segoe UI"/>
          <w:b w:val="0"/>
          <w:bCs w:val="0"/>
        </w:rPr>
        <w:t xml:space="preserve"> (</w:t>
      </w:r>
      <w:proofErr w:type="spellStart"/>
      <w:r w:rsidR="00FC2A5C" w:rsidRPr="00264C8E">
        <w:rPr>
          <w:color w:val="222222"/>
          <w:shd w:val="clear" w:color="auto" w:fill="FFFFFF"/>
        </w:rPr>
        <w:t>Thakor</w:t>
      </w:r>
      <w:proofErr w:type="spellEnd"/>
      <w:r w:rsidR="00FC2A5C" w:rsidRPr="00264C8E">
        <w:rPr>
          <w:color w:val="222222"/>
          <w:shd w:val="clear" w:color="auto" w:fill="FFFFFF"/>
        </w:rPr>
        <w:t>, 2019)</w:t>
      </w:r>
      <w:r w:rsidRPr="00264C8E">
        <w:t xml:space="preserve">. The country benefits from diverse climatic conditions and extensive cultivation areas, which support the production of a wide range of renowned mango varieties such as </w:t>
      </w:r>
      <w:r w:rsidRPr="00264C8E">
        <w:rPr>
          <w:rStyle w:val="Strong"/>
          <w:rFonts w:eastAsia="Segoe UI"/>
          <w:b w:val="0"/>
          <w:bCs w:val="0"/>
        </w:rPr>
        <w:t xml:space="preserve">Alphonso, Kesar, </w:t>
      </w:r>
      <w:proofErr w:type="spellStart"/>
      <w:r w:rsidRPr="00264C8E">
        <w:rPr>
          <w:rStyle w:val="Strong"/>
          <w:rFonts w:eastAsia="Segoe UI"/>
          <w:b w:val="0"/>
          <w:bCs w:val="0"/>
        </w:rPr>
        <w:t>Dasheri</w:t>
      </w:r>
      <w:proofErr w:type="spellEnd"/>
      <w:r w:rsidRPr="00264C8E">
        <w:rPr>
          <w:rStyle w:val="Strong"/>
          <w:rFonts w:eastAsia="Segoe UI"/>
          <w:b w:val="0"/>
          <w:bCs w:val="0"/>
        </w:rPr>
        <w:t xml:space="preserve">, </w:t>
      </w:r>
      <w:proofErr w:type="spellStart"/>
      <w:r w:rsidRPr="00264C8E">
        <w:rPr>
          <w:rStyle w:val="Strong"/>
          <w:rFonts w:eastAsia="Segoe UI"/>
          <w:b w:val="0"/>
          <w:bCs w:val="0"/>
        </w:rPr>
        <w:t>Banganapalli</w:t>
      </w:r>
      <w:proofErr w:type="spellEnd"/>
      <w:r w:rsidRPr="00264C8E">
        <w:rPr>
          <w:rStyle w:val="Strong"/>
          <w:rFonts w:eastAsia="Segoe UI"/>
          <w:b w:val="0"/>
          <w:bCs w:val="0"/>
        </w:rPr>
        <w:t xml:space="preserve">, and </w:t>
      </w:r>
      <w:proofErr w:type="spellStart"/>
      <w:r w:rsidRPr="00264C8E">
        <w:rPr>
          <w:rStyle w:val="Strong"/>
          <w:rFonts w:eastAsia="Segoe UI"/>
          <w:b w:val="0"/>
          <w:bCs w:val="0"/>
        </w:rPr>
        <w:t>Totapuri</w:t>
      </w:r>
      <w:proofErr w:type="spellEnd"/>
      <w:r w:rsidRPr="00264C8E">
        <w:rPr>
          <w:b/>
          <w:bCs/>
        </w:rPr>
        <w:t>,</w:t>
      </w:r>
      <w:r w:rsidRPr="00264C8E">
        <w:t xml:space="preserve"> known for their superior taste and quality</w:t>
      </w:r>
      <w:r w:rsidR="00310783" w:rsidRPr="00264C8E">
        <w:t xml:space="preserve"> (</w:t>
      </w:r>
      <w:r w:rsidR="00310783" w:rsidRPr="00264C8E">
        <w:rPr>
          <w:color w:val="222222"/>
          <w:shd w:val="clear" w:color="auto" w:fill="FFFFFF"/>
        </w:rPr>
        <w:t xml:space="preserve">Meena </w:t>
      </w:r>
      <w:r w:rsidR="00264C8E" w:rsidRPr="00264C8E">
        <w:rPr>
          <w:i/>
          <w:iCs/>
          <w:color w:val="222222"/>
          <w:shd w:val="clear" w:color="auto" w:fill="FFFFFF"/>
        </w:rPr>
        <w:t>et al</w:t>
      </w:r>
      <w:r w:rsidR="00310783" w:rsidRPr="00264C8E">
        <w:rPr>
          <w:color w:val="222222"/>
          <w:shd w:val="clear" w:color="auto" w:fill="FFFFFF"/>
        </w:rPr>
        <w:t>., 2022</w:t>
      </w:r>
      <w:r w:rsidR="00310783" w:rsidRPr="00264C8E">
        <w:t>)</w:t>
      </w:r>
      <w:r w:rsidRPr="00264C8E">
        <w:t xml:space="preserve">. In </w:t>
      </w:r>
      <w:r w:rsidRPr="00264C8E">
        <w:rPr>
          <w:rStyle w:val="Strong"/>
          <w:rFonts w:eastAsia="Segoe UI"/>
          <w:b w:val="0"/>
          <w:bCs w:val="0"/>
        </w:rPr>
        <w:t>2023–24, mango cultivation in India covered about 2.3 million hectares with a production of nearly 24 million tonnes</w:t>
      </w:r>
      <w:r w:rsidRPr="00264C8E">
        <w:t xml:space="preserve">. Mango production in the country is concentrated in several states, with </w:t>
      </w:r>
      <w:r w:rsidRPr="00264C8E">
        <w:rPr>
          <w:rStyle w:val="Strong"/>
          <w:rFonts w:eastAsia="Segoe UI"/>
          <w:b w:val="0"/>
          <w:bCs w:val="0"/>
        </w:rPr>
        <w:t>Uttar Pradesh contributing about 23 percent of the national production</w:t>
      </w:r>
      <w:r w:rsidRPr="00264C8E">
        <w:rPr>
          <w:b/>
          <w:bCs/>
        </w:rPr>
        <w:t>,</w:t>
      </w:r>
      <w:r w:rsidRPr="00264C8E">
        <w:t xml:space="preserve"> followed by </w:t>
      </w:r>
      <w:r w:rsidRPr="00264C8E">
        <w:rPr>
          <w:rStyle w:val="Strong"/>
          <w:rFonts w:eastAsia="Segoe UI"/>
          <w:b w:val="0"/>
          <w:bCs w:val="0"/>
        </w:rPr>
        <w:t>Andhra Pradesh (18</w:t>
      </w:r>
      <w:r w:rsidR="00264C8E">
        <w:rPr>
          <w:rStyle w:val="Strong"/>
          <w:rFonts w:eastAsia="Segoe UI"/>
          <w:b w:val="0"/>
          <w:bCs w:val="0"/>
        </w:rPr>
        <w:t xml:space="preserve"> </w:t>
      </w:r>
      <w:r w:rsidRPr="00264C8E">
        <w:rPr>
          <w:rStyle w:val="Strong"/>
          <w:rFonts w:eastAsia="Segoe UI"/>
          <w:b w:val="0"/>
          <w:bCs w:val="0"/>
        </w:rPr>
        <w:t>%), Karnataka (14</w:t>
      </w:r>
      <w:r w:rsidR="00264C8E">
        <w:rPr>
          <w:rStyle w:val="Strong"/>
          <w:rFonts w:eastAsia="Segoe UI"/>
          <w:b w:val="0"/>
          <w:bCs w:val="0"/>
        </w:rPr>
        <w:t xml:space="preserve"> </w:t>
      </w:r>
      <w:r w:rsidRPr="00264C8E">
        <w:rPr>
          <w:rStyle w:val="Strong"/>
          <w:rFonts w:eastAsia="Segoe UI"/>
          <w:b w:val="0"/>
          <w:bCs w:val="0"/>
        </w:rPr>
        <w:t>%), Bihar (12</w:t>
      </w:r>
      <w:r w:rsidR="00264C8E">
        <w:rPr>
          <w:rStyle w:val="Strong"/>
          <w:rFonts w:eastAsia="Segoe UI"/>
          <w:b w:val="0"/>
          <w:bCs w:val="0"/>
        </w:rPr>
        <w:t xml:space="preserve"> %) </w:t>
      </w:r>
      <w:r w:rsidRPr="00264C8E">
        <w:rPr>
          <w:rStyle w:val="Strong"/>
          <w:rFonts w:eastAsia="Segoe UI"/>
          <w:b w:val="0"/>
          <w:bCs w:val="0"/>
        </w:rPr>
        <w:t>and Gujarat (9.5</w:t>
      </w:r>
      <w:r w:rsidR="00264C8E">
        <w:rPr>
          <w:rStyle w:val="Strong"/>
          <w:rFonts w:eastAsia="Segoe UI"/>
          <w:b w:val="0"/>
          <w:bCs w:val="0"/>
        </w:rPr>
        <w:t xml:space="preserve"> </w:t>
      </w:r>
      <w:r w:rsidRPr="00264C8E">
        <w:rPr>
          <w:rStyle w:val="Strong"/>
          <w:rFonts w:eastAsia="Segoe UI"/>
          <w:b w:val="0"/>
          <w:bCs w:val="0"/>
        </w:rPr>
        <w:t>%)</w:t>
      </w:r>
      <w:r w:rsidRPr="00264C8E">
        <w:t xml:space="preserve">. Other important mango-producing states include </w:t>
      </w:r>
      <w:r w:rsidRPr="00264C8E">
        <w:rPr>
          <w:rStyle w:val="Strong"/>
          <w:rFonts w:eastAsia="Segoe UI"/>
          <w:b w:val="0"/>
          <w:bCs w:val="0"/>
        </w:rPr>
        <w:t>Tamil Nadu (8.3</w:t>
      </w:r>
      <w:r w:rsidR="00264C8E">
        <w:rPr>
          <w:rStyle w:val="Strong"/>
          <w:rFonts w:eastAsia="Segoe UI"/>
          <w:b w:val="0"/>
          <w:bCs w:val="0"/>
        </w:rPr>
        <w:t xml:space="preserve"> </w:t>
      </w:r>
      <w:r w:rsidRPr="00264C8E">
        <w:rPr>
          <w:rStyle w:val="Strong"/>
          <w:rFonts w:eastAsia="Segoe UI"/>
          <w:b w:val="0"/>
          <w:bCs w:val="0"/>
        </w:rPr>
        <w:t>%), Maharashtra (7.9</w:t>
      </w:r>
      <w:r w:rsidR="00264C8E">
        <w:rPr>
          <w:rStyle w:val="Strong"/>
          <w:rFonts w:eastAsia="Segoe UI"/>
          <w:b w:val="0"/>
          <w:bCs w:val="0"/>
        </w:rPr>
        <w:t xml:space="preserve"> </w:t>
      </w:r>
      <w:r w:rsidRPr="00264C8E">
        <w:rPr>
          <w:rStyle w:val="Strong"/>
          <w:rFonts w:eastAsia="Segoe UI"/>
          <w:b w:val="0"/>
          <w:bCs w:val="0"/>
        </w:rPr>
        <w:t>%), West Bengal (6.9</w:t>
      </w:r>
      <w:r w:rsidR="00264C8E">
        <w:rPr>
          <w:rStyle w:val="Strong"/>
          <w:rFonts w:eastAsia="Segoe UI"/>
          <w:b w:val="0"/>
          <w:bCs w:val="0"/>
        </w:rPr>
        <w:t xml:space="preserve"> </w:t>
      </w:r>
      <w:r w:rsidRPr="00264C8E">
        <w:rPr>
          <w:rStyle w:val="Strong"/>
          <w:rFonts w:eastAsia="Segoe UI"/>
          <w:b w:val="0"/>
          <w:bCs w:val="0"/>
        </w:rPr>
        <w:t>%), Odisha (5</w:t>
      </w:r>
      <w:r w:rsidR="00264C8E">
        <w:rPr>
          <w:rStyle w:val="Strong"/>
          <w:rFonts w:eastAsia="Segoe UI"/>
          <w:b w:val="0"/>
          <w:bCs w:val="0"/>
        </w:rPr>
        <w:t xml:space="preserve"> </w:t>
      </w:r>
      <w:r w:rsidRPr="00264C8E">
        <w:rPr>
          <w:rStyle w:val="Strong"/>
          <w:rFonts w:eastAsia="Segoe UI"/>
          <w:b w:val="0"/>
          <w:bCs w:val="0"/>
        </w:rPr>
        <w:t>%), and Madhya Pradesh (4.2</w:t>
      </w:r>
      <w:r w:rsidR="00264C8E">
        <w:rPr>
          <w:rStyle w:val="Strong"/>
          <w:rFonts w:eastAsia="Segoe UI"/>
          <w:b w:val="0"/>
          <w:bCs w:val="0"/>
        </w:rPr>
        <w:t xml:space="preserve"> </w:t>
      </w:r>
      <w:r w:rsidRPr="00264C8E">
        <w:rPr>
          <w:rStyle w:val="Strong"/>
          <w:rFonts w:eastAsia="Segoe UI"/>
          <w:b w:val="0"/>
          <w:bCs w:val="0"/>
        </w:rPr>
        <w:t>%)</w:t>
      </w:r>
      <w:r w:rsidRPr="00264C8E">
        <w:t xml:space="preserve"> (Ministry of Agriculture &amp; Farmers Welfare, 2024).</w:t>
      </w:r>
    </w:p>
    <w:p w14:paraId="2768F613" w14:textId="77777777" w:rsidR="00AE74F9" w:rsidRPr="00264C8E" w:rsidRDefault="00AE74F9" w:rsidP="00AE74F9">
      <w:pPr>
        <w:pStyle w:val="NormalWeb"/>
        <w:spacing w:line="360" w:lineRule="auto"/>
        <w:jc w:val="both"/>
      </w:pPr>
      <w:r w:rsidRPr="00264C8E">
        <w:tab/>
        <w:t>Despite being the leading producer, India’s share in global mango trade remains relatively modest</w:t>
      </w:r>
      <w:r w:rsidR="00310783" w:rsidRPr="00264C8E">
        <w:t xml:space="preserve"> (</w:t>
      </w:r>
      <w:proofErr w:type="spellStart"/>
      <w:r w:rsidR="00310783" w:rsidRPr="00264C8E">
        <w:rPr>
          <w:color w:val="222222"/>
          <w:shd w:val="clear" w:color="auto" w:fill="FFFFFF"/>
        </w:rPr>
        <w:t>Balyan</w:t>
      </w:r>
      <w:proofErr w:type="spellEnd"/>
      <w:r w:rsidR="00310783" w:rsidRPr="00264C8E">
        <w:rPr>
          <w:color w:val="222222"/>
          <w:shd w:val="clear" w:color="auto" w:fill="FFFFFF"/>
        </w:rPr>
        <w:t xml:space="preserve"> </w:t>
      </w:r>
      <w:r w:rsidR="00264C8E" w:rsidRPr="00264C8E">
        <w:rPr>
          <w:i/>
          <w:iCs/>
          <w:color w:val="222222"/>
          <w:shd w:val="clear" w:color="auto" w:fill="FFFFFF"/>
        </w:rPr>
        <w:t>et al</w:t>
      </w:r>
      <w:r w:rsidR="00310783" w:rsidRPr="00264C8E">
        <w:rPr>
          <w:color w:val="222222"/>
          <w:shd w:val="clear" w:color="auto" w:fill="FFFFFF"/>
        </w:rPr>
        <w:t>., 2015</w:t>
      </w:r>
      <w:r w:rsidR="00310783" w:rsidRPr="00264C8E">
        <w:t>)</w:t>
      </w:r>
      <w:r w:rsidRPr="00264C8E">
        <w:t xml:space="preserve">. International trade in mangoes is influenced by the highly </w:t>
      </w:r>
      <w:r w:rsidRPr="00264C8E">
        <w:rPr>
          <w:rStyle w:val="Strong"/>
          <w:rFonts w:eastAsia="Segoe UI"/>
          <w:b w:val="0"/>
          <w:bCs w:val="0"/>
        </w:rPr>
        <w:t>perishable nature of the fruit</w:t>
      </w:r>
      <w:r w:rsidRPr="00264C8E">
        <w:rPr>
          <w:b/>
          <w:bCs/>
        </w:rPr>
        <w:t>,</w:t>
      </w:r>
      <w:r w:rsidRPr="00264C8E">
        <w:t xml:space="preserve"> which makes transportation cost, geographical proximity, and efficient logistics crucial determinants of trade flows</w:t>
      </w:r>
      <w:r w:rsidR="005E2184" w:rsidRPr="00264C8E">
        <w:t xml:space="preserve"> (</w:t>
      </w:r>
      <w:r w:rsidR="00E3444E" w:rsidRPr="00264C8E">
        <w:rPr>
          <w:color w:val="222222"/>
          <w:shd w:val="clear" w:color="auto" w:fill="FFFFFF"/>
        </w:rPr>
        <w:t xml:space="preserve">Laguerre </w:t>
      </w:r>
      <w:r w:rsidR="00264C8E" w:rsidRPr="00264C8E">
        <w:rPr>
          <w:i/>
          <w:iCs/>
          <w:color w:val="222222"/>
          <w:shd w:val="clear" w:color="auto" w:fill="FFFFFF"/>
        </w:rPr>
        <w:t>et al</w:t>
      </w:r>
      <w:r w:rsidR="00E3444E" w:rsidRPr="00264C8E">
        <w:rPr>
          <w:color w:val="222222"/>
          <w:shd w:val="clear" w:color="auto" w:fill="FFFFFF"/>
        </w:rPr>
        <w:t xml:space="preserve">., 2023; </w:t>
      </w:r>
      <w:proofErr w:type="spellStart"/>
      <w:r w:rsidR="005E2184" w:rsidRPr="00264C8E">
        <w:rPr>
          <w:color w:val="222222"/>
          <w:shd w:val="clear" w:color="auto" w:fill="FFFFFF"/>
        </w:rPr>
        <w:t>Kailaku</w:t>
      </w:r>
      <w:proofErr w:type="spellEnd"/>
      <w:r w:rsidR="005E2184" w:rsidRPr="00264C8E">
        <w:rPr>
          <w:color w:val="222222"/>
          <w:shd w:val="clear" w:color="auto" w:fill="FFFFFF"/>
        </w:rPr>
        <w:t xml:space="preserve"> </w:t>
      </w:r>
      <w:r w:rsidR="00264C8E" w:rsidRPr="00264C8E">
        <w:rPr>
          <w:i/>
          <w:iCs/>
          <w:color w:val="222222"/>
          <w:shd w:val="clear" w:color="auto" w:fill="FFFFFF"/>
        </w:rPr>
        <w:t>et al</w:t>
      </w:r>
      <w:r w:rsidR="005E2184" w:rsidRPr="00264C8E">
        <w:rPr>
          <w:color w:val="222222"/>
          <w:shd w:val="clear" w:color="auto" w:fill="FFFFFF"/>
        </w:rPr>
        <w:t>., 2022; Dewberry, 2020)</w:t>
      </w:r>
      <w:r w:rsidRPr="00264C8E">
        <w:t xml:space="preserve">. Consequently, mango trade is often concentrated within regional markets. For instance, </w:t>
      </w:r>
      <w:r w:rsidRPr="00264C8E">
        <w:rPr>
          <w:rStyle w:val="Strong"/>
          <w:rFonts w:eastAsia="Segoe UI"/>
          <w:b w:val="0"/>
          <w:bCs w:val="0"/>
        </w:rPr>
        <w:t>North America sources most of its mango imports from Mexico, Haiti, and Brazil</w:t>
      </w:r>
      <w:r w:rsidRPr="00264C8E">
        <w:rPr>
          <w:b/>
          <w:bCs/>
        </w:rPr>
        <w:t xml:space="preserve"> </w:t>
      </w:r>
      <w:r w:rsidRPr="00264C8E">
        <w:t>due to their geographical proximity and lower transportation costs</w:t>
      </w:r>
      <w:r w:rsidR="000F5D55" w:rsidRPr="00264C8E">
        <w:t xml:space="preserve"> (</w:t>
      </w:r>
      <w:r w:rsidR="000F5D55" w:rsidRPr="00264C8E">
        <w:rPr>
          <w:color w:val="222222"/>
          <w:shd w:val="clear" w:color="auto" w:fill="FFFFFF"/>
        </w:rPr>
        <w:t xml:space="preserve">Evans </w:t>
      </w:r>
      <w:r w:rsidR="00264C8E" w:rsidRPr="00264C8E">
        <w:rPr>
          <w:i/>
          <w:iCs/>
          <w:color w:val="222222"/>
          <w:shd w:val="clear" w:color="auto" w:fill="FFFFFF"/>
        </w:rPr>
        <w:t>et al</w:t>
      </w:r>
      <w:r w:rsidR="00264C8E">
        <w:rPr>
          <w:color w:val="222222"/>
          <w:shd w:val="clear" w:color="auto" w:fill="FFFFFF"/>
        </w:rPr>
        <w:t>., 2017; Roberts, 2019)</w:t>
      </w:r>
      <w:r w:rsidRPr="00264C8E">
        <w:t xml:space="preserve">. Similarly, </w:t>
      </w:r>
      <w:r w:rsidRPr="00264C8E">
        <w:rPr>
          <w:rStyle w:val="Strong"/>
          <w:rFonts w:eastAsia="Segoe UI"/>
          <w:b w:val="0"/>
          <w:bCs w:val="0"/>
        </w:rPr>
        <w:t>West Asian markets are largely supplied by India and Pakistan</w:t>
      </w:r>
      <w:r w:rsidRPr="00264C8E">
        <w:t xml:space="preserve">, while </w:t>
      </w:r>
      <w:r w:rsidRPr="00264C8E">
        <w:rPr>
          <w:rStyle w:val="Strong"/>
          <w:rFonts w:eastAsia="Segoe UI"/>
          <w:b w:val="0"/>
          <w:bCs w:val="0"/>
        </w:rPr>
        <w:t>Southeast Asian countries such as the Philippines, Thailand, Indonesia, and Malaysia play a major role in regional trade within Asia</w:t>
      </w:r>
      <w:r w:rsidRPr="00264C8E">
        <w:rPr>
          <w:b/>
          <w:bCs/>
        </w:rPr>
        <w:t>.</w:t>
      </w:r>
      <w:r w:rsidRPr="00264C8E">
        <w:t xml:space="preserve"> The </w:t>
      </w:r>
      <w:r w:rsidRPr="00264C8E">
        <w:rPr>
          <w:rStyle w:val="Strong"/>
          <w:rFonts w:eastAsia="Segoe UI"/>
          <w:b w:val="0"/>
          <w:bCs w:val="0"/>
        </w:rPr>
        <w:t>European Union imports mangoes from both South America and Asia</w:t>
      </w:r>
      <w:r w:rsidRPr="00264C8E">
        <w:rPr>
          <w:b/>
          <w:bCs/>
        </w:rPr>
        <w:t>,</w:t>
      </w:r>
      <w:r w:rsidRPr="00264C8E">
        <w:t xml:space="preserve"> with major suppliers including </w:t>
      </w:r>
      <w:r w:rsidRPr="00264C8E">
        <w:rPr>
          <w:rStyle w:val="Strong"/>
          <w:rFonts w:eastAsia="Segoe UI"/>
          <w:b w:val="0"/>
          <w:bCs w:val="0"/>
        </w:rPr>
        <w:t>Brazil, India, and Pakistan</w:t>
      </w:r>
      <w:r w:rsidRPr="00264C8E">
        <w:t xml:space="preserve">, taking advantage of comparatively less stringent </w:t>
      </w:r>
      <w:proofErr w:type="spellStart"/>
      <w:r w:rsidRPr="00264C8E">
        <w:t>phyto</w:t>
      </w:r>
      <w:proofErr w:type="spellEnd"/>
      <w:r w:rsidR="00264C8E">
        <w:t>-</w:t>
      </w:r>
      <w:r w:rsidRPr="00264C8E">
        <w:t>sanitary regulations compared to the United States market (FAO, 2023).</w:t>
      </w:r>
    </w:p>
    <w:p w14:paraId="00B4F3D3" w14:textId="77777777" w:rsidR="00AE74F9" w:rsidRPr="00264C8E" w:rsidRDefault="00AE74F9" w:rsidP="000F5D55">
      <w:pPr>
        <w:pStyle w:val="NormalWeb"/>
        <w:spacing w:line="360" w:lineRule="auto"/>
        <w:jc w:val="both"/>
      </w:pPr>
      <w:r w:rsidRPr="00264C8E">
        <w:tab/>
        <w:t xml:space="preserve">Seasonality also plays a significant role in shaping the global mango supply chain. </w:t>
      </w:r>
      <w:r w:rsidRPr="00264C8E">
        <w:rPr>
          <w:rStyle w:val="Strong"/>
          <w:rFonts w:eastAsia="Segoe UI"/>
          <w:b w:val="0"/>
          <w:bCs w:val="0"/>
        </w:rPr>
        <w:t>India primarily exports mangoes during May</w:t>
      </w:r>
      <w:r w:rsidRPr="00264C8E">
        <w:rPr>
          <w:b/>
          <w:bCs/>
        </w:rPr>
        <w:t>,</w:t>
      </w:r>
      <w:r w:rsidRPr="00264C8E">
        <w:t xml:space="preserve"> while </w:t>
      </w:r>
      <w:r w:rsidRPr="00264C8E">
        <w:rPr>
          <w:rStyle w:val="Strong"/>
          <w:rFonts w:eastAsia="Segoe UI"/>
          <w:b w:val="0"/>
          <w:bCs w:val="0"/>
        </w:rPr>
        <w:t>Pakistan’s exports peak during June and July</w:t>
      </w:r>
      <w:r w:rsidR="000F5D55" w:rsidRPr="00264C8E">
        <w:rPr>
          <w:rStyle w:val="Strong"/>
          <w:rFonts w:eastAsia="Segoe UI"/>
          <w:b w:val="0"/>
          <w:bCs w:val="0"/>
        </w:rPr>
        <w:t xml:space="preserve"> (</w:t>
      </w:r>
      <w:r w:rsidR="000F5D55" w:rsidRPr="00264C8E">
        <w:rPr>
          <w:color w:val="222222"/>
          <w:shd w:val="clear" w:color="auto" w:fill="FFFFFF"/>
        </w:rPr>
        <w:t xml:space="preserve">Ahmad </w:t>
      </w:r>
      <w:r w:rsidR="00264C8E" w:rsidRPr="00264C8E">
        <w:rPr>
          <w:i/>
          <w:iCs/>
          <w:color w:val="222222"/>
          <w:shd w:val="clear" w:color="auto" w:fill="FFFFFF"/>
        </w:rPr>
        <w:t>et al</w:t>
      </w:r>
      <w:r w:rsidR="000F5D55" w:rsidRPr="00264C8E">
        <w:rPr>
          <w:color w:val="222222"/>
          <w:shd w:val="clear" w:color="auto" w:fill="FFFFFF"/>
        </w:rPr>
        <w:t xml:space="preserve">., 2025; </w:t>
      </w:r>
      <w:proofErr w:type="spellStart"/>
      <w:r w:rsidR="000F5D55" w:rsidRPr="00264C8E">
        <w:rPr>
          <w:color w:val="222222"/>
          <w:shd w:val="clear" w:color="auto" w:fill="FFFFFF"/>
        </w:rPr>
        <w:t>Atiq</w:t>
      </w:r>
      <w:proofErr w:type="spellEnd"/>
      <w:r w:rsidR="000F5D55" w:rsidRPr="00264C8E">
        <w:rPr>
          <w:color w:val="222222"/>
          <w:shd w:val="clear" w:color="auto" w:fill="FFFFFF"/>
        </w:rPr>
        <w:t xml:space="preserve"> </w:t>
      </w:r>
      <w:r w:rsidR="00264C8E" w:rsidRPr="00264C8E">
        <w:rPr>
          <w:i/>
          <w:iCs/>
          <w:color w:val="222222"/>
          <w:shd w:val="clear" w:color="auto" w:fill="FFFFFF"/>
        </w:rPr>
        <w:t>et al</w:t>
      </w:r>
      <w:r w:rsidR="000F5D55" w:rsidRPr="00264C8E">
        <w:rPr>
          <w:color w:val="222222"/>
          <w:shd w:val="clear" w:color="auto" w:fill="FFFFFF"/>
        </w:rPr>
        <w:t>., 2025</w:t>
      </w:r>
      <w:r w:rsidR="000F5D55" w:rsidRPr="00264C8E">
        <w:rPr>
          <w:rStyle w:val="Strong"/>
          <w:rFonts w:eastAsia="Segoe UI"/>
          <w:b w:val="0"/>
          <w:bCs w:val="0"/>
        </w:rPr>
        <w:t>)</w:t>
      </w:r>
      <w:r w:rsidRPr="00264C8E">
        <w:rPr>
          <w:b/>
          <w:bCs/>
        </w:rPr>
        <w:t>.</w:t>
      </w:r>
      <w:r w:rsidRPr="00264C8E">
        <w:t xml:space="preserve"> In contrast, </w:t>
      </w:r>
      <w:r w:rsidRPr="00264C8E">
        <w:rPr>
          <w:rStyle w:val="Strong"/>
          <w:rFonts w:eastAsia="Segoe UI"/>
          <w:b w:val="0"/>
          <w:bCs w:val="0"/>
        </w:rPr>
        <w:t xml:space="preserve">Brazil supplies mangoes to the European </w:t>
      </w:r>
      <w:r w:rsidRPr="00264C8E">
        <w:rPr>
          <w:rStyle w:val="Strong"/>
          <w:rFonts w:eastAsia="Segoe UI"/>
          <w:b w:val="0"/>
          <w:bCs w:val="0"/>
        </w:rPr>
        <w:lastRenderedPageBreak/>
        <w:t>Union during November and December</w:t>
      </w:r>
      <w:r w:rsidRPr="00264C8E">
        <w:rPr>
          <w:b/>
          <w:bCs/>
        </w:rPr>
        <w:t xml:space="preserve">, </w:t>
      </w:r>
      <w:r w:rsidRPr="00264C8E">
        <w:rPr>
          <w:rStyle w:val="Strong"/>
          <w:rFonts w:eastAsia="Segoe UI"/>
          <w:b w:val="0"/>
          <w:bCs w:val="0"/>
        </w:rPr>
        <w:t>South Africa from January to April</w:t>
      </w:r>
      <w:r w:rsidRPr="00264C8E">
        <w:rPr>
          <w:b/>
          <w:bCs/>
        </w:rPr>
        <w:t>,</w:t>
      </w:r>
      <w:r w:rsidRPr="00264C8E">
        <w:t xml:space="preserve"> and </w:t>
      </w:r>
      <w:r w:rsidRPr="00264C8E">
        <w:rPr>
          <w:rStyle w:val="Strong"/>
          <w:rFonts w:eastAsia="Segoe UI"/>
          <w:b w:val="0"/>
          <w:bCs w:val="0"/>
        </w:rPr>
        <w:t>Venezuela from April to July</w:t>
      </w:r>
      <w:r w:rsidRPr="00264C8E">
        <w:t>, ensuring a continuous global supply throughout the year. Advancements in</w:t>
      </w:r>
      <w:r w:rsidRPr="00264C8E">
        <w:rPr>
          <w:b/>
          <w:bCs/>
        </w:rPr>
        <w:t xml:space="preserve"> </w:t>
      </w:r>
      <w:r w:rsidRPr="00264C8E">
        <w:rPr>
          <w:rStyle w:val="Strong"/>
          <w:rFonts w:eastAsia="Segoe UI"/>
          <w:b w:val="0"/>
          <w:bCs w:val="0"/>
        </w:rPr>
        <w:t>post-harvest technologies, cold chain infrastructure, and improved logistics systems</w:t>
      </w:r>
      <w:r w:rsidRPr="00264C8E">
        <w:t xml:space="preserve"> have further facilitated the expansion of mango trade by reducing losses and improving product quality during transportation</w:t>
      </w:r>
      <w:r w:rsidR="000F5D55" w:rsidRPr="00264C8E">
        <w:t xml:space="preserve"> (Kaur and Watson, 2024; Monika </w:t>
      </w:r>
      <w:r w:rsidR="00264C8E" w:rsidRPr="00264C8E">
        <w:rPr>
          <w:i/>
          <w:iCs/>
        </w:rPr>
        <w:t>et al</w:t>
      </w:r>
      <w:r w:rsidR="000F5D55" w:rsidRPr="00264C8E">
        <w:t>., 2025)</w:t>
      </w:r>
      <w:r w:rsidRPr="00264C8E">
        <w:t>.</w:t>
      </w:r>
    </w:p>
    <w:p w14:paraId="38FA8C9E" w14:textId="77777777" w:rsidR="00AE74F9" w:rsidRPr="00264C8E" w:rsidRDefault="00AE74F9" w:rsidP="00AE74F9">
      <w:pPr>
        <w:pStyle w:val="NormalWeb"/>
        <w:spacing w:line="360" w:lineRule="auto"/>
        <w:jc w:val="both"/>
      </w:pPr>
      <w:r w:rsidRPr="00264C8E">
        <w:tab/>
        <w:t xml:space="preserve">In the Indian context, mango exports have gained increasing importance as part of the country’s horticultural export basket. With support from institutions such as the </w:t>
      </w:r>
      <w:r w:rsidRPr="00264C8E">
        <w:rPr>
          <w:rStyle w:val="Strong"/>
          <w:rFonts w:eastAsia="Segoe UI"/>
          <w:b w:val="0"/>
          <w:bCs w:val="0"/>
        </w:rPr>
        <w:t>Agricultural and Processed Food Products Export Development Authority (APEDA)</w:t>
      </w:r>
      <w:r w:rsidRPr="00264C8E">
        <w:t xml:space="preserve"> and the </w:t>
      </w:r>
      <w:r w:rsidRPr="00264C8E">
        <w:rPr>
          <w:rStyle w:val="Strong"/>
          <w:rFonts w:eastAsia="Segoe UI"/>
          <w:b w:val="0"/>
          <w:bCs w:val="0"/>
        </w:rPr>
        <w:t>Ministry of Agriculture and Farmers Welfare</w:t>
      </w:r>
      <w:r w:rsidRPr="00264C8E">
        <w:rPr>
          <w:b/>
          <w:bCs/>
        </w:rPr>
        <w:t>,</w:t>
      </w:r>
      <w:r w:rsidRPr="00264C8E">
        <w:t xml:space="preserve"> India has expanded its export markets in recent years. During </w:t>
      </w:r>
      <w:r w:rsidRPr="00264C8E">
        <w:rPr>
          <w:rStyle w:val="Strong"/>
          <w:rFonts w:eastAsia="Segoe UI"/>
          <w:b w:val="0"/>
          <w:bCs w:val="0"/>
        </w:rPr>
        <w:t>2023–24, India exported about 32,104.09 metric tonnes of fresh mangoes valued at ₹495.46 crore (USD 60.14 million)</w:t>
      </w:r>
      <w:r w:rsidRPr="00264C8E">
        <w:t xml:space="preserve"> to various international markets, with major destinations including the </w:t>
      </w:r>
      <w:r w:rsidRPr="00264C8E">
        <w:rPr>
          <w:rStyle w:val="Strong"/>
          <w:rFonts w:eastAsia="Segoe UI"/>
          <w:b w:val="0"/>
          <w:bCs w:val="0"/>
        </w:rPr>
        <w:t>United Arab Emirates, United States, United Kingdom, Saudi Arabia, and other West Asian countries</w:t>
      </w:r>
      <w:r w:rsidRPr="00264C8E">
        <w:t xml:space="preserve"> (APEDA, 2024). </w:t>
      </w:r>
      <w:r w:rsidR="00B911D6" w:rsidRPr="00264C8E">
        <w:t xml:space="preserve">The </w:t>
      </w:r>
      <w:r w:rsidRPr="00264C8E">
        <w:t xml:space="preserve">exports to the </w:t>
      </w:r>
      <w:r w:rsidRPr="00264C8E">
        <w:rPr>
          <w:rStyle w:val="Strong"/>
          <w:rFonts w:eastAsia="Segoe UI"/>
          <w:b w:val="0"/>
          <w:bCs w:val="0"/>
        </w:rPr>
        <w:t>United States recorded a growth of about 19 percent in 2023–24 compared to the previous year</w:t>
      </w:r>
      <w:r w:rsidRPr="00264C8E">
        <w:t>, reflecting the increasing demand for Indian mango varieties in international markets.</w:t>
      </w:r>
    </w:p>
    <w:p w14:paraId="7EF14E41" w14:textId="77777777" w:rsidR="008D1AD3" w:rsidRPr="00264C8E" w:rsidRDefault="00AE74F9" w:rsidP="008D1AD3">
      <w:pPr>
        <w:pStyle w:val="NormalWeb"/>
        <w:spacing w:line="360" w:lineRule="auto"/>
        <w:jc w:val="both"/>
      </w:pPr>
      <w:r w:rsidRPr="00264C8E">
        <w:tab/>
        <w:t xml:space="preserve">Although India has a strong production base and significant export potential, the performance of its mango exports has shown considerable fluctuations over time due to factors such as changing international demand, trade policies, sanitary and phytosanitary regulations, and increasing competition from other major exporters like Mexico, Peru, and Thailand. Therefore, </w:t>
      </w:r>
      <w:r w:rsidR="00264C8E" w:rsidRPr="00264C8E">
        <w:t>analysing</w:t>
      </w:r>
      <w:r w:rsidRPr="00264C8E">
        <w:t xml:space="preserve"> the </w:t>
      </w:r>
      <w:r w:rsidRPr="00264C8E">
        <w:rPr>
          <w:rStyle w:val="Strong"/>
          <w:rFonts w:eastAsia="Segoe UI"/>
          <w:b w:val="0"/>
          <w:bCs w:val="0"/>
        </w:rPr>
        <w:t>growth patterns and direction of India’s fresh mango exports</w:t>
      </w:r>
      <w:r w:rsidRPr="00264C8E">
        <w:t xml:space="preserve"> becomes essential to understand the dynamics of the country’s participation in global mango trade. Such analysis helps identify emerging markets, assess the stability of export growth, and evaluate the geographical distribution of exports across importing countries.</w:t>
      </w:r>
    </w:p>
    <w:p w14:paraId="0A541C83" w14:textId="77777777" w:rsidR="00AE74F9" w:rsidRPr="00264C8E" w:rsidRDefault="008D1AD3" w:rsidP="008D1AD3">
      <w:pPr>
        <w:pStyle w:val="NormalWeb"/>
        <w:spacing w:line="360" w:lineRule="auto"/>
        <w:jc w:val="both"/>
      </w:pPr>
      <w:r w:rsidRPr="00264C8E">
        <w:tab/>
      </w:r>
      <w:r w:rsidR="00AE74F9" w:rsidRPr="00264C8E">
        <w:t xml:space="preserve">In this context, the present study attempts to examine the </w:t>
      </w:r>
      <w:r w:rsidR="00AE74F9" w:rsidRPr="00264C8E">
        <w:rPr>
          <w:rStyle w:val="Strong"/>
          <w:rFonts w:eastAsia="Segoe UI"/>
          <w:b w:val="0"/>
          <w:bCs w:val="0"/>
        </w:rPr>
        <w:t>dynamics of India’s fresh mango exports</w:t>
      </w:r>
      <w:r w:rsidR="00AE74F9" w:rsidRPr="00264C8E">
        <w:rPr>
          <w:b/>
          <w:bCs/>
        </w:rPr>
        <w:t>,</w:t>
      </w:r>
      <w:r w:rsidR="00AE74F9" w:rsidRPr="00264C8E">
        <w:t xml:space="preserve"> with a particular focus on </w:t>
      </w:r>
      <w:r w:rsidR="00264C8E" w:rsidRPr="00264C8E">
        <w:t>analysing</w:t>
      </w:r>
      <w:r w:rsidR="00AE74F9" w:rsidRPr="00264C8E">
        <w:t xml:space="preserve"> the </w:t>
      </w:r>
      <w:r w:rsidR="00AE74F9" w:rsidRPr="00264C8E">
        <w:rPr>
          <w:rStyle w:val="Strong"/>
          <w:rFonts w:eastAsia="Segoe UI"/>
          <w:b w:val="0"/>
          <w:bCs w:val="0"/>
        </w:rPr>
        <w:t>growth patterns and market direction</w:t>
      </w:r>
      <w:r w:rsidR="00AE74F9" w:rsidRPr="00264C8E">
        <w:t xml:space="preserve"> of exports over time. The findings of the study are expected to provide useful insights for policymakers, exporters, and stakeholders in designing strategies to enhance India’s competitiveness and strengthen its position in the global mango market.</w:t>
      </w:r>
    </w:p>
    <w:p w14:paraId="57D67BAB" w14:textId="77777777" w:rsidR="00AE74F9" w:rsidRPr="00264C8E" w:rsidRDefault="00D536F8" w:rsidP="00AE74F9">
      <w:pPr>
        <w:rPr>
          <w:rFonts w:ascii="Times New Roman" w:hAnsi="Times New Roman" w:cs="Times New Roman"/>
          <w:b/>
          <w:bCs/>
          <w:sz w:val="24"/>
          <w:szCs w:val="24"/>
        </w:rPr>
      </w:pPr>
      <w:r w:rsidRPr="00264C8E">
        <w:rPr>
          <w:rFonts w:ascii="Times New Roman" w:hAnsi="Times New Roman" w:cs="Times New Roman"/>
          <w:b/>
          <w:bCs/>
          <w:sz w:val="24"/>
          <w:szCs w:val="24"/>
        </w:rPr>
        <w:t>Methodology</w:t>
      </w:r>
    </w:p>
    <w:p w14:paraId="5A534428" w14:textId="77777777" w:rsidR="00006D91" w:rsidRPr="00264C8E" w:rsidRDefault="00006D91" w:rsidP="00AE74F9">
      <w:pPr>
        <w:rPr>
          <w:rFonts w:ascii="Times New Roman" w:hAnsi="Times New Roman" w:cs="Times New Roman"/>
          <w:b/>
          <w:bCs/>
          <w:sz w:val="24"/>
          <w:szCs w:val="24"/>
        </w:rPr>
      </w:pPr>
      <w:r w:rsidRPr="00264C8E">
        <w:rPr>
          <w:rFonts w:ascii="Times New Roman" w:hAnsi="Times New Roman" w:cs="Times New Roman"/>
          <w:b/>
          <w:bCs/>
          <w:sz w:val="24"/>
          <w:szCs w:val="24"/>
        </w:rPr>
        <w:t>Data Source</w:t>
      </w:r>
    </w:p>
    <w:p w14:paraId="476AA818" w14:textId="77777777" w:rsidR="00006D91" w:rsidRPr="00264C8E" w:rsidRDefault="00006D91" w:rsidP="00006D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64C8E">
        <w:rPr>
          <w:rFonts w:ascii="Times New Roman" w:eastAsia="Times New Roman" w:hAnsi="Times New Roman" w:cs="Times New Roman"/>
          <w:sz w:val="24"/>
          <w:szCs w:val="24"/>
          <w:lang w:eastAsia="en-IN"/>
        </w:rPr>
        <w:lastRenderedPageBreak/>
        <w:tab/>
        <w:t>The present study is primarily based on secondary data sources. For the analysis, time series data covering a period of 20 years from 2004 to 2023 were used to examine the trends in the export of fresh mangoes. The use of long-term time series data helps in understanding the growth pattern, fluctuations, and overall performance of mango exports over time. The study mainly focuses on two important variables, namely export quantity and export value of fresh mangoes. Export quantity represents the physical volume of mango exported, usually measured in metric tonnes, while export value indicates the monetary returns earned from these exports. The required data were collected from reliable sources such as the Agricultural and Processed Food Products Export Development Authority (APEDA) and the National Mango Database, which provide comprehensive and authentic statistics on agricultural exports in India. These sources ensure the accuracy and credibility of the data used for analysis.</w:t>
      </w:r>
    </w:p>
    <w:p w14:paraId="61BF7A55" w14:textId="77777777" w:rsidR="00D536F8" w:rsidRPr="00264C8E" w:rsidRDefault="00D536F8" w:rsidP="00D536F8">
      <w:pPr>
        <w:pStyle w:val="Body"/>
        <w:shd w:val="clear" w:color="auto" w:fill="FFFFFF"/>
        <w:spacing w:after="200" w:line="360" w:lineRule="auto"/>
        <w:jc w:val="both"/>
        <w:rPr>
          <w:rFonts w:cs="Times New Roman"/>
          <w:b/>
          <w:bCs/>
          <w:spacing w:val="2"/>
          <w:sz w:val="24"/>
          <w:szCs w:val="24"/>
        </w:rPr>
      </w:pPr>
      <w:r w:rsidRPr="00264C8E">
        <w:rPr>
          <w:rFonts w:cs="Times New Roman"/>
          <w:b/>
          <w:bCs/>
          <w:spacing w:val="2"/>
          <w:sz w:val="24"/>
          <w:szCs w:val="24"/>
          <w:lang w:val="en-US"/>
        </w:rPr>
        <w:t>Compound Annual Growth Rate</w:t>
      </w:r>
    </w:p>
    <w:p w14:paraId="09C4F203" w14:textId="77777777" w:rsidR="00D536F8" w:rsidRPr="00264C8E" w:rsidRDefault="00D536F8" w:rsidP="00D536F8">
      <w:pPr>
        <w:pStyle w:val="Body"/>
        <w:shd w:val="clear" w:color="auto" w:fill="FFFFFF"/>
        <w:spacing w:after="200" w:line="360" w:lineRule="auto"/>
        <w:ind w:firstLine="720"/>
        <w:jc w:val="both"/>
        <w:rPr>
          <w:rFonts w:cs="Times New Roman"/>
          <w:spacing w:val="2"/>
          <w:sz w:val="24"/>
          <w:szCs w:val="24"/>
        </w:rPr>
      </w:pPr>
      <w:r w:rsidRPr="00264C8E">
        <w:rPr>
          <w:rFonts w:cs="Times New Roman"/>
          <w:spacing w:val="2"/>
          <w:sz w:val="24"/>
          <w:szCs w:val="24"/>
          <w:lang w:val="en-US"/>
        </w:rPr>
        <w:t>In this study, compound growth rates for the area, production, productivity, and export quantities of Arabica coffee were calculated using an exponential growth function.</w:t>
      </w:r>
    </w:p>
    <w:p w14:paraId="63851C7A" w14:textId="77777777" w:rsidR="00D536F8" w:rsidRPr="00264C8E" w:rsidRDefault="00D536F8" w:rsidP="00D536F8">
      <w:pPr>
        <w:pStyle w:val="Body"/>
        <w:spacing w:line="360" w:lineRule="auto"/>
        <w:rPr>
          <w:rFonts w:cs="Times New Roman"/>
          <w:sz w:val="24"/>
          <w:szCs w:val="24"/>
        </w:rPr>
      </w:pPr>
      <w:r w:rsidRPr="00264C8E">
        <w:rPr>
          <w:rFonts w:cs="Times New Roman"/>
          <w:b/>
          <w:bCs/>
          <w:sz w:val="24"/>
          <w:szCs w:val="24"/>
        </w:rPr>
        <w:t xml:space="preserve">                                                                   </w:t>
      </w:r>
      <w:r w:rsidRPr="00264C8E">
        <w:rPr>
          <w:rFonts w:cs="Times New Roman"/>
          <w:sz w:val="24"/>
          <w:szCs w:val="24"/>
        </w:rPr>
        <w:t xml:space="preserve"> Y = A B</w:t>
      </w:r>
      <w:r w:rsidRPr="00264C8E">
        <w:rPr>
          <w:rFonts w:cs="Times New Roman"/>
          <w:sz w:val="24"/>
          <w:szCs w:val="24"/>
          <w:vertAlign w:val="superscript"/>
        </w:rPr>
        <w:t>t</w:t>
      </w:r>
    </w:p>
    <w:p w14:paraId="04A267CA"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65746056"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lang w:val="en-US"/>
        </w:rPr>
        <w:t>Y = dependent variable to be estimated (area, production, productivity, export)</w:t>
      </w:r>
    </w:p>
    <w:p w14:paraId="3CA0A6AC"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rPr>
        <w:t>A = intercept</w:t>
      </w:r>
    </w:p>
    <w:p w14:paraId="7A26EFB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fr-FR"/>
        </w:rPr>
        <w:t xml:space="preserve">B = </w:t>
      </w:r>
      <w:proofErr w:type="spellStart"/>
      <w:r w:rsidRPr="00264C8E">
        <w:rPr>
          <w:rFonts w:cs="Times New Roman"/>
          <w:sz w:val="24"/>
          <w:szCs w:val="24"/>
          <w:lang w:val="fr-FR"/>
        </w:rPr>
        <w:t>regression</w:t>
      </w:r>
      <w:proofErr w:type="spellEnd"/>
      <w:r w:rsidRPr="00264C8E">
        <w:rPr>
          <w:rFonts w:cs="Times New Roman"/>
          <w:sz w:val="24"/>
          <w:szCs w:val="24"/>
          <w:lang w:val="fr-FR"/>
        </w:rPr>
        <w:t xml:space="preserve"> coefficient</w:t>
      </w:r>
    </w:p>
    <w:p w14:paraId="42C8555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en-US"/>
        </w:rPr>
        <w:t>t = time variable</w:t>
      </w:r>
    </w:p>
    <w:p w14:paraId="1A7FCF0B"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The equation will be estimated after transforming as follows</w:t>
      </w:r>
    </w:p>
    <w:p w14:paraId="34368EF2" w14:textId="77777777" w:rsidR="00D536F8" w:rsidRPr="00264C8E" w:rsidRDefault="00D536F8" w:rsidP="00D536F8">
      <w:pPr>
        <w:pStyle w:val="Body"/>
        <w:spacing w:line="360" w:lineRule="auto"/>
        <w:ind w:left="3980"/>
        <w:jc w:val="both"/>
        <w:rPr>
          <w:rFonts w:cs="Times New Roman"/>
          <w:sz w:val="24"/>
          <w:szCs w:val="24"/>
        </w:rPr>
      </w:pPr>
      <w:r w:rsidRPr="00264C8E">
        <w:rPr>
          <w:rFonts w:cs="Times New Roman"/>
          <w:sz w:val="24"/>
          <w:szCs w:val="24"/>
          <w:lang w:val="es-ES_tradnl"/>
        </w:rPr>
        <w:t xml:space="preserve">log Y = a + </w:t>
      </w:r>
      <w:proofErr w:type="spellStart"/>
      <w:r w:rsidRPr="00264C8E">
        <w:rPr>
          <w:rFonts w:cs="Times New Roman"/>
          <w:sz w:val="24"/>
          <w:szCs w:val="24"/>
          <w:lang w:val="es-ES_tradnl"/>
        </w:rPr>
        <w:t>bt</w:t>
      </w:r>
      <w:proofErr w:type="spellEnd"/>
    </w:p>
    <w:p w14:paraId="2C16AB5D"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7CB8D344"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a=Log A</w:t>
      </w:r>
    </w:p>
    <w:p w14:paraId="598DD8A7"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b=Log B</w:t>
      </w:r>
    </w:p>
    <w:p w14:paraId="31BD6FBC"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Finally, CAGR can be obtained with the use of relationship:</w:t>
      </w:r>
    </w:p>
    <w:p w14:paraId="4B745CCF" w14:textId="77777777" w:rsidR="007722F3" w:rsidRPr="00264C8E" w:rsidRDefault="00D536F8" w:rsidP="00264C8E">
      <w:pPr>
        <w:pStyle w:val="Body"/>
        <w:spacing w:line="360" w:lineRule="auto"/>
        <w:ind w:left="3140"/>
        <w:jc w:val="both"/>
        <w:rPr>
          <w:rFonts w:cs="Times New Roman"/>
          <w:sz w:val="24"/>
          <w:szCs w:val="24"/>
          <w:lang w:val="en-US"/>
        </w:rPr>
      </w:pPr>
      <w:r w:rsidRPr="00264C8E">
        <w:rPr>
          <w:rFonts w:cs="Times New Roman"/>
          <w:sz w:val="24"/>
          <w:szCs w:val="24"/>
          <w:lang w:val="en-US"/>
        </w:rPr>
        <w:t>C</w:t>
      </w:r>
      <w:r w:rsidR="009E0AC2" w:rsidRPr="00264C8E">
        <w:rPr>
          <w:rFonts w:cs="Times New Roman"/>
          <w:sz w:val="24"/>
          <w:szCs w:val="24"/>
          <w:lang w:val="en-US"/>
        </w:rPr>
        <w:t>A</w:t>
      </w:r>
      <w:r w:rsidRPr="00264C8E">
        <w:rPr>
          <w:rFonts w:cs="Times New Roman"/>
          <w:sz w:val="24"/>
          <w:szCs w:val="24"/>
          <w:lang w:val="en-US"/>
        </w:rPr>
        <w:t>GR = [(antilog of b)-1] x 100</w:t>
      </w:r>
    </w:p>
    <w:p w14:paraId="4A193F0D" w14:textId="77777777" w:rsidR="00BB2316" w:rsidRPr="00264C8E" w:rsidRDefault="00BB2316" w:rsidP="00BB2316">
      <w:pPr>
        <w:pStyle w:val="Body"/>
        <w:spacing w:line="360" w:lineRule="auto"/>
        <w:ind w:left="142"/>
        <w:jc w:val="both"/>
        <w:rPr>
          <w:rFonts w:cs="Times New Roman"/>
          <w:sz w:val="24"/>
          <w:szCs w:val="24"/>
          <w:lang w:val="en-US"/>
        </w:rPr>
      </w:pPr>
      <w:r w:rsidRPr="00264C8E">
        <w:rPr>
          <w:rFonts w:cs="Times New Roman"/>
          <w:b/>
          <w:bCs/>
          <w:sz w:val="24"/>
          <w:szCs w:val="24"/>
        </w:rPr>
        <w:t>Instability index</w:t>
      </w:r>
    </w:p>
    <w:p w14:paraId="4594A4FF" w14:textId="77777777" w:rsidR="00BB2316" w:rsidRPr="00264C8E" w:rsidRDefault="00BB2316" w:rsidP="00BB2316">
      <w:pPr>
        <w:spacing w:before="120" w:line="360" w:lineRule="auto"/>
        <w:ind w:firstLine="720"/>
        <w:jc w:val="both"/>
        <w:rPr>
          <w:rFonts w:ascii="Times New Roman" w:eastAsia="Times New Roman" w:hAnsi="Times New Roman" w:cs="Times New Roman"/>
          <w:spacing w:val="1"/>
          <w:sz w:val="24"/>
          <w:szCs w:val="24"/>
          <w:lang w:eastAsia="en-IN"/>
        </w:rPr>
      </w:pPr>
      <w:r w:rsidRPr="00264C8E">
        <w:rPr>
          <w:rFonts w:ascii="Times New Roman" w:hAnsi="Times New Roman" w:cs="Times New Roman"/>
          <w:sz w:val="24"/>
          <w:szCs w:val="24"/>
        </w:rPr>
        <w:t xml:space="preserve">The instability analysis was also conducted using the Cuddy Della Valle Index (CDVI) (Cuddy and Della, 1978) for export quantity and value (Rs. crores) realized export from </w:t>
      </w:r>
      <w:r w:rsidRPr="00264C8E">
        <w:rPr>
          <w:rFonts w:ascii="Times New Roman" w:eastAsia="Times New Roman" w:hAnsi="Times New Roman" w:cs="Times New Roman"/>
          <w:sz w:val="24"/>
          <w:szCs w:val="24"/>
          <w:lang w:eastAsia="en-IN"/>
        </w:rPr>
        <w:t xml:space="preserve">2004 to 2023 </w:t>
      </w:r>
      <w:r w:rsidRPr="00264C8E">
        <w:rPr>
          <w:rFonts w:ascii="Times New Roman" w:hAnsi="Times New Roman" w:cs="Times New Roman"/>
          <w:sz w:val="24"/>
          <w:szCs w:val="24"/>
        </w:rPr>
        <w:t>in the study period</w:t>
      </w:r>
      <w:r w:rsidRPr="00264C8E">
        <w:rPr>
          <w:rFonts w:ascii="Times New Roman" w:eastAsia="Times New Roman" w:hAnsi="Times New Roman" w:cs="Times New Roman"/>
          <w:spacing w:val="1"/>
          <w:sz w:val="24"/>
          <w:szCs w:val="24"/>
          <w:lang w:eastAsia="en-IN"/>
        </w:rPr>
        <w:t>.</w:t>
      </w:r>
    </w:p>
    <w:p w14:paraId="728AAB37" w14:textId="77777777" w:rsidR="00BB2316" w:rsidRPr="00264C8E" w:rsidRDefault="00BB2316" w:rsidP="00BB2316">
      <w:pPr>
        <w:spacing w:before="120" w:line="360" w:lineRule="auto"/>
        <w:ind w:firstLine="720"/>
        <w:jc w:val="both"/>
        <w:rPr>
          <w:rFonts w:ascii="Times New Roman" w:eastAsia="Times New Roman" w:hAnsi="Times New Roman" w:cs="Times New Roman"/>
          <w:color w:val="FF0000"/>
          <w:spacing w:val="1"/>
          <w:sz w:val="24"/>
          <w:szCs w:val="24"/>
          <w:lang w:eastAsia="en-IN"/>
        </w:rPr>
      </w:pPr>
      <w:r w:rsidRPr="00264C8E">
        <w:rPr>
          <w:rFonts w:ascii="Times New Roman" w:hAnsi="Times New Roman" w:cs="Times New Roman"/>
          <w:sz w:val="24"/>
          <w:szCs w:val="24"/>
        </w:rPr>
        <w:lastRenderedPageBreak/>
        <w:t xml:space="preserve">Instability is the deviation from the trend. Researchers have applied the coefficient of variation (CV) in various literature to measure instability. An instability index was calculated to examine the extent of instability in export quantity and export value (Rs. Crores) of export of Indian </w:t>
      </w:r>
      <w:r w:rsidR="00CA51B5" w:rsidRPr="00264C8E">
        <w:rPr>
          <w:rFonts w:ascii="Times New Roman" w:hAnsi="Times New Roman" w:cs="Times New Roman"/>
          <w:color w:val="000000"/>
          <w:sz w:val="24"/>
          <w:szCs w:val="24"/>
        </w:rPr>
        <w:t>fresh mangoes</w:t>
      </w:r>
      <w:r w:rsidRPr="00264C8E">
        <w:rPr>
          <w:rFonts w:ascii="Times New Roman" w:hAnsi="Times New Roman" w:cs="Times New Roman"/>
          <w:color w:val="000000"/>
          <w:sz w:val="24"/>
          <w:szCs w:val="24"/>
        </w:rPr>
        <w:t>.  As the coefficient of variation (CV) alone does not explain suitable trend components of the time series data; the instability index was worked out by applying the Cuddy-Della Valle Index (CDVI), a measure of variability suggested by Cuddy and Della (1978), using the formula:</w:t>
      </w:r>
    </w:p>
    <w:p w14:paraId="4CD7625A" w14:textId="77777777" w:rsidR="00BB2316" w:rsidRPr="00264C8E" w:rsidRDefault="00BB2316" w:rsidP="00BB2316">
      <w:pPr>
        <w:spacing w:before="120" w:line="360" w:lineRule="auto"/>
        <w:ind w:firstLine="720"/>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The co-efficient of variation (CV) was used as the measure of instability as under,</w:t>
      </w:r>
    </w:p>
    <w:p w14:paraId="7DE4FCD2" w14:textId="77777777" w:rsidR="00BB2316" w:rsidRPr="00264C8E" w:rsidRDefault="00BB2316" w:rsidP="00BB2316">
      <w:pPr>
        <w:tabs>
          <w:tab w:val="center" w:pos="4513"/>
          <w:tab w:val="left" w:pos="6454"/>
        </w:tabs>
        <w:spacing w:before="120" w:line="360" w:lineRule="auto"/>
        <w:jc w:val="center"/>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 xml:space="preserve">CV (%) = </w:t>
      </w:r>
      <w:r w:rsidRPr="00264C8E">
        <w:rPr>
          <w:rFonts w:ascii="Times New Roman" w:hAnsi="Times New Roman" w:cs="Times New Roman"/>
          <w:sz w:val="24"/>
          <w:szCs w:val="24"/>
        </w:rPr>
        <w:t>(S.D / Mean) × 100</w:t>
      </w:r>
    </w:p>
    <w:p w14:paraId="54C3F43B" w14:textId="77777777" w:rsidR="00BB2316" w:rsidRPr="00264C8E" w:rsidRDefault="00BB2316" w:rsidP="00BB2316">
      <w:pPr>
        <w:spacing w:before="120" w:line="360" w:lineRule="auto"/>
        <w:ind w:firstLine="720"/>
        <w:rPr>
          <w:rFonts w:ascii="Times New Roman" w:hAnsi="Times New Roman" w:cs="Times New Roman"/>
          <w:sz w:val="24"/>
          <w:szCs w:val="24"/>
          <w:lang w:eastAsia="en-IN"/>
        </w:rPr>
      </w:pPr>
      <w:r w:rsidRPr="00264C8E">
        <w:rPr>
          <w:rFonts w:ascii="Times New Roman" w:hAnsi="Times New Roman" w:cs="Times New Roman"/>
          <w:sz w:val="24"/>
          <w:szCs w:val="24"/>
          <w:lang w:eastAsia="en-IN"/>
        </w:rPr>
        <w:t>Instability index was calculated by using the equation given below,</w:t>
      </w:r>
    </w:p>
    <w:p w14:paraId="7C7D63A8" w14:textId="77777777" w:rsidR="00BB2316" w:rsidRPr="00264C8E" w:rsidRDefault="00BB2316" w:rsidP="00BB2316">
      <w:pPr>
        <w:spacing w:before="120" w:line="360" w:lineRule="auto"/>
        <w:ind w:left="720" w:firstLine="720"/>
        <w:rPr>
          <w:rFonts w:ascii="Times New Roman" w:hAnsi="Times New Roman" w:cs="Times New Roman"/>
          <w:sz w:val="24"/>
          <w:szCs w:val="24"/>
        </w:rPr>
      </w:pPr>
      <w:r w:rsidRPr="00264C8E">
        <w:rPr>
          <w:rFonts w:ascii="Times New Roman" w:hAnsi="Times New Roman" w:cs="Times New Roman"/>
          <w:noProof/>
          <w:sz w:val="24"/>
          <w:szCs w:val="24"/>
          <w:lang w:eastAsia="en-IN"/>
        </w:rPr>
        <mc:AlternateContent>
          <mc:Choice Requires="wps">
            <w:drawing>
              <wp:anchor distT="4294967295" distB="4294967295" distL="114300" distR="114300" simplePos="0" relativeHeight="251662336" behindDoc="0" locked="0" layoutInCell="1" allowOverlap="1" wp14:anchorId="27433A1E" wp14:editId="591962DE">
                <wp:simplePos x="0" y="0"/>
                <wp:positionH relativeFrom="column">
                  <wp:posOffset>2532380</wp:posOffset>
                </wp:positionH>
                <wp:positionV relativeFrom="paragraph">
                  <wp:posOffset>8254</wp:posOffset>
                </wp:positionV>
                <wp:extent cx="9563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FEF34C"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4pt,.65pt" to="27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YKzgEAAIEDAAAOAAAAZHJzL2Uyb0RvYy54bWysU8lu2zAQvRfoPxC81/KCBK1gOQen6SVt&#10;DTj9gDFJSUQpDjGkLfvvO6SXpO2tqA7EcJbHN29Gy4fj4MTBULToGzmbTKUwXqG2vmvkj5enDx+l&#10;iAm8BofeNPJkonxYvX+3HENt5tij04YEg/hYj6GRfUqhrqqoejNAnGAwnoMt0gCJr9RVmmBk9MFV&#10;8+n0vhqRdCBUJkb2Pp6DclXw29ao9L1to0nCNZK5pXJSOXf5rFZLqDuC0Ft1oQH/wGIA6/nRG9Qj&#10;JBB7sn9BDVYRRmzTROFQYdtaZUoP3M1s+kc32x6CKb2wODHcZIr/D1Z9O2xIWN3IhRQeBh7RNhHY&#10;rk9ijd6zgEhikXUaQ6w5fe03lDtVR78Nz6h+RuFx3YPvTOH7cgoMMssV1W8l+RIDv7Ybv6LmHNgn&#10;LKIdWxoyJMshjmU2p9tszDEJxc5Pd/eLGU9QXUMV1Ne6QDF9MTiIbDTSWZ9VgxoOzzFlHlBfU7Lb&#10;45N1rkzeeTFm7PmdFOA6XmGVqNRGdFbnvFwRqdutHYkD5DUqX+mPI2/TCPdeF9zegP58sRNYd7aZ&#10;h/MXWbISZ013qE8busrFcy6ELzuZF+ntvVS//jmrXwAAAP//AwBQSwMEFAAGAAgAAAAhAEgNhWHb&#10;AAAABwEAAA8AAABkcnMvZG93bnJldi54bWxMjsFOwzAQRO9I/IO1SFwq6tAU1IY4FQJy64UC4rqN&#10;lyQiXqex2wa+vgsXOI7eaOblq9F16kBDaD0buJ4moIgrb1uuDby+lFcLUCEiW+w8k4EvCrAqzs9y&#10;zKw/8jMdNrFWMsIhQwNNjH2mdagachimvicW9uEHh1HiUGs74FHGXadnSXKrHbYsDw329NBQ9bnZ&#10;OwOhfKNd+T2pJsl7Wnua7R7XT2jM5cV4fwcq0hj/yvCjL+pQiNPW79kG1RlIlwtRjwJSUMJv5ss5&#10;qO1v1kWu//sXJwAAAP//AwBQSwECLQAUAAYACAAAACEAtoM4kv4AAADhAQAAEwAAAAAAAAAAAAAA&#10;AAAAAAAAW0NvbnRlbnRfVHlwZXNdLnhtbFBLAQItABQABgAIAAAAIQA4/SH/1gAAAJQBAAALAAAA&#10;AAAAAAAAAAAAAC8BAABfcmVscy8ucmVsc1BLAQItABQABgAIAAAAIQC5A9YKzgEAAIEDAAAOAAAA&#10;AAAAAAAAAAAAAC4CAABkcnMvZTJvRG9jLnhtbFBLAQItABQABgAIAAAAIQBIDYVh2wAAAAcBAAAP&#10;AAAAAAAAAAAAAAAAACgEAABkcnMvZG93bnJldi54bWxQSwUGAAAAAAQABADzAAAAMAUAAAAA&#10;"/>
            </w:pict>
          </mc:Fallback>
        </mc:AlternateContent>
      </w:r>
      <w:r w:rsidRPr="00264C8E">
        <w:rPr>
          <w:rFonts w:ascii="Times New Roman" w:hAnsi="Times New Roman" w:cs="Times New Roman"/>
          <w:sz w:val="24"/>
          <w:szCs w:val="24"/>
          <w:lang w:eastAsia="en-IN"/>
        </w:rPr>
        <w:t xml:space="preserve">Instability index = CV × </w:t>
      </w:r>
      <w:r w:rsidRPr="00264C8E">
        <w:rPr>
          <w:rFonts w:ascii="Times New Roman" w:hAnsi="Times New Roman" w:cs="Times New Roman"/>
          <w:sz w:val="24"/>
          <w:szCs w:val="24"/>
        </w:rPr>
        <w:fldChar w:fldCharType="begin"/>
      </w:r>
      <w:r w:rsidRPr="00264C8E">
        <w:rPr>
          <w:rFonts w:ascii="Times New Roman" w:hAnsi="Times New Roman" w:cs="Times New Roman"/>
          <w:sz w:val="24"/>
          <w:szCs w:val="24"/>
        </w:rPr>
        <w:instrText xml:space="preserve"> QUOTE </w:instrText>
      </w:r>
      <w:r w:rsidRPr="00264C8E">
        <w:rPr>
          <w:rFonts w:ascii="Times New Roman" w:hAnsi="Times New Roman" w:cs="Times New Roman"/>
          <w:noProof/>
          <w:position w:val="-11"/>
          <w:sz w:val="24"/>
          <w:szCs w:val="24"/>
          <w:lang w:eastAsia="en-IN"/>
        </w:rPr>
        <w:drawing>
          <wp:inline distT="0" distB="0" distL="0" distR="0" wp14:anchorId="3DF2D3E9" wp14:editId="27B875C0">
            <wp:extent cx="103505"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separate"/>
      </w:r>
      <w:r w:rsidRPr="00264C8E">
        <w:rPr>
          <w:rFonts w:ascii="Times New Roman" w:hAnsi="Times New Roman" w:cs="Times New Roman"/>
          <w:noProof/>
          <w:position w:val="-11"/>
          <w:sz w:val="24"/>
          <w:szCs w:val="24"/>
          <w:lang w:eastAsia="en-IN"/>
        </w:rPr>
        <w:drawing>
          <wp:inline distT="0" distB="0" distL="0" distR="0" wp14:anchorId="6A8A1400" wp14:editId="4E2E2841">
            <wp:extent cx="10350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end"/>
      </w:r>
      <w:r w:rsidRPr="00264C8E">
        <w:rPr>
          <w:rFonts w:ascii="Times New Roman" w:hAnsi="Times New Roman" w:cs="Times New Roman"/>
          <w:sz w:val="24"/>
          <w:szCs w:val="24"/>
        </w:rPr>
        <w:t>1- Adjusted R</w:t>
      </w:r>
      <w:r w:rsidRPr="00264C8E">
        <w:rPr>
          <w:rFonts w:ascii="Times New Roman" w:hAnsi="Times New Roman" w:cs="Times New Roman"/>
          <w:sz w:val="24"/>
          <w:szCs w:val="24"/>
          <w:vertAlign w:val="superscript"/>
        </w:rPr>
        <w:t>2</w:t>
      </w:r>
    </w:p>
    <w:p w14:paraId="71651745" w14:textId="77777777" w:rsidR="00BB2316" w:rsidRPr="00264C8E" w:rsidRDefault="00BB2316" w:rsidP="00BB2316">
      <w:pPr>
        <w:spacing w:before="120" w:line="360" w:lineRule="auto"/>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Where, </w:t>
      </w:r>
    </w:p>
    <w:p w14:paraId="4E3A99FE" w14:textId="77777777" w:rsidR="00CA51B5"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rPr>
        <w:t>If the estimated coefficient of the regression equation is insignificant, then the CV is the instability index</w:t>
      </w:r>
      <w:r w:rsidRPr="00264C8E">
        <w:rPr>
          <w:rFonts w:ascii="Times New Roman" w:hAnsi="Times New Roman" w:cs="Times New Roman"/>
          <w:sz w:val="24"/>
          <w:szCs w:val="24"/>
          <w:lang w:eastAsia="en-IN"/>
        </w:rPr>
        <w:t xml:space="preserve">. </w:t>
      </w:r>
    </w:p>
    <w:p w14:paraId="39327CB7" w14:textId="77777777" w:rsidR="00BB2316" w:rsidRPr="00264C8E" w:rsidRDefault="00CA51B5"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  </w:t>
      </w:r>
      <w:r w:rsidR="00BB2316" w:rsidRPr="00264C8E">
        <w:rPr>
          <w:rFonts w:ascii="Times New Roman" w:hAnsi="Times New Roman" w:cs="Times New Roman"/>
          <w:sz w:val="24"/>
          <w:szCs w:val="24"/>
          <w:lang w:eastAsia="en-IN"/>
        </w:rPr>
        <w:t>CV: co-efficient of variation.</w:t>
      </w:r>
    </w:p>
    <w:p w14:paraId="60E75158" w14:textId="77777777" w:rsidR="00BB2316"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sym w:font="Symbol" w:char="F060"/>
      </w:r>
      <w:r w:rsidRPr="00264C8E">
        <w:rPr>
          <w:rFonts w:ascii="Times New Roman" w:hAnsi="Times New Roman" w:cs="Times New Roman"/>
          <w:sz w:val="24"/>
          <w:szCs w:val="24"/>
          <w:lang w:eastAsia="en-IN"/>
        </w:rPr>
        <w:t>R</w:t>
      </w:r>
      <w:r w:rsidRPr="00264C8E">
        <w:rPr>
          <w:rFonts w:ascii="Times New Roman" w:hAnsi="Times New Roman" w:cs="Times New Roman"/>
          <w:sz w:val="24"/>
          <w:szCs w:val="24"/>
          <w:vertAlign w:val="superscript"/>
          <w:lang w:eastAsia="en-IN"/>
        </w:rPr>
        <w:t>2</w:t>
      </w:r>
      <w:r w:rsidRPr="00264C8E">
        <w:rPr>
          <w:rFonts w:ascii="Times New Roman" w:hAnsi="Times New Roman" w:cs="Times New Roman"/>
          <w:sz w:val="24"/>
          <w:szCs w:val="24"/>
          <w:lang w:eastAsia="en-IN"/>
        </w:rPr>
        <w:t xml:space="preserve">: Adjusted coefficient of determination  </w:t>
      </w:r>
    </w:p>
    <w:p w14:paraId="25288725" w14:textId="77777777" w:rsidR="00BB2316" w:rsidRPr="00264C8E" w:rsidRDefault="00BB2316" w:rsidP="00BB2316">
      <w:pPr>
        <w:spacing w:line="360" w:lineRule="auto"/>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The categorization of instability range as follows:</w:t>
      </w:r>
    </w:p>
    <w:p w14:paraId="1ED558AE"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Low instability: 0 &gt; CDVI &lt; 15;</w:t>
      </w:r>
    </w:p>
    <w:p w14:paraId="79B7D490"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 xml:space="preserve">Medium instability: 15 &gt; CDVI &lt; 30; </w:t>
      </w:r>
    </w:p>
    <w:p w14:paraId="1C6291D9" w14:textId="77777777" w:rsidR="00BB2316" w:rsidRPr="00264C8E" w:rsidRDefault="00BB2316" w:rsidP="00751900">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High instability: CDVI &gt;30</w:t>
      </w:r>
    </w:p>
    <w:p w14:paraId="0C81FD4A" w14:textId="77777777" w:rsidR="00D536F8" w:rsidRPr="00264C8E" w:rsidRDefault="00D536F8" w:rsidP="00D536F8">
      <w:pPr>
        <w:pStyle w:val="Body"/>
        <w:spacing w:after="200" w:line="360" w:lineRule="auto"/>
        <w:jc w:val="both"/>
        <w:rPr>
          <w:rFonts w:cs="Times New Roman"/>
          <w:b/>
          <w:bCs/>
          <w:sz w:val="24"/>
          <w:szCs w:val="24"/>
        </w:rPr>
      </w:pPr>
      <w:r w:rsidRPr="00264C8E">
        <w:rPr>
          <w:rFonts w:cs="Times New Roman"/>
          <w:b/>
          <w:bCs/>
          <w:sz w:val="24"/>
          <w:szCs w:val="24"/>
        </w:rPr>
        <w:t>Markov Chain analysis</w:t>
      </w:r>
    </w:p>
    <w:p w14:paraId="71DEAFFC" w14:textId="77777777" w:rsidR="00D536F8" w:rsidRPr="00264C8E" w:rsidRDefault="00D536F8" w:rsidP="00D536F8">
      <w:pPr>
        <w:pStyle w:val="Body"/>
        <w:spacing w:after="200" w:line="360" w:lineRule="auto"/>
        <w:ind w:firstLine="720"/>
        <w:jc w:val="both"/>
        <w:rPr>
          <w:rFonts w:cs="Times New Roman"/>
          <w:sz w:val="24"/>
          <w:szCs w:val="24"/>
        </w:rPr>
      </w:pPr>
      <w:r w:rsidRPr="00264C8E">
        <w:rPr>
          <w:rFonts w:cs="Times New Roman"/>
          <w:sz w:val="24"/>
          <w:szCs w:val="24"/>
          <w:lang w:val="en-US"/>
        </w:rPr>
        <w:t xml:space="preserve">Export data from the period 2013-14 to 2022-23 were utilized to examine the trade direction and the changing patterns of coffee exports and imports. The direction of trade for commodity exports and imports was analyzed using the first-order Markov chain approach. A key component of Markov chain analysis is the estimation of the transitional probability matrix, denoted as P. The elements </w:t>
      </w:r>
      <w:proofErr w:type="spellStart"/>
      <w:r w:rsidRPr="00264C8E">
        <w:rPr>
          <w:rFonts w:cs="Times New Roman"/>
          <w:sz w:val="24"/>
          <w:szCs w:val="24"/>
          <w:lang w:val="en-US"/>
        </w:rPr>
        <w:t>P</w:t>
      </w:r>
      <w:r w:rsidRPr="00264C8E">
        <w:rPr>
          <w:rFonts w:cs="Times New Roman"/>
          <w:sz w:val="24"/>
          <w:szCs w:val="24"/>
          <w:vertAlign w:val="subscript"/>
          <w:lang w:val="en-US"/>
        </w:rPr>
        <w:t>ij</w:t>
      </w:r>
      <w:proofErr w:type="spellEnd"/>
      <w:r w:rsidRPr="00264C8E">
        <w:rPr>
          <w:rFonts w:cs="Times New Roman"/>
          <w:sz w:val="24"/>
          <w:szCs w:val="24"/>
          <w:lang w:val="en-US"/>
        </w:rPr>
        <w:t xml:space="preserve"> within matrix P represent the probability that exports will shift from country </w:t>
      </w:r>
      <w:proofErr w:type="spellStart"/>
      <w:r w:rsidRPr="00264C8E">
        <w:rPr>
          <w:rFonts w:cs="Times New Roman"/>
          <w:sz w:val="24"/>
          <w:szCs w:val="24"/>
          <w:lang w:val="en-US"/>
        </w:rPr>
        <w:t>i</w:t>
      </w:r>
      <w:proofErr w:type="spellEnd"/>
      <w:r w:rsidRPr="00264C8E">
        <w:rPr>
          <w:rFonts w:cs="Times New Roman"/>
          <w:sz w:val="24"/>
          <w:szCs w:val="24"/>
          <w:lang w:val="en-US"/>
        </w:rPr>
        <w:t xml:space="preserve"> to country j over time. The diagonal elements of this matrix measure the likelihood that a country will retain its export share, providing insight into an importing country</w:t>
      </w:r>
      <w:r w:rsidRPr="00264C8E">
        <w:rPr>
          <w:rFonts w:cs="Times New Roman"/>
          <w:sz w:val="24"/>
          <w:szCs w:val="24"/>
          <w:rtl/>
          <w:cs/>
        </w:rPr>
        <w:t>’</w:t>
      </w:r>
      <w:r w:rsidRPr="00264C8E">
        <w:rPr>
          <w:rFonts w:cs="Times New Roman"/>
          <w:sz w:val="24"/>
          <w:szCs w:val="24"/>
          <w:lang w:val="en-US"/>
        </w:rPr>
        <w:t xml:space="preserve">s loyalty to a specific exporter. In this analysis, structural changes were considered a random process involving selected importing countries. The average exports to a particular country were treated as a random variable that depends solely on the historical exports to that </w:t>
      </w:r>
      <w:r w:rsidRPr="00264C8E">
        <w:rPr>
          <w:rFonts w:cs="Times New Roman"/>
          <w:sz w:val="24"/>
          <w:szCs w:val="24"/>
          <w:lang w:val="en-US"/>
        </w:rPr>
        <w:lastRenderedPageBreak/>
        <w:t xml:space="preserve">country, which can be expressed algebraically as </w:t>
      </w:r>
    </w:p>
    <w:p w14:paraId="071247EB" w14:textId="77777777" w:rsidR="00D536F8" w:rsidRPr="00264C8E" w:rsidRDefault="00D536F8" w:rsidP="00751900">
      <w:pPr>
        <w:pStyle w:val="Body"/>
        <w:spacing w:after="120"/>
        <w:jc w:val="center"/>
        <w:rPr>
          <w:rFonts w:cs="Times New Roman"/>
          <w:sz w:val="24"/>
          <w:szCs w:val="24"/>
        </w:rPr>
      </w:pPr>
      <w:r w:rsidRPr="00264C8E">
        <w:rPr>
          <w:rFonts w:cs="Times New Roman"/>
          <w:sz w:val="24"/>
          <w:szCs w:val="24"/>
          <w:vertAlign w:val="superscript"/>
          <w:lang w:val="pt-PT"/>
        </w:rPr>
        <w:t>r</w:t>
      </w:r>
      <w:r w:rsidRPr="00264C8E">
        <w:rPr>
          <w:rFonts w:cs="Times New Roman"/>
          <w:sz w:val="24"/>
          <w:szCs w:val="24"/>
          <w:lang w:val="pt-PT"/>
        </w:rPr>
        <w:t>E</w:t>
      </w:r>
      <w:r w:rsidRPr="00264C8E">
        <w:rPr>
          <w:rFonts w:cs="Times New Roman"/>
          <w:sz w:val="24"/>
          <w:szCs w:val="24"/>
          <w:vertAlign w:val="subscript"/>
          <w:lang w:val="pt-PT"/>
        </w:rPr>
        <w:t>jt</w:t>
      </w:r>
      <w:r w:rsidRPr="00264C8E">
        <w:rPr>
          <w:rFonts w:cs="Times New Roman"/>
          <w:sz w:val="24"/>
          <w:szCs w:val="24"/>
          <w:lang w:val="pt-PT"/>
        </w:rPr>
        <w:t xml:space="preserve"> = </w:t>
      </w:r>
      <w:r w:rsidRPr="00264C8E">
        <w:rPr>
          <w:rFonts w:cs="Times New Roman"/>
          <w:sz w:val="24"/>
          <w:szCs w:val="24"/>
        </w:rPr>
        <w:t>Σ</w:t>
      </w:r>
      <w:r w:rsidR="00751900" w:rsidRPr="00264C8E">
        <w:rPr>
          <w:rFonts w:cs="Times New Roman"/>
          <w:sz w:val="24"/>
          <w:szCs w:val="24"/>
        </w:rPr>
        <w:t xml:space="preserve"> </w:t>
      </w:r>
      <w:r w:rsidRPr="00264C8E">
        <w:rPr>
          <w:rFonts w:cs="Times New Roman"/>
          <w:sz w:val="24"/>
          <w:szCs w:val="24"/>
          <w:lang w:val="pt-PT"/>
        </w:rPr>
        <w:t>E</w:t>
      </w:r>
      <w:r w:rsidRPr="00264C8E">
        <w:rPr>
          <w:rFonts w:cs="Times New Roman"/>
          <w:sz w:val="24"/>
          <w:szCs w:val="24"/>
          <w:vertAlign w:val="subscript"/>
          <w:lang w:val="pt-PT"/>
        </w:rPr>
        <w:t>it</w:t>
      </w:r>
      <w:r w:rsidRPr="00264C8E">
        <w:rPr>
          <w:rFonts w:cs="Times New Roman"/>
          <w:sz w:val="24"/>
          <w:szCs w:val="24"/>
          <w:lang w:val="pt-PT"/>
        </w:rPr>
        <w:t>−1*P</w:t>
      </w:r>
      <w:r w:rsidRPr="00264C8E">
        <w:rPr>
          <w:rFonts w:cs="Times New Roman"/>
          <w:sz w:val="24"/>
          <w:szCs w:val="24"/>
          <w:vertAlign w:val="subscript"/>
          <w:lang w:val="pt-PT"/>
        </w:rPr>
        <w:t>ij</w:t>
      </w:r>
      <w:r w:rsidRPr="00264C8E">
        <w:rPr>
          <w:rFonts w:cs="Times New Roman"/>
          <w:sz w:val="24"/>
          <w:szCs w:val="24"/>
          <w:lang w:val="pt-PT"/>
        </w:rPr>
        <w:t>+e</w:t>
      </w:r>
      <w:r w:rsidRPr="00264C8E">
        <w:rPr>
          <w:rFonts w:cs="Times New Roman"/>
          <w:sz w:val="24"/>
          <w:szCs w:val="24"/>
          <w:vertAlign w:val="subscript"/>
          <w:lang w:val="pt-PT"/>
        </w:rPr>
        <w:t>jt</w:t>
      </w:r>
    </w:p>
    <w:p w14:paraId="635DAF1A" w14:textId="77777777" w:rsidR="00D536F8" w:rsidRPr="00264C8E" w:rsidRDefault="00751900" w:rsidP="00751900">
      <w:pPr>
        <w:pStyle w:val="Body"/>
        <w:spacing w:after="120"/>
        <w:jc w:val="both"/>
        <w:rPr>
          <w:rFonts w:cs="Times New Roman"/>
          <w:sz w:val="24"/>
          <w:szCs w:val="24"/>
        </w:rPr>
      </w:pPr>
      <w:r w:rsidRPr="00264C8E">
        <w:rPr>
          <w:rFonts w:cs="Times New Roman"/>
          <w:sz w:val="24"/>
          <w:szCs w:val="24"/>
          <w:lang w:val="pt-PT"/>
        </w:rPr>
        <w:t xml:space="preserve">                                                                     </w:t>
      </w:r>
      <w:r w:rsidR="00D536F8" w:rsidRPr="00264C8E">
        <w:rPr>
          <w:rFonts w:cs="Times New Roman"/>
          <w:sz w:val="24"/>
          <w:szCs w:val="24"/>
          <w:lang w:val="pt-PT"/>
        </w:rPr>
        <w:t>i=1</w:t>
      </w:r>
    </w:p>
    <w:p w14:paraId="1C136325"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Where,</w:t>
      </w:r>
    </w:p>
    <w:p w14:paraId="2ECF4F18"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jt</w:t>
      </w:r>
      <w:r w:rsidRPr="00264C8E">
        <w:rPr>
          <w:rFonts w:cs="Times New Roman"/>
          <w:sz w:val="24"/>
          <w:szCs w:val="24"/>
          <w:lang w:val="en-US"/>
        </w:rPr>
        <w:t xml:space="preserve"> - Exports from India to </w:t>
      </w:r>
      <w:proofErr w:type="spellStart"/>
      <w:r w:rsidRPr="00264C8E">
        <w:rPr>
          <w:rFonts w:cs="Times New Roman"/>
          <w:sz w:val="24"/>
          <w:szCs w:val="24"/>
          <w:lang w:val="en-US"/>
        </w:rPr>
        <w:t>j</w:t>
      </w:r>
      <w:r w:rsidRPr="00264C8E">
        <w:rPr>
          <w:rFonts w:cs="Times New Roman"/>
          <w:sz w:val="24"/>
          <w:szCs w:val="24"/>
          <w:vertAlign w:val="superscript"/>
          <w:lang w:val="en-US"/>
        </w:rPr>
        <w:t>th</w:t>
      </w:r>
      <w:proofErr w:type="spellEnd"/>
      <w:r w:rsidRPr="00264C8E">
        <w:rPr>
          <w:rFonts w:cs="Times New Roman"/>
          <w:sz w:val="24"/>
          <w:szCs w:val="24"/>
          <w:lang w:val="en-US"/>
        </w:rPr>
        <w:t xml:space="preserve"> country during the year t.</w:t>
      </w:r>
    </w:p>
    <w:p w14:paraId="621A1E96"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it</w:t>
      </w:r>
      <w:r w:rsidRPr="00264C8E">
        <w:rPr>
          <w:rFonts w:cs="Times New Roman"/>
          <w:sz w:val="24"/>
          <w:szCs w:val="24"/>
          <w:lang w:val="en-US"/>
        </w:rPr>
        <w:t xml:space="preserve">-1 - Exports to </w:t>
      </w:r>
      <w:proofErr w:type="spellStart"/>
      <w:r w:rsidRPr="00264C8E">
        <w:rPr>
          <w:rFonts w:cs="Times New Roman"/>
          <w:sz w:val="24"/>
          <w:szCs w:val="24"/>
          <w:lang w:val="en-US"/>
        </w:rPr>
        <w:t>i</w:t>
      </w:r>
      <w:r w:rsidRPr="00264C8E">
        <w:rPr>
          <w:rFonts w:cs="Times New Roman"/>
          <w:sz w:val="24"/>
          <w:szCs w:val="24"/>
          <w:vertAlign w:val="superscript"/>
          <w:lang w:val="en-US"/>
        </w:rPr>
        <w:t>th</w:t>
      </w:r>
      <w:proofErr w:type="spellEnd"/>
      <w:r w:rsidRPr="00264C8E">
        <w:rPr>
          <w:rFonts w:cs="Times New Roman"/>
          <w:sz w:val="24"/>
          <w:szCs w:val="24"/>
          <w:lang w:val="en-US"/>
        </w:rPr>
        <w:t xml:space="preserve"> country during the period t-1</w:t>
      </w:r>
    </w:p>
    <w:p w14:paraId="1F145CA7"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P</w:t>
      </w:r>
      <w:r w:rsidRPr="00264C8E">
        <w:rPr>
          <w:rFonts w:cs="Times New Roman"/>
          <w:sz w:val="24"/>
          <w:szCs w:val="24"/>
          <w:vertAlign w:val="subscript"/>
          <w:lang w:val="nl-NL"/>
        </w:rPr>
        <w:t xml:space="preserve">ij </w:t>
      </w:r>
      <w:r w:rsidRPr="00264C8E">
        <w:rPr>
          <w:rFonts w:cs="Times New Roman"/>
          <w:sz w:val="24"/>
          <w:szCs w:val="24"/>
          <w:lang w:val="en-US"/>
        </w:rPr>
        <w:t xml:space="preserve">- Probability that the exports will shift from </w:t>
      </w:r>
      <w:proofErr w:type="spellStart"/>
      <w:r w:rsidRPr="00264C8E">
        <w:rPr>
          <w:rFonts w:cs="Times New Roman"/>
          <w:sz w:val="24"/>
          <w:szCs w:val="24"/>
          <w:lang w:val="en-US"/>
        </w:rPr>
        <w:t>i</w:t>
      </w:r>
      <w:r w:rsidRPr="00264C8E">
        <w:rPr>
          <w:rFonts w:cs="Times New Roman"/>
          <w:sz w:val="24"/>
          <w:szCs w:val="24"/>
          <w:vertAlign w:val="subscript"/>
          <w:lang w:val="en-US"/>
        </w:rPr>
        <w:t>th</w:t>
      </w:r>
      <w:proofErr w:type="spellEnd"/>
      <w:r w:rsidRPr="00264C8E">
        <w:rPr>
          <w:rFonts w:cs="Times New Roman"/>
          <w:sz w:val="24"/>
          <w:szCs w:val="24"/>
          <w:lang w:val="en-US"/>
        </w:rPr>
        <w:t xml:space="preserve"> country to </w:t>
      </w:r>
      <w:proofErr w:type="spellStart"/>
      <w:r w:rsidRPr="00264C8E">
        <w:rPr>
          <w:rFonts w:cs="Times New Roman"/>
          <w:sz w:val="24"/>
          <w:szCs w:val="24"/>
          <w:lang w:val="en-US"/>
        </w:rPr>
        <w:t>j</w:t>
      </w:r>
      <w:r w:rsidRPr="00264C8E">
        <w:rPr>
          <w:rFonts w:cs="Times New Roman"/>
          <w:sz w:val="24"/>
          <w:szCs w:val="24"/>
          <w:vertAlign w:val="subscript"/>
          <w:lang w:val="en-US"/>
        </w:rPr>
        <w:t>th</w:t>
      </w:r>
      <w:proofErr w:type="spellEnd"/>
      <w:r w:rsidRPr="00264C8E">
        <w:rPr>
          <w:rFonts w:cs="Times New Roman"/>
          <w:sz w:val="24"/>
          <w:szCs w:val="24"/>
          <w:lang w:val="en-US"/>
        </w:rPr>
        <w:t xml:space="preserve"> country.</w:t>
      </w:r>
    </w:p>
    <w:p w14:paraId="6B332551"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 xml:space="preserve">jt </w:t>
      </w:r>
      <w:r w:rsidRPr="00264C8E">
        <w:rPr>
          <w:rFonts w:cs="Times New Roman"/>
          <w:sz w:val="24"/>
          <w:szCs w:val="24"/>
          <w:lang w:val="en-US"/>
        </w:rPr>
        <w:t>- The error term which is statistically independent of E</w:t>
      </w:r>
      <w:r w:rsidRPr="00264C8E">
        <w:rPr>
          <w:rFonts w:cs="Times New Roman"/>
          <w:sz w:val="24"/>
          <w:szCs w:val="24"/>
          <w:vertAlign w:val="subscript"/>
        </w:rPr>
        <w:t>it</w:t>
      </w:r>
      <w:r w:rsidRPr="00264C8E">
        <w:rPr>
          <w:rFonts w:cs="Times New Roman"/>
          <w:sz w:val="24"/>
          <w:szCs w:val="24"/>
        </w:rPr>
        <w:t>-1.</w:t>
      </w:r>
    </w:p>
    <w:p w14:paraId="242B8C8A"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t - Number of years considered for the analysis</w:t>
      </w:r>
    </w:p>
    <w:p w14:paraId="35BB4434"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r - Number of importing countries</w:t>
      </w:r>
    </w:p>
    <w:p w14:paraId="6C344FF6"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 xml:space="preserve">The transitional probabilities </w:t>
      </w:r>
      <w:proofErr w:type="spellStart"/>
      <w:r w:rsidRPr="00264C8E">
        <w:rPr>
          <w:rFonts w:cs="Times New Roman"/>
          <w:sz w:val="24"/>
          <w:szCs w:val="24"/>
          <w:lang w:val="en-US"/>
        </w:rPr>
        <w:t>P</w:t>
      </w:r>
      <w:r w:rsidRPr="00264C8E">
        <w:rPr>
          <w:rFonts w:cs="Times New Roman"/>
          <w:sz w:val="24"/>
          <w:szCs w:val="24"/>
          <w:vertAlign w:val="subscript"/>
          <w:lang w:val="en-US"/>
        </w:rPr>
        <w:t>ij</w:t>
      </w:r>
      <w:proofErr w:type="spellEnd"/>
      <w:r w:rsidRPr="00264C8E">
        <w:rPr>
          <w:rFonts w:cs="Times New Roman"/>
          <w:sz w:val="24"/>
          <w:szCs w:val="24"/>
          <w:vertAlign w:val="subscript"/>
          <w:lang w:val="en-US"/>
        </w:rPr>
        <w:t xml:space="preserve"> </w:t>
      </w:r>
      <w:r w:rsidRPr="00264C8E">
        <w:rPr>
          <w:rFonts w:cs="Times New Roman"/>
          <w:sz w:val="24"/>
          <w:szCs w:val="24"/>
          <w:lang w:val="en-US"/>
        </w:rPr>
        <w:t>which can be arranged in a (c* r) matrix have the following properties.</w:t>
      </w:r>
    </w:p>
    <w:p w14:paraId="2DEC7EBD"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pt-PT"/>
        </w:rPr>
        <w:t xml:space="preserve">O </w:t>
      </w:r>
      <w:r w:rsidRPr="00264C8E">
        <w:rPr>
          <w:rFonts w:cs="Times New Roman"/>
          <w:sz w:val="24"/>
          <w:szCs w:val="24"/>
        </w:rPr>
        <w:t>≤ P</w:t>
      </w:r>
      <w:r w:rsidRPr="00264C8E">
        <w:rPr>
          <w:rFonts w:cs="Times New Roman"/>
          <w:sz w:val="24"/>
          <w:szCs w:val="24"/>
          <w:vertAlign w:val="subscript"/>
          <w:lang w:val="nl-NL"/>
        </w:rPr>
        <w:t xml:space="preserve">ij </w:t>
      </w:r>
      <w:r w:rsidRPr="00264C8E">
        <w:rPr>
          <w:rFonts w:cs="Times New Roman"/>
          <w:sz w:val="24"/>
          <w:szCs w:val="24"/>
        </w:rPr>
        <w:t>≤ 1</w:t>
      </w:r>
    </w:p>
    <w:p w14:paraId="64C6E190" w14:textId="77777777" w:rsidR="00D536F8" w:rsidRPr="00264C8E" w:rsidRDefault="00D536F8" w:rsidP="00751900">
      <w:pPr>
        <w:pStyle w:val="Body"/>
        <w:spacing w:after="120"/>
        <w:ind w:left="720"/>
        <w:jc w:val="both"/>
        <w:rPr>
          <w:rFonts w:cs="Times New Roman"/>
          <w:sz w:val="24"/>
          <w:szCs w:val="24"/>
        </w:rPr>
      </w:pPr>
      <w:r w:rsidRPr="00264C8E">
        <w:rPr>
          <w:rFonts w:cs="Times New Roman"/>
          <w:sz w:val="24"/>
          <w:szCs w:val="24"/>
        </w:rPr>
        <w:t>ΣP</w:t>
      </w:r>
      <w:r w:rsidRPr="00264C8E">
        <w:rPr>
          <w:rFonts w:cs="Times New Roman"/>
          <w:sz w:val="24"/>
          <w:szCs w:val="24"/>
          <w:vertAlign w:val="subscript"/>
        </w:rPr>
        <w:t>ij</w:t>
      </w:r>
      <w:r w:rsidRPr="00264C8E">
        <w:rPr>
          <w:rFonts w:cs="Times New Roman"/>
          <w:sz w:val="24"/>
          <w:szCs w:val="24"/>
          <w:lang w:val="en-US"/>
        </w:rPr>
        <w:t xml:space="preserve"> =1 for all </w:t>
      </w:r>
      <w:proofErr w:type="spellStart"/>
      <w:r w:rsidRPr="00264C8E">
        <w:rPr>
          <w:rFonts w:cs="Times New Roman"/>
          <w:sz w:val="24"/>
          <w:szCs w:val="24"/>
          <w:lang w:val="en-US"/>
        </w:rPr>
        <w:t>i</w:t>
      </w:r>
      <w:proofErr w:type="spellEnd"/>
    </w:p>
    <w:p w14:paraId="3CC84766" w14:textId="77777777" w:rsidR="00D536F8" w:rsidRPr="00264C8E" w:rsidRDefault="00D536F8" w:rsidP="00751900">
      <w:pPr>
        <w:pStyle w:val="Body"/>
        <w:spacing w:after="200"/>
        <w:ind w:left="720"/>
        <w:jc w:val="both"/>
        <w:rPr>
          <w:rFonts w:cs="Times New Roman"/>
          <w:sz w:val="24"/>
          <w:szCs w:val="24"/>
        </w:rPr>
      </w:pPr>
      <w:r w:rsidRPr="00264C8E">
        <w:rPr>
          <w:rFonts w:cs="Times New Roman"/>
          <w:sz w:val="24"/>
          <w:szCs w:val="24"/>
        </w:rPr>
        <w:t>i=1</w:t>
      </w:r>
    </w:p>
    <w:p w14:paraId="6A67F815" w14:textId="77777777" w:rsidR="00D536F8" w:rsidRPr="00264C8E" w:rsidRDefault="00751900"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 xml:space="preserve">The expected export shares for each country during period </w:t>
      </w:r>
      <w:r w:rsidR="00D536F8" w:rsidRPr="00264C8E">
        <w:rPr>
          <w:rFonts w:cs="Times New Roman"/>
          <w:sz w:val="24"/>
          <w:szCs w:val="24"/>
          <w:rtl/>
          <w:cs/>
        </w:rPr>
        <w:t>‘</w:t>
      </w:r>
      <w:r w:rsidR="00D536F8" w:rsidRPr="00264C8E">
        <w:rPr>
          <w:rFonts w:cs="Times New Roman"/>
          <w:sz w:val="24"/>
          <w:szCs w:val="24"/>
        </w:rPr>
        <w:t>t</w:t>
      </w:r>
      <w:r w:rsidR="00D536F8" w:rsidRPr="00264C8E">
        <w:rPr>
          <w:rFonts w:cs="Times New Roman"/>
          <w:sz w:val="24"/>
          <w:szCs w:val="24"/>
          <w:rtl/>
          <w:cs/>
        </w:rPr>
        <w:t xml:space="preserve">’ </w:t>
      </w:r>
      <w:r w:rsidR="00D536F8" w:rsidRPr="00264C8E">
        <w:rPr>
          <w:rFonts w:cs="Times New Roman"/>
          <w:sz w:val="24"/>
          <w:szCs w:val="24"/>
          <w:lang w:val="en-US"/>
        </w:rPr>
        <w:t>were calculated by multiplying the exports to these countries in the previous period (t-1) by the transitional probability matrix. To estimate the transitional probabilities in the Markov chain model, the Minimum Absolute Deviations (MAD) estimation method was used, which minimizes the sum of absolute deviations. This was achieved through a conventional linear programming approach, ensuring that the estimates met the requirements of non-negativity restrictions and row sum constraints inherent in transitional probabilities.</w:t>
      </w:r>
    </w:p>
    <w:p w14:paraId="31A52A4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The linear programming formulation is stated as</w:t>
      </w:r>
    </w:p>
    <w:p w14:paraId="2853A7CE"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Min OP*+Ie</w:t>
      </w:r>
    </w:p>
    <w:p w14:paraId="2C5964A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Subject to,</w:t>
      </w:r>
    </w:p>
    <w:p w14:paraId="7C7713D6"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XP*+V=Y</w:t>
      </w:r>
    </w:p>
    <w:p w14:paraId="7F40E948"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GP*=1</w:t>
      </w:r>
    </w:p>
    <w:p w14:paraId="784268C3"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Where,</w:t>
      </w:r>
    </w:p>
    <w:p w14:paraId="26B9F98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O is the vector of zeroes.</w:t>
      </w:r>
    </w:p>
    <w:p w14:paraId="47A761A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lastRenderedPageBreak/>
        <w:t xml:space="preserve">P* is the vector in which probability </w:t>
      </w:r>
      <w:proofErr w:type="spellStart"/>
      <w:r w:rsidRPr="00264C8E">
        <w:rPr>
          <w:rFonts w:cs="Times New Roman"/>
          <w:sz w:val="24"/>
          <w:szCs w:val="24"/>
          <w:lang w:val="en-US"/>
        </w:rPr>
        <w:t>Pij</w:t>
      </w:r>
      <w:proofErr w:type="spellEnd"/>
      <w:r w:rsidRPr="00264C8E">
        <w:rPr>
          <w:rFonts w:cs="Times New Roman"/>
          <w:sz w:val="24"/>
          <w:szCs w:val="24"/>
          <w:lang w:val="en-US"/>
        </w:rPr>
        <w:t xml:space="preserve"> are arranged.</w:t>
      </w:r>
    </w:p>
    <w:p w14:paraId="7B5B0050"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 xml:space="preserve">I </w:t>
      </w:r>
      <w:proofErr w:type="gramStart"/>
      <w:r w:rsidRPr="00264C8E">
        <w:rPr>
          <w:rFonts w:cs="Times New Roman"/>
          <w:sz w:val="24"/>
          <w:szCs w:val="24"/>
          <w:lang w:val="en-US"/>
        </w:rPr>
        <w:t>is</w:t>
      </w:r>
      <w:proofErr w:type="gramEnd"/>
      <w:r w:rsidRPr="00264C8E">
        <w:rPr>
          <w:rFonts w:cs="Times New Roman"/>
          <w:sz w:val="24"/>
          <w:szCs w:val="24"/>
          <w:lang w:val="en-US"/>
        </w:rPr>
        <w:t xml:space="preserve"> an apparently dimensioned vector of area.</w:t>
      </w:r>
    </w:p>
    <w:p w14:paraId="6D27EE6D" w14:textId="77777777" w:rsidR="00D536F8" w:rsidRPr="00264C8E" w:rsidRDefault="00EB4024" w:rsidP="00D536F8">
      <w:pPr>
        <w:pStyle w:val="Body"/>
        <w:spacing w:after="200"/>
        <w:ind w:left="720"/>
        <w:jc w:val="both"/>
        <w:rPr>
          <w:rFonts w:cs="Times New Roman"/>
          <w:sz w:val="24"/>
          <w:szCs w:val="24"/>
        </w:rPr>
      </w:pPr>
      <w:r w:rsidRPr="00264C8E">
        <w:rPr>
          <w:rFonts w:cs="Times New Roman"/>
          <w:sz w:val="24"/>
          <w:szCs w:val="24"/>
          <w:lang w:val="en-US"/>
        </w:rPr>
        <w:t>E is a vector of ab</w:t>
      </w:r>
      <w:r w:rsidR="00D536F8" w:rsidRPr="00264C8E">
        <w:rPr>
          <w:rFonts w:cs="Times New Roman"/>
          <w:sz w:val="24"/>
          <w:szCs w:val="24"/>
          <w:lang w:val="en-US"/>
        </w:rPr>
        <w:t>solute error (1 U 1).</w:t>
      </w:r>
    </w:p>
    <w:p w14:paraId="2FF2C50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Y is the vector of export to each country.</w:t>
      </w:r>
    </w:p>
    <w:p w14:paraId="0F7E94D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X is the block diagonal matrix of lagged values of Y.</w:t>
      </w:r>
    </w:p>
    <w:p w14:paraId="06218F8C"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V is the vector of errors.</w:t>
      </w:r>
    </w:p>
    <w:p w14:paraId="508C963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G is the grouping matrix to add the row elements of P arranged in P* to unity.</w:t>
      </w:r>
    </w:p>
    <w:p w14:paraId="3C6CC50E" w14:textId="77777777" w:rsidR="00D536F8" w:rsidRPr="00264C8E" w:rsidRDefault="004D25BD"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By using the estimated transition probabilities, mango exports to different destinations were forecasted by multiplying these probabilities with the respective shares of the base year. The values within the transition probability matrix have various interpretations: the diagonal elements represent the likelihood of retaining the previous year's export values; the values in each column show the probability of a country gaining export share from other countries; and the values in each row indicate the probability that a country might lose its export share to other countries for a specific commodity.</w:t>
      </w:r>
    </w:p>
    <w:p w14:paraId="33D07F95" w14:textId="77777777" w:rsidR="00D536F8" w:rsidRPr="00264C8E" w:rsidRDefault="00083128" w:rsidP="00AE74F9">
      <w:pPr>
        <w:rPr>
          <w:rFonts w:ascii="Times New Roman" w:hAnsi="Times New Roman" w:cs="Times New Roman"/>
          <w:b/>
          <w:bCs/>
          <w:sz w:val="24"/>
          <w:szCs w:val="24"/>
        </w:rPr>
      </w:pPr>
      <w:r w:rsidRPr="00264C8E">
        <w:rPr>
          <w:rFonts w:ascii="Times New Roman" w:hAnsi="Times New Roman" w:cs="Times New Roman"/>
          <w:b/>
          <w:bCs/>
          <w:sz w:val="24"/>
          <w:szCs w:val="24"/>
        </w:rPr>
        <w:t>Results and Discussion</w:t>
      </w:r>
    </w:p>
    <w:p w14:paraId="60BB3445" w14:textId="77777777"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Trends in fresh Mango exports from India</w:t>
      </w:r>
    </w:p>
    <w:p w14:paraId="08D11D4D" w14:textId="77777777" w:rsidR="00A264B3" w:rsidRPr="00264C8E" w:rsidRDefault="00CA51B5" w:rsidP="00A264B3">
      <w:pPr>
        <w:pStyle w:val="NormalWeb"/>
        <w:spacing w:line="360" w:lineRule="auto"/>
        <w:jc w:val="both"/>
      </w:pPr>
      <w:r w:rsidRPr="00264C8E">
        <w:tab/>
        <w:t xml:space="preserve">The </w:t>
      </w:r>
      <w:r w:rsidRPr="00264C8E">
        <w:rPr>
          <w:rStyle w:val="Strong"/>
          <w:b w:val="0"/>
          <w:bCs w:val="0"/>
        </w:rPr>
        <w:t>Table 1 and Fig. 1</w:t>
      </w:r>
      <w:r w:rsidRPr="00264C8E">
        <w:t xml:space="preserve"> indicated that the trends in </w:t>
      </w:r>
      <w:r w:rsidRPr="00264C8E">
        <w:rPr>
          <w:rStyle w:val="Strong"/>
          <w:b w:val="0"/>
          <w:bCs w:val="0"/>
        </w:rPr>
        <w:t>export quantity (MT)</w:t>
      </w:r>
      <w:r w:rsidRPr="00264C8E">
        <w:t xml:space="preserve"> and </w:t>
      </w:r>
      <w:r w:rsidRPr="00264C8E">
        <w:rPr>
          <w:rStyle w:val="Strong"/>
          <w:b w:val="0"/>
          <w:bCs w:val="0"/>
        </w:rPr>
        <w:t>export value (Rs. crore)</w:t>
      </w:r>
      <w:r w:rsidRPr="00264C8E">
        <w:t xml:space="preserve"> of fresh mangoes from India over a </w:t>
      </w:r>
      <w:r w:rsidRPr="00264C8E">
        <w:rPr>
          <w:rStyle w:val="Strong"/>
          <w:b w:val="0"/>
          <w:bCs w:val="0"/>
        </w:rPr>
        <w:t>20-year period (2004–05 to 2023–24)</w:t>
      </w:r>
      <w:r w:rsidRPr="00264C8E">
        <w:rPr>
          <w:b/>
          <w:bCs/>
        </w:rPr>
        <w:t>.</w:t>
      </w:r>
      <w:r w:rsidR="00A264B3" w:rsidRPr="00264C8E">
        <w:t xml:space="preserve"> </w:t>
      </w:r>
      <w:r w:rsidRPr="00264C8E">
        <w:t xml:space="preserve">The results show that while export </w:t>
      </w:r>
      <w:r w:rsidRPr="00264C8E">
        <w:rPr>
          <w:rStyle w:val="Strong"/>
          <w:b w:val="0"/>
          <w:bCs w:val="0"/>
        </w:rPr>
        <w:t>quantities fluctuated considerably</w:t>
      </w:r>
      <w:r w:rsidRPr="00264C8E">
        <w:t xml:space="preserve">, the </w:t>
      </w:r>
      <w:r w:rsidRPr="00264C8E">
        <w:rPr>
          <w:rStyle w:val="Strong"/>
          <w:b w:val="0"/>
          <w:bCs w:val="0"/>
        </w:rPr>
        <w:t>export value exhibited a strong upward trend</w:t>
      </w:r>
      <w:r w:rsidRPr="00264C8E">
        <w:rPr>
          <w:b/>
          <w:bCs/>
        </w:rPr>
        <w:t>,</w:t>
      </w:r>
      <w:r w:rsidRPr="00264C8E">
        <w:t xml:space="preserve"> indicating improved price realization and growing international demand.</w:t>
      </w:r>
    </w:p>
    <w:p w14:paraId="595DCB78" w14:textId="77777777" w:rsidR="00CE244C" w:rsidRPr="00264C8E" w:rsidRDefault="00A264B3" w:rsidP="00CE244C">
      <w:pPr>
        <w:pStyle w:val="NormalWeb"/>
        <w:spacing w:line="360" w:lineRule="auto"/>
        <w:jc w:val="both"/>
      </w:pPr>
      <w:r w:rsidRPr="00264C8E">
        <w:tab/>
      </w:r>
      <w:r w:rsidR="00CA51B5" w:rsidRPr="00264C8E">
        <w:t xml:space="preserve">During the </w:t>
      </w:r>
      <w:r w:rsidR="00CA51B5" w:rsidRPr="00264C8E">
        <w:rPr>
          <w:rStyle w:val="Strong"/>
          <w:b w:val="0"/>
          <w:bCs w:val="0"/>
        </w:rPr>
        <w:t>initial period (2004–05 to 2008–09</w:t>
      </w:r>
      <w:r w:rsidR="00CA51B5" w:rsidRPr="00264C8E">
        <w:rPr>
          <w:rStyle w:val="Strong"/>
        </w:rPr>
        <w:t>)</w:t>
      </w:r>
      <w:r w:rsidR="00CA51B5" w:rsidRPr="00264C8E">
        <w:t xml:space="preserve">, mango exports showed a rising trend in quantity from </w:t>
      </w:r>
      <w:r w:rsidR="00CA51B5" w:rsidRPr="00264C8E">
        <w:rPr>
          <w:rStyle w:val="Strong"/>
          <w:b w:val="0"/>
          <w:bCs w:val="0"/>
        </w:rPr>
        <w:t>53,480 MT in 2004–05 to 83,703 MT in 2008–09</w:t>
      </w:r>
      <w:r w:rsidR="00CA51B5" w:rsidRPr="00264C8E">
        <w:t xml:space="preserve">, the highest level recorded during the early years of the study. This increase can be attributed to </w:t>
      </w:r>
      <w:r w:rsidR="00CA51B5" w:rsidRPr="00264C8E">
        <w:rPr>
          <w:rStyle w:val="Strong"/>
          <w:b w:val="0"/>
          <w:bCs w:val="0"/>
        </w:rPr>
        <w:t>expansion in export markets, better post-harvest handling, and promotion initiatives by export agencies such as the Agricultural and Processed Food Products Export Development Authority (APEDA)</w:t>
      </w:r>
      <w:r w:rsidR="00CA51B5" w:rsidRPr="00264C8E">
        <w:t xml:space="preserve">. At the same time, export value also increased from </w:t>
      </w:r>
      <w:r w:rsidR="00CA51B5" w:rsidRPr="00264C8E">
        <w:rPr>
          <w:rStyle w:val="Strong"/>
          <w:b w:val="0"/>
          <w:bCs w:val="0"/>
        </w:rPr>
        <w:t>Rs. 89.61 crore to Rs. 170.71 crore</w:t>
      </w:r>
      <w:r w:rsidR="00CA51B5" w:rsidRPr="00264C8E">
        <w:rPr>
          <w:b/>
          <w:bCs/>
        </w:rPr>
        <w:t>,</w:t>
      </w:r>
      <w:r w:rsidR="00CA51B5" w:rsidRPr="00264C8E">
        <w:t xml:space="preserve"> reflecting improved demand in international markets.</w:t>
      </w:r>
      <w:r w:rsidR="00CE244C" w:rsidRPr="00264C8E">
        <w:t xml:space="preserve"> </w:t>
      </w:r>
      <w:r w:rsidR="00CA51B5" w:rsidRPr="00264C8E">
        <w:t xml:space="preserve">However, between </w:t>
      </w:r>
      <w:r w:rsidR="00CA51B5" w:rsidRPr="00264C8E">
        <w:rPr>
          <w:rStyle w:val="Strong"/>
          <w:b w:val="0"/>
          <w:bCs w:val="0"/>
        </w:rPr>
        <w:t>2009–10 and 2015–16</w:t>
      </w:r>
      <w:r w:rsidR="00CA51B5" w:rsidRPr="00264C8E">
        <w:t xml:space="preserve">, export quantity showed a gradual decline, falling to </w:t>
      </w:r>
      <w:r w:rsidR="00CA51B5" w:rsidRPr="00264C8E">
        <w:rPr>
          <w:rStyle w:val="Strong"/>
          <w:b w:val="0"/>
          <w:bCs w:val="0"/>
        </w:rPr>
        <w:t>36,779 MT in 2015–16</w:t>
      </w:r>
      <w:r w:rsidR="00CA51B5" w:rsidRPr="00264C8E">
        <w:rPr>
          <w:b/>
          <w:bCs/>
        </w:rPr>
        <w:t>.</w:t>
      </w:r>
      <w:r w:rsidR="00CE244C" w:rsidRPr="00264C8E">
        <w:t xml:space="preserve"> This decline due to</w:t>
      </w:r>
      <w:r w:rsidR="00CA51B5" w:rsidRPr="00264C8E">
        <w:t xml:space="preserve"> </w:t>
      </w:r>
      <w:r w:rsidR="00CE244C" w:rsidRPr="00264C8E">
        <w:t xml:space="preserve">the </w:t>
      </w:r>
      <w:r w:rsidR="00CA51B5" w:rsidRPr="00264C8E">
        <w:rPr>
          <w:rStyle w:val="Strong"/>
          <w:b w:val="0"/>
          <w:bCs w:val="0"/>
        </w:rPr>
        <w:t xml:space="preserve">fluctuations in domestic production, climatic variability affecting mango yields, pest and disease incidence, and stricter quality and phytosanitary standards imposed by importing </w:t>
      </w:r>
      <w:r w:rsidR="00CA51B5" w:rsidRPr="00264C8E">
        <w:rPr>
          <w:rStyle w:val="Strong"/>
          <w:b w:val="0"/>
          <w:bCs w:val="0"/>
        </w:rPr>
        <w:lastRenderedPageBreak/>
        <w:t>countries</w:t>
      </w:r>
      <w:r w:rsidR="00CA51B5" w:rsidRPr="00264C8E">
        <w:t xml:space="preserve">. Despite the decline in quantity, export value continued to increase steadily, reaching </w:t>
      </w:r>
      <w:r w:rsidR="00CA51B5" w:rsidRPr="00264C8E">
        <w:rPr>
          <w:rStyle w:val="Strong"/>
          <w:b w:val="0"/>
          <w:bCs w:val="0"/>
        </w:rPr>
        <w:t>Rs. 320.64 crore in 2015–16</w:t>
      </w:r>
      <w:r w:rsidR="00CE244C" w:rsidRPr="00264C8E">
        <w:t>, due to the</w:t>
      </w:r>
      <w:r w:rsidR="00CA51B5" w:rsidRPr="00264C8E">
        <w:t xml:space="preserve"> </w:t>
      </w:r>
      <w:r w:rsidR="00CA51B5" w:rsidRPr="00264C8E">
        <w:rPr>
          <w:rStyle w:val="Strong"/>
          <w:b w:val="0"/>
          <w:bCs w:val="0"/>
        </w:rPr>
        <w:t>higher unit export prices and increased demand for premium varieties such as Alphonso and Kesar</w:t>
      </w:r>
      <w:r w:rsidR="00CA51B5" w:rsidRPr="00264C8E">
        <w:t xml:space="preserve"> in global markets.</w:t>
      </w:r>
    </w:p>
    <w:p w14:paraId="7E5392C8" w14:textId="77777777" w:rsidR="00BB2316" w:rsidRPr="00264C8E" w:rsidRDefault="00CA51B5" w:rsidP="0054639B">
      <w:pPr>
        <w:pStyle w:val="NormalWeb"/>
        <w:spacing w:line="360" w:lineRule="auto"/>
        <w:jc w:val="both"/>
        <w:rPr>
          <w:b/>
          <w:bCs/>
        </w:rPr>
      </w:pPr>
      <w:r w:rsidRPr="00264C8E">
        <w:rPr>
          <w:b/>
          <w:bCs/>
          <w:lang w:val="en-US"/>
        </w:rPr>
        <w:t>Table 1</w:t>
      </w:r>
      <w:r w:rsidR="00BB2316" w:rsidRPr="00264C8E">
        <w:rPr>
          <w:b/>
          <w:bCs/>
          <w:lang w:val="en-US"/>
        </w:rPr>
        <w:t xml:space="preserve">: Trends in fresh Mango exports from India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79"/>
        <w:gridCol w:w="3175"/>
        <w:gridCol w:w="3062"/>
      </w:tblGrid>
      <w:tr w:rsidR="00BB2316" w:rsidRPr="00264C8E" w14:paraId="7ED6A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32FAD7"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Year</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CDF16F"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Quantity (MT)</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B3F54E"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Value (Rs. Crore)</w:t>
            </w:r>
          </w:p>
        </w:tc>
      </w:tr>
      <w:tr w:rsidR="00BB2316" w:rsidRPr="00264C8E" w14:paraId="597406AE"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6623D4"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2004-05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7933A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53480.02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0BF35"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89.61</w:t>
            </w:r>
          </w:p>
        </w:tc>
      </w:tr>
      <w:tr w:rsidR="00BB2316" w:rsidRPr="00264C8E" w14:paraId="573F1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31246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2005-06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4EE33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69606.6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70176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128.11</w:t>
            </w:r>
          </w:p>
        </w:tc>
      </w:tr>
      <w:tr w:rsidR="00BB2316" w:rsidRPr="00264C8E" w14:paraId="1677D80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F6C87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2006-07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74375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79060.88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7C0FD3"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141.94</w:t>
            </w:r>
          </w:p>
        </w:tc>
      </w:tr>
      <w:tr w:rsidR="00BB2316" w:rsidRPr="00264C8E" w14:paraId="7B60869F"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A6B41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2007-08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56ED3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54350.8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D7D05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127.42</w:t>
            </w:r>
          </w:p>
        </w:tc>
      </w:tr>
      <w:tr w:rsidR="00BB2316" w:rsidRPr="00264C8E" w14:paraId="7D299F0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1198CFB"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2008-09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423F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83703.18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8C807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170.71</w:t>
            </w:r>
          </w:p>
        </w:tc>
      </w:tr>
      <w:tr w:rsidR="00BB2316" w:rsidRPr="00264C8E" w14:paraId="2ACCDBAD"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C6160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2009-10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46C4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74460.61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F345E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200.54</w:t>
            </w:r>
          </w:p>
        </w:tc>
      </w:tr>
      <w:tr w:rsidR="00BB2316" w:rsidRPr="00264C8E" w14:paraId="1E0FA4D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1436E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2010-11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28AA7C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58863.41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52C30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164.84</w:t>
            </w:r>
          </w:p>
        </w:tc>
      </w:tr>
      <w:tr w:rsidR="00BB2316" w:rsidRPr="00264C8E" w14:paraId="0523943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40E7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2011-12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1BF22D"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63441.29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26875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209.74</w:t>
            </w:r>
          </w:p>
        </w:tc>
      </w:tr>
      <w:tr w:rsidR="00BB2316" w:rsidRPr="00264C8E" w14:paraId="601A1430"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8BF1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2012-13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C7C46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55584.99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C65E3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264.72</w:t>
            </w:r>
          </w:p>
        </w:tc>
      </w:tr>
      <w:tr w:rsidR="00BB2316" w:rsidRPr="00264C8E" w14:paraId="23962FD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8560F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2013-14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E589F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41279.97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6E9D4D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285.43</w:t>
            </w:r>
          </w:p>
        </w:tc>
      </w:tr>
      <w:tr w:rsidR="00BB2316" w:rsidRPr="00264C8E" w14:paraId="5C4A0115"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B623BF"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2014-15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62B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42998.33</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459AA1"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302.54</w:t>
            </w:r>
          </w:p>
        </w:tc>
      </w:tr>
      <w:tr w:rsidR="00BB2316" w:rsidRPr="00264C8E" w14:paraId="774D147C"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18605E"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2015-16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35B2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36779.26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0F416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320.64</w:t>
            </w:r>
          </w:p>
        </w:tc>
      </w:tr>
      <w:tr w:rsidR="00BB2316" w:rsidRPr="00264C8E" w14:paraId="77EE552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17D3D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2016-17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274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52761.00</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777D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443.66</w:t>
            </w:r>
          </w:p>
        </w:tc>
      </w:tr>
      <w:tr w:rsidR="00BB2316" w:rsidRPr="00264C8E" w14:paraId="159BDD5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452996"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2017-18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591B5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49180.48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7B774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382.34</w:t>
            </w:r>
          </w:p>
        </w:tc>
      </w:tr>
      <w:tr w:rsidR="00BB2316" w:rsidRPr="00264C8E" w14:paraId="30DB73C4"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87712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2018-19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0CCC7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46510.22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0DEA2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406.5</w:t>
            </w:r>
          </w:p>
        </w:tc>
      </w:tr>
      <w:tr w:rsidR="00BB2316" w:rsidRPr="00264C8E" w14:paraId="3EF6933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F4EB2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2019-20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ED896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49658.68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BC758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400.21</w:t>
            </w:r>
          </w:p>
        </w:tc>
      </w:tr>
      <w:tr w:rsidR="00BB2316" w:rsidRPr="00264C8E" w14:paraId="3D9DFCC8"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A7B87"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2020-21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E195A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21033.56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36F69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271.88</w:t>
            </w:r>
          </w:p>
        </w:tc>
      </w:tr>
      <w:tr w:rsidR="00BB2316" w:rsidRPr="00264C8E" w14:paraId="797369C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F751E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2021-22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0E158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27872.77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D041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327.45</w:t>
            </w:r>
          </w:p>
        </w:tc>
      </w:tr>
      <w:tr w:rsidR="00BB2316" w:rsidRPr="00264C8E" w14:paraId="47AD937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AD0B2C"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2022-23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926CC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22963.76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63E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378.49</w:t>
            </w:r>
          </w:p>
        </w:tc>
      </w:tr>
      <w:tr w:rsidR="00BB2316" w:rsidRPr="00264C8E" w14:paraId="5909F48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FE5CC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2023-24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39E20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32104.09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A13F66"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495.46</w:t>
            </w:r>
          </w:p>
        </w:tc>
      </w:tr>
    </w:tbl>
    <w:p w14:paraId="6DF61D5E" w14:textId="77777777" w:rsidR="00BB2316" w:rsidRPr="00264C8E" w:rsidRDefault="00BB2316" w:rsidP="00BB2316">
      <w:pPr>
        <w:pStyle w:val="Body"/>
        <w:ind w:left="5" w:hanging="5"/>
        <w:jc w:val="both"/>
        <w:rPr>
          <w:rFonts w:cs="Times New Roman"/>
          <w:sz w:val="24"/>
          <w:szCs w:val="24"/>
        </w:rPr>
      </w:pPr>
    </w:p>
    <w:p w14:paraId="15D18428" w14:textId="77777777" w:rsidR="00BB2316" w:rsidRPr="00264C8E" w:rsidRDefault="008A6320" w:rsidP="00BB2316">
      <w:pPr>
        <w:pStyle w:val="Body"/>
        <w:jc w:val="both"/>
        <w:rPr>
          <w:rFonts w:cs="Times New Roman"/>
          <w:b/>
          <w:bCs/>
          <w:sz w:val="24"/>
          <w:szCs w:val="24"/>
        </w:rPr>
      </w:pPr>
      <w:r w:rsidRPr="00264C8E">
        <w:rPr>
          <w:rFonts w:cs="Times New Roman"/>
          <w:noProof/>
          <w:sz w:val="24"/>
          <w:szCs w:val="24"/>
          <w:lang w:val="en-IN"/>
        </w:rPr>
        <w:drawing>
          <wp:anchor distT="0" distB="0" distL="0" distR="0" simplePos="0" relativeHeight="251659264" behindDoc="1" locked="0" layoutInCell="1" allowOverlap="1" wp14:anchorId="5BCB20CD" wp14:editId="1AB6347D">
            <wp:simplePos x="0" y="0"/>
            <wp:positionH relativeFrom="column">
              <wp:posOffset>10633</wp:posOffset>
            </wp:positionH>
            <wp:positionV relativeFrom="line">
              <wp:posOffset>26906</wp:posOffset>
            </wp:positionV>
            <wp:extent cx="5744210" cy="2942841"/>
            <wp:effectExtent l="0" t="0" r="8890" b="10160"/>
            <wp:wrapNone/>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1C7A051" w14:textId="77777777" w:rsidR="00BB2316" w:rsidRPr="00264C8E" w:rsidRDefault="00BB2316" w:rsidP="00BB2316">
      <w:pPr>
        <w:pStyle w:val="Body"/>
        <w:jc w:val="both"/>
        <w:rPr>
          <w:rFonts w:cs="Times New Roman"/>
          <w:b/>
          <w:bCs/>
          <w:sz w:val="24"/>
          <w:szCs w:val="24"/>
        </w:rPr>
      </w:pPr>
    </w:p>
    <w:p w14:paraId="025DF63B" w14:textId="77777777" w:rsidR="00BB2316" w:rsidRPr="00264C8E" w:rsidRDefault="00BB2316" w:rsidP="00BB2316">
      <w:pPr>
        <w:pStyle w:val="Body"/>
        <w:jc w:val="both"/>
        <w:rPr>
          <w:rFonts w:cs="Times New Roman"/>
          <w:b/>
          <w:bCs/>
          <w:sz w:val="24"/>
          <w:szCs w:val="24"/>
        </w:rPr>
      </w:pPr>
    </w:p>
    <w:p w14:paraId="69BBEEC0" w14:textId="77777777" w:rsidR="00BB2316" w:rsidRPr="00264C8E" w:rsidRDefault="00BB2316" w:rsidP="00BB2316">
      <w:pPr>
        <w:pStyle w:val="Body"/>
        <w:jc w:val="both"/>
        <w:rPr>
          <w:rFonts w:cs="Times New Roman"/>
          <w:b/>
          <w:bCs/>
          <w:sz w:val="24"/>
          <w:szCs w:val="24"/>
        </w:rPr>
      </w:pPr>
    </w:p>
    <w:p w14:paraId="69C33A3B" w14:textId="77777777" w:rsidR="00BB2316" w:rsidRPr="00264C8E" w:rsidRDefault="00BB2316" w:rsidP="00BB2316">
      <w:pPr>
        <w:pStyle w:val="Body"/>
        <w:jc w:val="both"/>
        <w:rPr>
          <w:rFonts w:cs="Times New Roman"/>
          <w:b/>
          <w:bCs/>
          <w:sz w:val="24"/>
          <w:szCs w:val="24"/>
        </w:rPr>
      </w:pPr>
    </w:p>
    <w:p w14:paraId="019DCB4B" w14:textId="77777777" w:rsidR="00BB2316" w:rsidRPr="00264C8E" w:rsidRDefault="00BB2316" w:rsidP="00BB2316">
      <w:pPr>
        <w:pStyle w:val="Body"/>
        <w:jc w:val="both"/>
        <w:rPr>
          <w:rFonts w:cs="Times New Roman"/>
          <w:b/>
          <w:bCs/>
          <w:sz w:val="24"/>
          <w:szCs w:val="24"/>
        </w:rPr>
      </w:pPr>
    </w:p>
    <w:p w14:paraId="1D8CB844" w14:textId="77777777" w:rsidR="00BB2316" w:rsidRPr="00264C8E" w:rsidRDefault="00BB2316" w:rsidP="00BB2316">
      <w:pPr>
        <w:pStyle w:val="Body"/>
        <w:jc w:val="both"/>
        <w:rPr>
          <w:rFonts w:cs="Times New Roman"/>
          <w:b/>
          <w:bCs/>
          <w:sz w:val="24"/>
          <w:szCs w:val="24"/>
        </w:rPr>
      </w:pPr>
    </w:p>
    <w:p w14:paraId="3A85CF23" w14:textId="77777777" w:rsidR="00BB2316" w:rsidRPr="00264C8E" w:rsidRDefault="00BB2316" w:rsidP="00BB2316">
      <w:pPr>
        <w:pStyle w:val="Body"/>
        <w:jc w:val="both"/>
        <w:rPr>
          <w:rFonts w:cs="Times New Roman"/>
          <w:b/>
          <w:bCs/>
          <w:sz w:val="24"/>
          <w:szCs w:val="24"/>
        </w:rPr>
      </w:pPr>
    </w:p>
    <w:p w14:paraId="3A684D2A" w14:textId="77777777" w:rsidR="00BB2316" w:rsidRPr="00264C8E" w:rsidRDefault="00BB2316" w:rsidP="00BB2316">
      <w:pPr>
        <w:pStyle w:val="Body"/>
        <w:jc w:val="both"/>
        <w:rPr>
          <w:rFonts w:cs="Times New Roman"/>
          <w:b/>
          <w:bCs/>
          <w:sz w:val="24"/>
          <w:szCs w:val="24"/>
        </w:rPr>
      </w:pPr>
    </w:p>
    <w:p w14:paraId="4E652584" w14:textId="77777777" w:rsidR="00BB2316" w:rsidRPr="00264C8E" w:rsidRDefault="00BB2316" w:rsidP="00BB2316">
      <w:pPr>
        <w:pStyle w:val="Body"/>
        <w:jc w:val="both"/>
        <w:rPr>
          <w:rFonts w:cs="Times New Roman"/>
          <w:sz w:val="24"/>
          <w:szCs w:val="24"/>
        </w:rPr>
      </w:pPr>
    </w:p>
    <w:p w14:paraId="195D09F4" w14:textId="77777777" w:rsidR="00BB2316" w:rsidRPr="00264C8E" w:rsidRDefault="00BB2316" w:rsidP="00BB2316">
      <w:pPr>
        <w:pStyle w:val="Body"/>
        <w:jc w:val="both"/>
        <w:rPr>
          <w:rFonts w:cs="Times New Roman"/>
          <w:sz w:val="24"/>
          <w:szCs w:val="24"/>
        </w:rPr>
      </w:pPr>
    </w:p>
    <w:p w14:paraId="215396AE" w14:textId="77777777" w:rsidR="00CA51B5" w:rsidRPr="00264C8E" w:rsidRDefault="00CA51B5" w:rsidP="00BB2316">
      <w:pPr>
        <w:pStyle w:val="Body"/>
        <w:jc w:val="both"/>
        <w:rPr>
          <w:rFonts w:cs="Times New Roman"/>
          <w:sz w:val="24"/>
          <w:szCs w:val="24"/>
          <w:lang w:val="en-US"/>
        </w:rPr>
      </w:pPr>
    </w:p>
    <w:p w14:paraId="1EC85E2A" w14:textId="77777777" w:rsidR="00CA51B5" w:rsidRPr="00264C8E" w:rsidRDefault="00CA51B5" w:rsidP="00BB2316">
      <w:pPr>
        <w:pStyle w:val="Body"/>
        <w:jc w:val="both"/>
        <w:rPr>
          <w:rFonts w:cs="Times New Roman"/>
          <w:sz w:val="24"/>
          <w:szCs w:val="24"/>
          <w:lang w:val="en-US"/>
        </w:rPr>
      </w:pPr>
    </w:p>
    <w:p w14:paraId="07D139A4" w14:textId="77777777" w:rsidR="00CA51B5" w:rsidRPr="00264C8E" w:rsidRDefault="00CA51B5" w:rsidP="00BB2316">
      <w:pPr>
        <w:pStyle w:val="Body"/>
        <w:jc w:val="both"/>
        <w:rPr>
          <w:rFonts w:cs="Times New Roman"/>
          <w:sz w:val="24"/>
          <w:szCs w:val="24"/>
          <w:lang w:val="en-US"/>
        </w:rPr>
      </w:pPr>
    </w:p>
    <w:p w14:paraId="009D0DE4" w14:textId="77777777" w:rsidR="00CA51B5" w:rsidRPr="00264C8E" w:rsidRDefault="00CA51B5" w:rsidP="00BB2316">
      <w:pPr>
        <w:pStyle w:val="Body"/>
        <w:jc w:val="both"/>
        <w:rPr>
          <w:rFonts w:cs="Times New Roman"/>
          <w:sz w:val="24"/>
          <w:szCs w:val="24"/>
          <w:lang w:val="en-US"/>
        </w:rPr>
      </w:pPr>
    </w:p>
    <w:p w14:paraId="242A97FB" w14:textId="77777777" w:rsidR="00CA51B5" w:rsidRPr="00264C8E" w:rsidRDefault="00CA51B5" w:rsidP="00BB2316">
      <w:pPr>
        <w:pStyle w:val="Body"/>
        <w:jc w:val="both"/>
        <w:rPr>
          <w:rFonts w:cs="Times New Roman"/>
          <w:sz w:val="24"/>
          <w:szCs w:val="24"/>
          <w:lang w:val="en-US"/>
        </w:rPr>
      </w:pPr>
    </w:p>
    <w:p w14:paraId="11153BD9" w14:textId="77777777" w:rsidR="00CA51B5" w:rsidRPr="00264C8E" w:rsidRDefault="00CA51B5" w:rsidP="00BB2316">
      <w:pPr>
        <w:pStyle w:val="Body"/>
        <w:jc w:val="both"/>
        <w:rPr>
          <w:rFonts w:cs="Times New Roman"/>
          <w:sz w:val="24"/>
          <w:szCs w:val="24"/>
          <w:lang w:val="en-US"/>
        </w:rPr>
      </w:pPr>
    </w:p>
    <w:p w14:paraId="76A5B3A1" w14:textId="77777777" w:rsidR="00BB2316" w:rsidRPr="00264C8E" w:rsidRDefault="00BB2316" w:rsidP="009F4624">
      <w:pPr>
        <w:pStyle w:val="Body"/>
        <w:jc w:val="center"/>
        <w:rPr>
          <w:rFonts w:cs="Times New Roman"/>
          <w:b/>
          <w:bCs/>
          <w:sz w:val="24"/>
          <w:szCs w:val="24"/>
        </w:rPr>
      </w:pPr>
      <w:r w:rsidRPr="00264C8E">
        <w:rPr>
          <w:rFonts w:cs="Times New Roman"/>
          <w:b/>
          <w:bCs/>
          <w:sz w:val="24"/>
          <w:szCs w:val="24"/>
          <w:lang w:val="en-US"/>
        </w:rPr>
        <w:t>Fig. 1: Trends in fresh Mango exports from India</w:t>
      </w:r>
    </w:p>
    <w:p w14:paraId="4DE92E19" w14:textId="77777777" w:rsidR="00BB2316" w:rsidRPr="00264C8E" w:rsidRDefault="00BB2316" w:rsidP="00BB2316">
      <w:pPr>
        <w:pStyle w:val="Body"/>
        <w:jc w:val="both"/>
        <w:rPr>
          <w:rFonts w:cs="Times New Roman"/>
          <w:sz w:val="24"/>
          <w:szCs w:val="24"/>
        </w:rPr>
      </w:pPr>
    </w:p>
    <w:p w14:paraId="059A4808" w14:textId="77777777" w:rsidR="0054639B" w:rsidRPr="00264C8E" w:rsidRDefault="0054639B" w:rsidP="0054639B">
      <w:pPr>
        <w:pStyle w:val="NormalWeb"/>
        <w:spacing w:line="360" w:lineRule="auto"/>
        <w:jc w:val="both"/>
      </w:pPr>
      <w:r w:rsidRPr="00264C8E">
        <w:tab/>
        <w:t xml:space="preserve">A temporary recovery in export quantity was observed in </w:t>
      </w:r>
      <w:r w:rsidRPr="00264C8E">
        <w:rPr>
          <w:rStyle w:val="Strong"/>
          <w:b w:val="0"/>
          <w:bCs w:val="0"/>
        </w:rPr>
        <w:t>2016–17 (52,761 MT)</w:t>
      </w:r>
      <w:r w:rsidRPr="00264C8E">
        <w:t xml:space="preserve"> along with a sharp rise in export value to </w:t>
      </w:r>
      <w:r w:rsidRPr="00264C8E">
        <w:rPr>
          <w:rStyle w:val="Strong"/>
          <w:b w:val="0"/>
          <w:bCs w:val="0"/>
        </w:rPr>
        <w:t>Rs. 443.66 crore</w:t>
      </w:r>
      <w:r w:rsidRPr="00264C8E">
        <w:rPr>
          <w:b/>
          <w:bCs/>
        </w:rPr>
        <w:t>.</w:t>
      </w:r>
      <w:r w:rsidRPr="00264C8E">
        <w:t xml:space="preserve"> This improvement could be linked to </w:t>
      </w:r>
      <w:r w:rsidRPr="00264C8E">
        <w:rPr>
          <w:rStyle w:val="Strong"/>
          <w:b w:val="0"/>
          <w:bCs w:val="0"/>
        </w:rPr>
        <w:t>better production conditions and increased access to international markets</w:t>
      </w:r>
      <w:r w:rsidRPr="00264C8E">
        <w:t xml:space="preserve">. However, the most significant decline occurred in </w:t>
      </w:r>
      <w:r w:rsidRPr="00264C8E">
        <w:rPr>
          <w:rStyle w:val="Strong"/>
          <w:b w:val="0"/>
          <w:bCs w:val="0"/>
        </w:rPr>
        <w:t>2020–21</w:t>
      </w:r>
      <w:r w:rsidRPr="00264C8E">
        <w:t xml:space="preserve">, when export quantity dropped drastically to </w:t>
      </w:r>
      <w:r w:rsidRPr="00264C8E">
        <w:rPr>
          <w:rStyle w:val="Strong"/>
          <w:b w:val="0"/>
          <w:bCs w:val="0"/>
        </w:rPr>
        <w:t>21,033 MT</w:t>
      </w:r>
      <w:r w:rsidRPr="00264C8E">
        <w:rPr>
          <w:b/>
          <w:bCs/>
        </w:rPr>
        <w:t>,</w:t>
      </w:r>
      <w:r w:rsidRPr="00264C8E">
        <w:t xml:space="preserve"> mainly due to</w:t>
      </w:r>
      <w:r w:rsidRPr="00264C8E">
        <w:rPr>
          <w:b/>
          <w:bCs/>
        </w:rPr>
        <w:t xml:space="preserve"> </w:t>
      </w:r>
      <w:r w:rsidRPr="00264C8E">
        <w:rPr>
          <w:rStyle w:val="Strong"/>
          <w:b w:val="0"/>
          <w:bCs w:val="0"/>
        </w:rPr>
        <w:t>global trade disruptions, logistics constraints, and reduced air cargo movement during the COVID-19 pandemic</w:t>
      </w:r>
      <w:r w:rsidRPr="00264C8E">
        <w:t>. According to several trade reports, pandemic-related restrictions severely affected the export of perishable commodities such as fruits.</w:t>
      </w:r>
    </w:p>
    <w:p w14:paraId="0ACA114F" w14:textId="77777777" w:rsidR="0054639B" w:rsidRPr="00264C8E" w:rsidRDefault="0054639B" w:rsidP="0054639B">
      <w:pPr>
        <w:pStyle w:val="NormalWeb"/>
        <w:spacing w:line="360" w:lineRule="auto"/>
        <w:jc w:val="both"/>
        <w:rPr>
          <w:b/>
          <w:bCs/>
        </w:rPr>
      </w:pPr>
      <w:r w:rsidRPr="00264C8E">
        <w:tab/>
        <w:t xml:space="preserve">Although export quantity remained relatively low after 2020, export </w:t>
      </w:r>
      <w:r w:rsidRPr="00264C8E">
        <w:rPr>
          <w:rStyle w:val="Strong"/>
          <w:b w:val="0"/>
          <w:bCs w:val="0"/>
        </w:rPr>
        <w:t>value continued to increase</w:t>
      </w:r>
      <w:r w:rsidRPr="00264C8E">
        <w:rPr>
          <w:b/>
          <w:bCs/>
        </w:rPr>
        <w:t>,</w:t>
      </w:r>
      <w:r w:rsidRPr="00264C8E">
        <w:t xml:space="preserve"> reaching </w:t>
      </w:r>
      <w:r w:rsidRPr="00264C8E">
        <w:rPr>
          <w:rStyle w:val="Strong"/>
          <w:b w:val="0"/>
          <w:bCs w:val="0"/>
        </w:rPr>
        <w:t>Rs. 495.46 crore in 2023–24</w:t>
      </w:r>
      <w:r w:rsidRPr="00264C8E">
        <w:rPr>
          <w:b/>
          <w:bCs/>
        </w:rPr>
        <w:t>,</w:t>
      </w:r>
      <w:r w:rsidRPr="00264C8E">
        <w:t xml:space="preserve"> the highest during the study period. This indicates </w:t>
      </w:r>
      <w:r w:rsidRPr="00264C8E">
        <w:rPr>
          <w:rStyle w:val="Strong"/>
          <w:b w:val="0"/>
          <w:bCs w:val="0"/>
        </w:rPr>
        <w:t>strong international demand, better price realization, improvements in quality standards, and expansion of Indian mango exports to high-value markets such as the Middle East, the United Kingdom, the United States, and European countries</w:t>
      </w:r>
      <w:r w:rsidRPr="00264C8E">
        <w:rPr>
          <w:b/>
          <w:bCs/>
        </w:rPr>
        <w:t xml:space="preserve">. </w:t>
      </w:r>
    </w:p>
    <w:p w14:paraId="0506B23C" w14:textId="77777777" w:rsidR="0054639B" w:rsidRPr="00264C8E" w:rsidRDefault="0054639B" w:rsidP="0054639B">
      <w:pPr>
        <w:pStyle w:val="NormalWeb"/>
        <w:spacing w:line="360" w:lineRule="auto"/>
        <w:jc w:val="both"/>
      </w:pPr>
      <w:r w:rsidRPr="00264C8E">
        <w:rPr>
          <w:b/>
          <w:bCs/>
        </w:rPr>
        <w:tab/>
      </w:r>
      <w:r w:rsidRPr="00264C8E">
        <w:t>The analysis indicates that</w:t>
      </w:r>
      <w:r w:rsidRPr="00264C8E">
        <w:rPr>
          <w:b/>
          <w:bCs/>
        </w:rPr>
        <w:t xml:space="preserve"> </w:t>
      </w:r>
      <w:r w:rsidRPr="00264C8E">
        <w:rPr>
          <w:rStyle w:val="Strong"/>
          <w:b w:val="0"/>
          <w:bCs w:val="0"/>
        </w:rPr>
        <w:t>India’s mango export earnings have increased significantly despite fluctuations in export volume</w:t>
      </w:r>
      <w:r w:rsidRPr="00264C8E">
        <w:rPr>
          <w:b/>
          <w:bCs/>
        </w:rPr>
        <w:t xml:space="preserve">. </w:t>
      </w:r>
      <w:r w:rsidRPr="00264C8E">
        <w:t xml:space="preserve">This indicated that the </w:t>
      </w:r>
      <w:r w:rsidRPr="00264C8E">
        <w:rPr>
          <w:rStyle w:val="Strong"/>
          <w:b w:val="0"/>
          <w:bCs w:val="0"/>
        </w:rPr>
        <w:t>improved quality, higher international prices, diversification of export destinations, and better export infrastructure</w:t>
      </w:r>
      <w:r w:rsidRPr="00264C8E">
        <w:t xml:space="preserve"> have contributed to strengthening India’s competitiveness in the global mango market. The results revealed that the importance of </w:t>
      </w:r>
      <w:r w:rsidRPr="00264C8E">
        <w:rPr>
          <w:rStyle w:val="Strong"/>
          <w:b w:val="0"/>
          <w:bCs w:val="0"/>
        </w:rPr>
        <w:t>enhancing supply chain efficiency, maintaining quality standards, and expanding export markets</w:t>
      </w:r>
      <w:r w:rsidRPr="00264C8E">
        <w:t xml:space="preserve"> to further boost India’s fresh mango exports.</w:t>
      </w:r>
    </w:p>
    <w:p w14:paraId="6CF0538D" w14:textId="77777777" w:rsidR="0054639B" w:rsidRPr="00264C8E" w:rsidRDefault="0054639B" w:rsidP="00BB2316">
      <w:pPr>
        <w:pStyle w:val="Body"/>
        <w:jc w:val="both"/>
        <w:rPr>
          <w:rFonts w:cs="Times New Roman"/>
          <w:b/>
          <w:bCs/>
          <w:sz w:val="24"/>
          <w:szCs w:val="24"/>
          <w:lang w:val="en-US"/>
        </w:rPr>
      </w:pPr>
    </w:p>
    <w:p w14:paraId="5AC24B6C" w14:textId="77777777" w:rsidR="00BB2316" w:rsidRPr="00264C8E" w:rsidRDefault="00BB2316" w:rsidP="00BB2316">
      <w:pPr>
        <w:pStyle w:val="Body"/>
        <w:jc w:val="both"/>
        <w:rPr>
          <w:rFonts w:cs="Times New Roman"/>
          <w:b/>
          <w:bCs/>
          <w:sz w:val="24"/>
          <w:szCs w:val="24"/>
          <w:lang w:val="en-US"/>
        </w:rPr>
      </w:pPr>
      <w:r w:rsidRPr="00264C8E">
        <w:rPr>
          <w:rFonts w:cs="Times New Roman"/>
          <w:b/>
          <w:bCs/>
          <w:sz w:val="24"/>
          <w:szCs w:val="24"/>
          <w:lang w:val="en-US"/>
        </w:rPr>
        <w:t xml:space="preserve">Trends in Mango pulp exports from India </w:t>
      </w:r>
    </w:p>
    <w:p w14:paraId="6AD44A2B" w14:textId="77777777" w:rsidR="006C5FD7" w:rsidRPr="00264C8E" w:rsidRDefault="006C5FD7" w:rsidP="00BB2316">
      <w:pPr>
        <w:pStyle w:val="Body"/>
        <w:jc w:val="both"/>
        <w:rPr>
          <w:rFonts w:cs="Times New Roman"/>
          <w:b/>
          <w:bCs/>
          <w:sz w:val="24"/>
          <w:szCs w:val="24"/>
        </w:rPr>
      </w:pPr>
    </w:p>
    <w:p w14:paraId="6D2E4EF3" w14:textId="77777777" w:rsidR="00BB2316" w:rsidRPr="00264C8E" w:rsidRDefault="006C5FD7" w:rsidP="00BB2316">
      <w:pPr>
        <w:pStyle w:val="Body"/>
        <w:spacing w:line="360" w:lineRule="auto"/>
        <w:jc w:val="both"/>
        <w:rPr>
          <w:rFonts w:cs="Times New Roman"/>
          <w:sz w:val="24"/>
          <w:szCs w:val="24"/>
        </w:rPr>
      </w:pPr>
      <w:r w:rsidRPr="00264C8E">
        <w:rPr>
          <w:rFonts w:cs="Times New Roman"/>
          <w:sz w:val="24"/>
          <w:szCs w:val="24"/>
          <w:lang w:val="en-US"/>
        </w:rPr>
        <w:tab/>
      </w:r>
      <w:r w:rsidR="00AF03B0" w:rsidRPr="00264C8E">
        <w:rPr>
          <w:rFonts w:cs="Times New Roman"/>
          <w:sz w:val="24"/>
          <w:szCs w:val="24"/>
          <w:lang w:val="en-US"/>
        </w:rPr>
        <w:t xml:space="preserve">The Table 2 </w:t>
      </w:r>
      <w:r w:rsidR="00BB2316" w:rsidRPr="00264C8E">
        <w:rPr>
          <w:rFonts w:cs="Times New Roman"/>
          <w:sz w:val="24"/>
          <w:szCs w:val="24"/>
          <w:lang w:val="en-US"/>
        </w:rPr>
        <w:t xml:space="preserve">indicates the trends in India's mango pulp exports over a period of two </w:t>
      </w:r>
      <w:r w:rsidR="00BB2316" w:rsidRPr="00264C8E">
        <w:rPr>
          <w:rFonts w:cs="Times New Roman"/>
          <w:sz w:val="24"/>
          <w:szCs w:val="24"/>
          <w:lang w:val="en-US"/>
        </w:rPr>
        <w:lastRenderedPageBreak/>
        <w:t>decades, from 2004-05 to 2023-24. The quantity of mango pulp exported (in metric tons) and the total export value (in crores of rupees). A compound annual growth rate (CAGR) of -2.93 per cent for quantity and 3.34 per cent for value indicates contrasting trends over the years.</w:t>
      </w:r>
    </w:p>
    <w:p w14:paraId="2497BFE2"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From 2004-05 to 2023-24, the quantity of mango pulp exports fluctuated but overall showed a declining trend, decreasing from 95,857 MT in 2004-05 to 60,900 MT in 2023-24. However, during the same period, the export value increased steadily, with some fluctuations, </w:t>
      </w:r>
      <w:proofErr w:type="gramStart"/>
      <w:r w:rsidRPr="00264C8E">
        <w:rPr>
          <w:rFonts w:cs="Times New Roman"/>
          <w:sz w:val="24"/>
          <w:szCs w:val="24"/>
          <w:lang w:val="en-US"/>
        </w:rPr>
        <w:t xml:space="preserve">from  </w:t>
      </w:r>
      <w:r w:rsidRPr="00264C8E">
        <w:rPr>
          <w:rFonts w:cs="Times New Roman"/>
          <w:sz w:val="24"/>
          <w:szCs w:val="24"/>
        </w:rPr>
        <w:t>₹</w:t>
      </w:r>
      <w:proofErr w:type="gramEnd"/>
      <w:r w:rsidRPr="00264C8E">
        <w:rPr>
          <w:rFonts w:cs="Times New Roman"/>
          <w:sz w:val="24"/>
          <w:szCs w:val="24"/>
        </w:rPr>
        <w:t xml:space="preserve"> </w:t>
      </w:r>
      <w:r w:rsidRPr="00264C8E">
        <w:rPr>
          <w:rFonts w:cs="Times New Roman"/>
          <w:sz w:val="24"/>
          <w:szCs w:val="24"/>
          <w:lang w:val="en-US"/>
        </w:rPr>
        <w:t xml:space="preserve">315.72 crores to a high of </w:t>
      </w:r>
      <w:r w:rsidRPr="00264C8E">
        <w:rPr>
          <w:rFonts w:cs="Times New Roman"/>
          <w:sz w:val="24"/>
          <w:szCs w:val="24"/>
        </w:rPr>
        <w:t xml:space="preserve">₹ </w:t>
      </w:r>
      <w:r w:rsidRPr="00264C8E">
        <w:rPr>
          <w:rFonts w:cs="Times New Roman"/>
          <w:sz w:val="24"/>
          <w:szCs w:val="24"/>
          <w:lang w:val="en-US"/>
        </w:rPr>
        <w:t xml:space="preserve">1189.66 crores in 2022-23, before falling slightly to </w:t>
      </w:r>
      <w:r w:rsidRPr="00264C8E">
        <w:rPr>
          <w:rFonts w:cs="Times New Roman"/>
          <w:sz w:val="24"/>
          <w:szCs w:val="24"/>
        </w:rPr>
        <w:t>₹</w:t>
      </w:r>
      <w:r w:rsidRPr="00264C8E">
        <w:rPr>
          <w:rFonts w:cs="Times New Roman"/>
          <w:sz w:val="24"/>
          <w:szCs w:val="24"/>
          <w:lang w:val="en-US"/>
        </w:rPr>
        <w:t>624.29 crores in 2023-24. This indicates that although the volume of exports is shrinking, the value per unit of export is increasing, likely due to higher prices and the appreciation of mango pulp in international markets.</w:t>
      </w:r>
    </w:p>
    <w:p w14:paraId="6CA90176" w14:textId="77777777" w:rsidR="00BB2316" w:rsidRPr="00264C8E" w:rsidRDefault="00BB2316" w:rsidP="00BB2316">
      <w:pPr>
        <w:pStyle w:val="Body"/>
        <w:spacing w:line="360" w:lineRule="auto"/>
        <w:jc w:val="both"/>
        <w:rPr>
          <w:rFonts w:cs="Times New Roman"/>
          <w:sz w:val="24"/>
          <w:szCs w:val="24"/>
          <w:lang w:val="en-US"/>
        </w:rPr>
      </w:pPr>
      <w:r w:rsidRPr="00264C8E">
        <w:rPr>
          <w:rFonts w:cs="Times New Roman"/>
          <w:sz w:val="24"/>
          <w:szCs w:val="24"/>
          <w:lang w:val="en-US"/>
        </w:rPr>
        <w:tab/>
        <w:t>The period from 2004-05 to 2009-10 saw a consistent increase in the quantity of exports, peaking at 186,197 MT in 2009-10. After 2010-11, the trend began to reverse, with the quantity of exports gradually declining. By 2019-20, the quantity dropped to its lowest point during the period (85,725 MT). In the years 2020-21 and 2021-22, export quantities recovered slightly but then dropped again to 109,501 MT in 2022-23, and reached a significant low of 60,900 MT in 2023-24.</w:t>
      </w:r>
    </w:p>
    <w:p w14:paraId="2AAA0D32" w14:textId="77777777" w:rsidR="008A6320" w:rsidRPr="00264C8E" w:rsidRDefault="008A6320" w:rsidP="00BB2316">
      <w:pPr>
        <w:pStyle w:val="Body"/>
        <w:spacing w:line="360" w:lineRule="auto"/>
        <w:jc w:val="both"/>
        <w:rPr>
          <w:rFonts w:cs="Times New Roman"/>
          <w:sz w:val="24"/>
          <w:szCs w:val="24"/>
        </w:rPr>
      </w:pPr>
      <w:r w:rsidRPr="00264C8E">
        <w:rPr>
          <w:rFonts w:cs="Times New Roman"/>
          <w:sz w:val="24"/>
          <w:szCs w:val="24"/>
          <w:lang w:val="en-US"/>
        </w:rPr>
        <w:tab/>
        <w:t xml:space="preserve">Despite fluctuations in quantity, the value of exports grew steadily, particularly after 2008-09, when the value reached </w:t>
      </w:r>
      <w:r w:rsidRPr="00264C8E">
        <w:rPr>
          <w:rFonts w:cs="Times New Roman"/>
          <w:sz w:val="24"/>
          <w:szCs w:val="24"/>
        </w:rPr>
        <w:t xml:space="preserve">₹ </w:t>
      </w:r>
      <w:r w:rsidRPr="00264C8E">
        <w:rPr>
          <w:rFonts w:cs="Times New Roman"/>
          <w:sz w:val="24"/>
          <w:szCs w:val="24"/>
          <w:lang w:val="en-US"/>
        </w:rPr>
        <w:t xml:space="preserve">752.99 crores. The value continued to increase, reaching its peak at </w:t>
      </w:r>
      <w:r w:rsidRPr="00264C8E">
        <w:rPr>
          <w:rFonts w:cs="Times New Roman"/>
          <w:sz w:val="24"/>
          <w:szCs w:val="24"/>
        </w:rPr>
        <w:t>₹</w:t>
      </w:r>
      <w:r w:rsidRPr="00264C8E">
        <w:rPr>
          <w:rFonts w:cs="Times New Roman"/>
          <w:sz w:val="24"/>
          <w:szCs w:val="24"/>
          <w:lang w:val="en-US"/>
        </w:rPr>
        <w:t xml:space="preserve">1189.66 crores in 2022-23. This growth in value, despite decreasing quantities, can be attributed to factors such as: Higher global demand for Indian mango pulp in premium markets. Improved quality and the possible shift to more value-added mango pulp products. Price inflation for agricultural products and </w:t>
      </w:r>
      <w:proofErr w:type="spellStart"/>
      <w:r w:rsidRPr="00264C8E">
        <w:rPr>
          <w:rFonts w:cs="Times New Roman"/>
          <w:sz w:val="24"/>
          <w:szCs w:val="24"/>
          <w:lang w:val="en-US"/>
        </w:rPr>
        <w:t>favourable</w:t>
      </w:r>
      <w:proofErr w:type="spellEnd"/>
      <w:r w:rsidRPr="00264C8E">
        <w:rPr>
          <w:rFonts w:cs="Times New Roman"/>
          <w:sz w:val="24"/>
          <w:szCs w:val="24"/>
          <w:lang w:val="en-US"/>
        </w:rPr>
        <w:t xml:space="preserve"> currency exchange rates, which boosted the value of exports in rupee terms. The data also suggests that external factors such as global economic conditions, market disruptions, and possibly the COVID-19 pandemic impacted the export volumes.</w:t>
      </w:r>
      <w:r w:rsidRPr="00264C8E">
        <w:rPr>
          <w:rFonts w:cs="Times New Roman"/>
          <w:sz w:val="24"/>
          <w:szCs w:val="24"/>
          <w:lang w:val="en-US"/>
        </w:rPr>
        <w:tab/>
      </w:r>
    </w:p>
    <w:p w14:paraId="58C8FE6B" w14:textId="77777777" w:rsidR="00264C8E" w:rsidRDefault="00264C8E" w:rsidP="00303246">
      <w:pPr>
        <w:pStyle w:val="Body"/>
        <w:spacing w:line="360" w:lineRule="auto"/>
        <w:jc w:val="both"/>
        <w:rPr>
          <w:rFonts w:cs="Times New Roman"/>
          <w:b/>
          <w:bCs/>
          <w:sz w:val="24"/>
          <w:szCs w:val="24"/>
          <w:lang w:val="en-US"/>
        </w:rPr>
      </w:pPr>
    </w:p>
    <w:p w14:paraId="31D5451C" w14:textId="77777777" w:rsidR="00264C8E" w:rsidRDefault="00264C8E" w:rsidP="00303246">
      <w:pPr>
        <w:pStyle w:val="Body"/>
        <w:spacing w:line="360" w:lineRule="auto"/>
        <w:jc w:val="both"/>
        <w:rPr>
          <w:rFonts w:cs="Times New Roman"/>
          <w:b/>
          <w:bCs/>
          <w:sz w:val="24"/>
          <w:szCs w:val="24"/>
          <w:lang w:val="en-US"/>
        </w:rPr>
      </w:pPr>
    </w:p>
    <w:p w14:paraId="5DC90EC6" w14:textId="77777777" w:rsidR="00BB2316" w:rsidRPr="00264C8E" w:rsidRDefault="00BB2316" w:rsidP="00303246">
      <w:pPr>
        <w:pStyle w:val="Body"/>
        <w:spacing w:line="360" w:lineRule="auto"/>
        <w:jc w:val="both"/>
        <w:rPr>
          <w:rFonts w:cs="Times New Roman"/>
          <w:b/>
          <w:bCs/>
          <w:sz w:val="24"/>
          <w:szCs w:val="24"/>
          <w:lang w:val="en-US"/>
        </w:rPr>
      </w:pPr>
      <w:r w:rsidRPr="00264C8E">
        <w:rPr>
          <w:rFonts w:cs="Times New Roman"/>
          <w:b/>
          <w:bCs/>
          <w:sz w:val="24"/>
          <w:szCs w:val="24"/>
          <w:lang w:val="en-US"/>
        </w:rPr>
        <w:t xml:space="preserve">Table 2: Trends in Mango pulp exports from India </w:t>
      </w:r>
    </w:p>
    <w:p w14:paraId="0548A656" w14:textId="77777777" w:rsidR="00AF03B0" w:rsidRPr="00264C8E" w:rsidRDefault="00AF03B0" w:rsidP="00BB2316">
      <w:pPr>
        <w:pStyle w:val="Body"/>
        <w:jc w:val="both"/>
        <w:rPr>
          <w:rFonts w:cs="Times New Roman"/>
          <w:b/>
          <w:bCs/>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21"/>
        <w:gridCol w:w="3403"/>
        <w:gridCol w:w="2892"/>
      </w:tblGrid>
      <w:tr w:rsidR="00BB2316" w:rsidRPr="00264C8E" w14:paraId="20FE5C8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1F401"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Year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9A9E22"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B15B0A"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71CA84C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1B03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2004-05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41244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95857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8FD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315.72</w:t>
            </w:r>
          </w:p>
        </w:tc>
      </w:tr>
      <w:tr w:rsidR="00BB2316" w:rsidRPr="00264C8E" w14:paraId="1BD54C06"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55FA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2005-06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87339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134613.2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D28F6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364.24</w:t>
            </w:r>
          </w:p>
        </w:tc>
      </w:tr>
      <w:tr w:rsidR="00BB2316" w:rsidRPr="00264C8E" w14:paraId="7EE3660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D24C95"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lastRenderedPageBreak/>
              <w:t>2006-07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D0D82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156835.51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00485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505.83</w:t>
            </w:r>
          </w:p>
        </w:tc>
      </w:tr>
      <w:tr w:rsidR="00BB2316" w:rsidRPr="00264C8E" w14:paraId="01AAA9C2"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CD03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2007-08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164F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166752.17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5A84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509.69</w:t>
            </w:r>
          </w:p>
        </w:tc>
      </w:tr>
      <w:tr w:rsidR="00BB2316" w:rsidRPr="00264C8E" w14:paraId="1524DC6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F1E4B"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2008-09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79DA2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173013.6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B399EC"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752.99</w:t>
            </w:r>
          </w:p>
        </w:tc>
      </w:tr>
      <w:tr w:rsidR="00BB2316" w:rsidRPr="00264C8E" w14:paraId="11168E5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28E9C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2009-10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9C9F1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186197.85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908A4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744.61</w:t>
            </w:r>
          </w:p>
        </w:tc>
      </w:tr>
      <w:tr w:rsidR="00BB2316" w:rsidRPr="00264C8E" w14:paraId="392E2594"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5FFF7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2010-11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170219.72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940FC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818.93</w:t>
            </w:r>
          </w:p>
        </w:tc>
      </w:tr>
      <w:tr w:rsidR="00BB2316" w:rsidRPr="00264C8E" w14:paraId="3CCAC1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A6461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2011-12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0CAB2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150499.06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0F58B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620.83</w:t>
            </w:r>
          </w:p>
        </w:tc>
      </w:tr>
      <w:tr w:rsidR="00BB2316" w:rsidRPr="00264C8E" w14:paraId="6E583B6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62396F"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2012-13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423FD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147815.69</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98509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608.56</w:t>
            </w:r>
          </w:p>
        </w:tc>
      </w:tr>
      <w:tr w:rsidR="00BB2316" w:rsidRPr="00264C8E" w14:paraId="274CC6C9"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EC692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2013-14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B47D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174860.33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5036A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772.95</w:t>
            </w:r>
          </w:p>
        </w:tc>
      </w:tr>
      <w:tr w:rsidR="00BB2316" w:rsidRPr="00264C8E" w14:paraId="2930100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72D00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2014-15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A29F0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154820.66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BC12F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841.39</w:t>
            </w:r>
          </w:p>
        </w:tc>
      </w:tr>
      <w:tr w:rsidR="00BB2316" w:rsidRPr="00264C8E" w14:paraId="6B3A4C1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E4B4D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2015-16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FA681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128866.01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77CE8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796.18</w:t>
            </w:r>
          </w:p>
        </w:tc>
      </w:tr>
      <w:tr w:rsidR="00BB2316" w:rsidRPr="00264C8E" w14:paraId="6E1EBA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86A3D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2016-17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47541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130886.07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71643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846.02</w:t>
            </w:r>
          </w:p>
        </w:tc>
      </w:tr>
      <w:tr w:rsidR="00BB2316" w:rsidRPr="00264C8E" w14:paraId="6CFBCF1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D9E1B0"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2017-18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3E86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110923.73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E71AC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673.92</w:t>
            </w:r>
          </w:p>
        </w:tc>
      </w:tr>
      <w:tr w:rsidR="00BB2316" w:rsidRPr="00264C8E" w14:paraId="414D6E1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455E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2018-19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C3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105873.22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0AAAF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657.67</w:t>
            </w:r>
          </w:p>
        </w:tc>
      </w:tr>
      <w:tr w:rsidR="00BB2316" w:rsidRPr="00264C8E" w14:paraId="03C8639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864B24"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2019-20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D808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85725.57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390D8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584.32</w:t>
            </w:r>
          </w:p>
        </w:tc>
      </w:tr>
      <w:tr w:rsidR="00BB2316" w:rsidRPr="00264C8E" w14:paraId="21D0899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A0404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2020-21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CF1A7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98369.75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3741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714.41</w:t>
            </w:r>
          </w:p>
        </w:tc>
      </w:tr>
      <w:tr w:rsidR="00BB2316" w:rsidRPr="00264C8E" w14:paraId="23AF2C7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3BAAF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2021-22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1BA82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123476.71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0E4D1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924.54</w:t>
            </w:r>
          </w:p>
        </w:tc>
      </w:tr>
      <w:tr w:rsidR="00BB2316" w:rsidRPr="00264C8E" w14:paraId="1A239EE5"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248A56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2022-23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FEE6D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109501.38</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E9BDC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1189.66</w:t>
            </w:r>
          </w:p>
        </w:tc>
      </w:tr>
      <w:tr w:rsidR="00BB2316" w:rsidRPr="00264C8E" w14:paraId="1EF2FC68"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9371D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2023-24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83E76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60900.21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041A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624.29</w:t>
            </w:r>
          </w:p>
        </w:tc>
      </w:tr>
      <w:tr w:rsidR="00BB2316" w:rsidRPr="00264C8E" w14:paraId="61594AC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C9F4B9"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CAGR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E6054"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-2.93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28271ED"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3.34</w:t>
            </w:r>
          </w:p>
        </w:tc>
      </w:tr>
    </w:tbl>
    <w:p w14:paraId="39972258" w14:textId="77777777" w:rsidR="00BB2316" w:rsidRPr="00264C8E" w:rsidRDefault="00BB2316" w:rsidP="00BB2316">
      <w:pPr>
        <w:pStyle w:val="Body"/>
        <w:jc w:val="both"/>
        <w:rPr>
          <w:rFonts w:cs="Times New Roman"/>
          <w:sz w:val="24"/>
          <w:szCs w:val="24"/>
        </w:rPr>
      </w:pPr>
    </w:p>
    <w:p w14:paraId="760D5738" w14:textId="77777777" w:rsidR="00BB2316" w:rsidRPr="00264C8E" w:rsidRDefault="00AF03B0" w:rsidP="00BB2316">
      <w:pPr>
        <w:pStyle w:val="Body"/>
        <w:jc w:val="both"/>
        <w:rPr>
          <w:rFonts w:cs="Times New Roman"/>
          <w:b/>
          <w:bCs/>
          <w:sz w:val="24"/>
          <w:szCs w:val="24"/>
        </w:rPr>
      </w:pPr>
      <w:r w:rsidRPr="00264C8E">
        <w:rPr>
          <w:rFonts w:cs="Times New Roman"/>
          <w:noProof/>
          <w:sz w:val="24"/>
          <w:szCs w:val="24"/>
          <w:lang w:val="en-IN"/>
        </w:rPr>
        <w:drawing>
          <wp:anchor distT="0" distB="0" distL="0" distR="0" simplePos="0" relativeHeight="251660288" behindDoc="1" locked="0" layoutInCell="1" allowOverlap="1" wp14:anchorId="5B0854FC" wp14:editId="69B11C83">
            <wp:simplePos x="0" y="0"/>
            <wp:positionH relativeFrom="column">
              <wp:posOffset>57948</wp:posOffset>
            </wp:positionH>
            <wp:positionV relativeFrom="line">
              <wp:posOffset>68536</wp:posOffset>
            </wp:positionV>
            <wp:extent cx="5651477" cy="2511235"/>
            <wp:effectExtent l="0" t="0" r="6985" b="3810"/>
            <wp:wrapNone/>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8D7E398" w14:textId="77777777" w:rsidR="00BB2316" w:rsidRPr="00264C8E" w:rsidRDefault="00BB2316" w:rsidP="00BB2316">
      <w:pPr>
        <w:pStyle w:val="Body"/>
        <w:jc w:val="both"/>
        <w:rPr>
          <w:rFonts w:cs="Times New Roman"/>
          <w:b/>
          <w:bCs/>
          <w:sz w:val="24"/>
          <w:szCs w:val="24"/>
        </w:rPr>
      </w:pPr>
    </w:p>
    <w:p w14:paraId="0D433FEC" w14:textId="77777777" w:rsidR="00BB2316" w:rsidRPr="00264C8E" w:rsidRDefault="00BB2316" w:rsidP="00BB2316">
      <w:pPr>
        <w:pStyle w:val="Body"/>
        <w:jc w:val="both"/>
        <w:rPr>
          <w:rFonts w:cs="Times New Roman"/>
          <w:b/>
          <w:bCs/>
          <w:sz w:val="24"/>
          <w:szCs w:val="24"/>
        </w:rPr>
      </w:pPr>
    </w:p>
    <w:p w14:paraId="67F80464" w14:textId="77777777" w:rsidR="00BB2316" w:rsidRPr="00264C8E" w:rsidRDefault="00BB2316" w:rsidP="00BB2316">
      <w:pPr>
        <w:pStyle w:val="Body"/>
        <w:jc w:val="both"/>
        <w:rPr>
          <w:rFonts w:cs="Times New Roman"/>
          <w:b/>
          <w:bCs/>
          <w:sz w:val="24"/>
          <w:szCs w:val="24"/>
        </w:rPr>
      </w:pPr>
    </w:p>
    <w:p w14:paraId="30CD715B" w14:textId="77777777" w:rsidR="00BB2316" w:rsidRPr="00264C8E" w:rsidRDefault="00BB2316" w:rsidP="00BB2316">
      <w:pPr>
        <w:pStyle w:val="Body"/>
        <w:jc w:val="both"/>
        <w:rPr>
          <w:rFonts w:cs="Times New Roman"/>
          <w:b/>
          <w:bCs/>
          <w:sz w:val="24"/>
          <w:szCs w:val="24"/>
        </w:rPr>
      </w:pPr>
    </w:p>
    <w:p w14:paraId="548281A8" w14:textId="77777777" w:rsidR="00BB2316" w:rsidRPr="00264C8E" w:rsidRDefault="00BB2316" w:rsidP="00BB2316">
      <w:pPr>
        <w:pStyle w:val="Body"/>
        <w:jc w:val="both"/>
        <w:rPr>
          <w:rFonts w:cs="Times New Roman"/>
          <w:b/>
          <w:bCs/>
          <w:sz w:val="24"/>
          <w:szCs w:val="24"/>
        </w:rPr>
      </w:pPr>
    </w:p>
    <w:p w14:paraId="2DB4DC74" w14:textId="77777777" w:rsidR="00BB2316" w:rsidRPr="00264C8E" w:rsidRDefault="00BB2316" w:rsidP="00BB2316">
      <w:pPr>
        <w:pStyle w:val="Body"/>
        <w:jc w:val="both"/>
        <w:rPr>
          <w:rFonts w:cs="Times New Roman"/>
          <w:b/>
          <w:bCs/>
          <w:sz w:val="24"/>
          <w:szCs w:val="24"/>
        </w:rPr>
      </w:pPr>
    </w:p>
    <w:p w14:paraId="0E7A207D" w14:textId="77777777" w:rsidR="00BB2316" w:rsidRPr="00264C8E" w:rsidRDefault="00BB2316" w:rsidP="00BB2316">
      <w:pPr>
        <w:pStyle w:val="Body"/>
        <w:jc w:val="both"/>
        <w:rPr>
          <w:rFonts w:cs="Times New Roman"/>
          <w:b/>
          <w:bCs/>
          <w:sz w:val="24"/>
          <w:szCs w:val="24"/>
        </w:rPr>
      </w:pPr>
    </w:p>
    <w:p w14:paraId="7E3D26C9" w14:textId="77777777" w:rsidR="00BB2316" w:rsidRPr="00264C8E" w:rsidRDefault="00BB2316" w:rsidP="00BB2316">
      <w:pPr>
        <w:pStyle w:val="Body"/>
        <w:jc w:val="both"/>
        <w:rPr>
          <w:rFonts w:cs="Times New Roman"/>
          <w:b/>
          <w:bCs/>
          <w:sz w:val="24"/>
          <w:szCs w:val="24"/>
        </w:rPr>
      </w:pPr>
    </w:p>
    <w:p w14:paraId="0B05E2E3" w14:textId="77777777" w:rsidR="00BB2316" w:rsidRPr="00264C8E" w:rsidRDefault="00BB2316" w:rsidP="00BB2316">
      <w:pPr>
        <w:pStyle w:val="Body"/>
        <w:jc w:val="both"/>
        <w:rPr>
          <w:rFonts w:cs="Times New Roman"/>
          <w:b/>
          <w:bCs/>
          <w:sz w:val="24"/>
          <w:szCs w:val="24"/>
        </w:rPr>
      </w:pPr>
    </w:p>
    <w:p w14:paraId="7BDDC74C" w14:textId="77777777" w:rsidR="00BB2316" w:rsidRPr="00264C8E" w:rsidRDefault="00BB2316" w:rsidP="00BB2316">
      <w:pPr>
        <w:pStyle w:val="Body"/>
        <w:jc w:val="both"/>
        <w:rPr>
          <w:rFonts w:cs="Times New Roman"/>
          <w:b/>
          <w:bCs/>
          <w:sz w:val="24"/>
          <w:szCs w:val="24"/>
        </w:rPr>
      </w:pPr>
    </w:p>
    <w:p w14:paraId="0633AE97" w14:textId="77777777" w:rsidR="00BB2316" w:rsidRPr="00264C8E" w:rsidRDefault="00BB2316" w:rsidP="00BB2316">
      <w:pPr>
        <w:pStyle w:val="Body"/>
        <w:jc w:val="both"/>
        <w:rPr>
          <w:rFonts w:cs="Times New Roman"/>
          <w:b/>
          <w:bCs/>
          <w:sz w:val="24"/>
          <w:szCs w:val="24"/>
        </w:rPr>
      </w:pPr>
    </w:p>
    <w:p w14:paraId="07BD93A0" w14:textId="77777777" w:rsidR="00BB2316" w:rsidRPr="00264C8E" w:rsidRDefault="00BB2316" w:rsidP="00BB2316">
      <w:pPr>
        <w:pStyle w:val="Body"/>
        <w:jc w:val="both"/>
        <w:rPr>
          <w:rFonts w:cs="Times New Roman"/>
          <w:b/>
          <w:bCs/>
          <w:sz w:val="24"/>
          <w:szCs w:val="24"/>
        </w:rPr>
      </w:pPr>
    </w:p>
    <w:p w14:paraId="0ED52085" w14:textId="77777777" w:rsidR="00264C8E" w:rsidRDefault="00303246" w:rsidP="00BB2316">
      <w:pPr>
        <w:pStyle w:val="Body"/>
        <w:jc w:val="both"/>
        <w:rPr>
          <w:rFonts w:cs="Times New Roman"/>
          <w:b/>
          <w:bCs/>
          <w:sz w:val="24"/>
          <w:szCs w:val="24"/>
        </w:rPr>
      </w:pPr>
      <w:r w:rsidRPr="00264C8E">
        <w:rPr>
          <w:rFonts w:cs="Times New Roman"/>
          <w:b/>
          <w:bCs/>
          <w:sz w:val="24"/>
          <w:szCs w:val="24"/>
        </w:rPr>
        <w:tab/>
      </w:r>
      <w:r w:rsidRPr="00264C8E">
        <w:rPr>
          <w:rFonts w:cs="Times New Roman"/>
          <w:b/>
          <w:bCs/>
          <w:sz w:val="24"/>
          <w:szCs w:val="24"/>
        </w:rPr>
        <w:tab/>
      </w:r>
      <w:r w:rsidRPr="00264C8E">
        <w:rPr>
          <w:rFonts w:cs="Times New Roman"/>
          <w:b/>
          <w:bCs/>
          <w:sz w:val="24"/>
          <w:szCs w:val="24"/>
        </w:rPr>
        <w:tab/>
      </w:r>
    </w:p>
    <w:p w14:paraId="214D350E" w14:textId="77777777" w:rsidR="00264C8E" w:rsidRDefault="00264C8E" w:rsidP="00BB2316">
      <w:pPr>
        <w:pStyle w:val="Body"/>
        <w:jc w:val="both"/>
        <w:rPr>
          <w:rFonts w:cs="Times New Roman"/>
          <w:b/>
          <w:bCs/>
          <w:sz w:val="24"/>
          <w:szCs w:val="24"/>
        </w:rPr>
      </w:pPr>
    </w:p>
    <w:p w14:paraId="29F93068" w14:textId="77777777" w:rsidR="00BB2316" w:rsidRPr="00264C8E" w:rsidRDefault="00264C8E" w:rsidP="00BB2316">
      <w:pPr>
        <w:pStyle w:val="Body"/>
        <w:jc w:val="both"/>
        <w:rPr>
          <w:rFonts w:cs="Times New Roman"/>
          <w:b/>
          <w:bCs/>
          <w:sz w:val="24"/>
          <w:szCs w:val="24"/>
        </w:rPr>
      </w:pPr>
      <w:r>
        <w:rPr>
          <w:rFonts w:cs="Times New Roman"/>
          <w:b/>
          <w:bCs/>
          <w:sz w:val="24"/>
          <w:szCs w:val="24"/>
        </w:rPr>
        <w:tab/>
      </w:r>
      <w:r>
        <w:rPr>
          <w:rFonts w:cs="Times New Roman"/>
          <w:b/>
          <w:bCs/>
          <w:sz w:val="24"/>
          <w:szCs w:val="24"/>
        </w:rPr>
        <w:tab/>
      </w:r>
      <w:r w:rsidR="00BB2316" w:rsidRPr="00264C8E">
        <w:rPr>
          <w:rFonts w:cs="Times New Roman"/>
          <w:b/>
          <w:bCs/>
          <w:sz w:val="24"/>
          <w:szCs w:val="24"/>
          <w:lang w:val="en-US"/>
        </w:rPr>
        <w:t>Fig. 2: Trends in Mango pulp exports from India</w:t>
      </w:r>
    </w:p>
    <w:p w14:paraId="57C2C2D9" w14:textId="77777777" w:rsidR="006E3813" w:rsidRPr="00264C8E" w:rsidRDefault="006E3813" w:rsidP="00BB2316">
      <w:pPr>
        <w:pStyle w:val="Body"/>
        <w:spacing w:line="360" w:lineRule="auto"/>
        <w:jc w:val="both"/>
        <w:rPr>
          <w:rFonts w:cs="Times New Roman"/>
          <w:b/>
          <w:bCs/>
          <w:sz w:val="24"/>
          <w:szCs w:val="24"/>
          <w:lang w:val="en-US"/>
        </w:rPr>
      </w:pPr>
    </w:p>
    <w:p w14:paraId="65B9DA18" w14:textId="77777777" w:rsidR="00303246" w:rsidRPr="00264C8E" w:rsidRDefault="00303246" w:rsidP="00303246">
      <w:pPr>
        <w:pStyle w:val="Body"/>
        <w:spacing w:line="360" w:lineRule="auto"/>
        <w:jc w:val="both"/>
        <w:rPr>
          <w:rFonts w:cs="Times New Roman"/>
          <w:sz w:val="24"/>
          <w:szCs w:val="24"/>
        </w:rPr>
      </w:pPr>
      <w:r w:rsidRPr="00264C8E">
        <w:rPr>
          <w:rFonts w:cs="Times New Roman"/>
          <w:sz w:val="24"/>
          <w:szCs w:val="24"/>
          <w:lang w:val="en-US"/>
        </w:rPr>
        <w:tab/>
        <w:t xml:space="preserve">The overall trends indicate that India's mango pulp export market is transitioning from a volume-driven to a value-driven export model. While the quantity of exports has been on a downward trajectory (CAGR of -2.93 %), the value of these exports has increased at a steady rate (CAGR of 3.34 %), reflecting a rise in global demand for Indian mango pulp or higher prices in international markets. This could be due to improvements in product quality, price increases, or </w:t>
      </w:r>
      <w:proofErr w:type="spellStart"/>
      <w:r w:rsidRPr="00264C8E">
        <w:rPr>
          <w:rFonts w:cs="Times New Roman"/>
          <w:sz w:val="24"/>
          <w:szCs w:val="24"/>
          <w:lang w:val="en-US"/>
        </w:rPr>
        <w:t>favourable</w:t>
      </w:r>
      <w:proofErr w:type="spellEnd"/>
      <w:r w:rsidRPr="00264C8E">
        <w:rPr>
          <w:rFonts w:cs="Times New Roman"/>
          <w:sz w:val="24"/>
          <w:szCs w:val="24"/>
          <w:lang w:val="en-US"/>
        </w:rPr>
        <w:t xml:space="preserve"> currency exchange rates. Moving forward, India may focus on strengthening its market position by continuing to export higher-quality or value-added products, which fetch higher prices. However, the significant drop in export quantity in 2023-24 calls for an examination of the underlying causes, whether due to production challenges, supply chain issues, or market disruptions. Addressing these challenges would be crucial for sustaining the positive growth in export value.</w:t>
      </w:r>
    </w:p>
    <w:p w14:paraId="25F0ADB3" w14:textId="77777777" w:rsidR="00303246" w:rsidRPr="00264C8E" w:rsidRDefault="00303246" w:rsidP="00BB2316">
      <w:pPr>
        <w:pStyle w:val="Body"/>
        <w:spacing w:line="360" w:lineRule="auto"/>
        <w:jc w:val="both"/>
        <w:rPr>
          <w:rFonts w:cs="Times New Roman"/>
          <w:b/>
          <w:bCs/>
          <w:sz w:val="24"/>
          <w:szCs w:val="24"/>
          <w:lang w:val="en-US"/>
        </w:rPr>
      </w:pPr>
    </w:p>
    <w:p w14:paraId="1D4483D9" w14:textId="77777777"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Compound annual growth rate and Instability of fresh mango and mango pulp export from India</w:t>
      </w:r>
    </w:p>
    <w:p w14:paraId="6882CACF" w14:textId="77777777" w:rsidR="00BB2316" w:rsidRPr="00264C8E" w:rsidRDefault="003E70BF" w:rsidP="00BB2316">
      <w:pPr>
        <w:pStyle w:val="Body"/>
        <w:spacing w:line="360" w:lineRule="auto"/>
        <w:jc w:val="both"/>
        <w:rPr>
          <w:rFonts w:cs="Times New Roman"/>
          <w:sz w:val="24"/>
          <w:szCs w:val="24"/>
        </w:rPr>
      </w:pPr>
      <w:r w:rsidRPr="00264C8E">
        <w:rPr>
          <w:rFonts w:cs="Times New Roman"/>
          <w:sz w:val="24"/>
          <w:szCs w:val="24"/>
          <w:lang w:val="en-US"/>
        </w:rPr>
        <w:tab/>
      </w:r>
      <w:r w:rsidR="00BB2316" w:rsidRPr="00264C8E">
        <w:rPr>
          <w:rFonts w:cs="Times New Roman"/>
          <w:sz w:val="24"/>
          <w:szCs w:val="24"/>
          <w:lang w:val="en-US"/>
        </w:rPr>
        <w:t xml:space="preserve">The </w:t>
      </w:r>
      <w:r w:rsidR="006E3813" w:rsidRPr="00264C8E">
        <w:rPr>
          <w:rFonts w:cs="Times New Roman"/>
          <w:sz w:val="24"/>
          <w:szCs w:val="24"/>
          <w:lang w:val="en-US"/>
        </w:rPr>
        <w:t xml:space="preserve">table 3 indicates that </w:t>
      </w:r>
      <w:r w:rsidR="00BB2316" w:rsidRPr="00264C8E">
        <w:rPr>
          <w:rFonts w:cs="Times New Roman"/>
          <w:sz w:val="24"/>
          <w:szCs w:val="24"/>
          <w:lang w:val="en-US"/>
        </w:rPr>
        <w:t>the compound annual growth rate (CAGR) and the instability of India's fresh mango and mango pulp exports, using several statistical measures: mean, standard deviation (SD), coefficient of variation (CV</w:t>
      </w:r>
      <w:r w:rsidR="005A69D3" w:rsidRPr="00264C8E">
        <w:rPr>
          <w:rFonts w:cs="Times New Roman"/>
          <w:sz w:val="24"/>
          <w:szCs w:val="24"/>
          <w:lang w:val="en-US"/>
        </w:rPr>
        <w:t xml:space="preserve"> </w:t>
      </w:r>
      <w:r w:rsidR="00BB2316" w:rsidRPr="00264C8E">
        <w:rPr>
          <w:rFonts w:cs="Times New Roman"/>
          <w:sz w:val="24"/>
          <w:szCs w:val="24"/>
          <w:lang w:val="en-US"/>
        </w:rPr>
        <w:t>%), and Cuddy Della Vella Instability Index (CDVI). These metrics help assess both the growth and the volatility of export quantities and values over time.</w:t>
      </w:r>
    </w:p>
    <w:p w14:paraId="7CAB632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CAGR for fresh mango exports shows a decline of -5.12 per cent in quantity, while the value of exports grew by 7.75 per cent. This indicated that while fewer fresh mangoes are being exported, the revenue from these exports has increased significantly, likely due to higher per-unit prices or better access to premium markets. For mango pulp, the quantity exported declined at a lower rate of -2.93 per cent, while its export value grew at a moderate rate of 3.34 per cent. This reflects a similar pattern, where export volumes are decli</w:t>
      </w:r>
      <w:bookmarkStart w:id="0" w:name="_GoBack"/>
      <w:bookmarkEnd w:id="0"/>
      <w:r w:rsidRPr="00264C8E">
        <w:rPr>
          <w:rFonts w:cs="Times New Roman"/>
          <w:sz w:val="24"/>
          <w:szCs w:val="24"/>
          <w:lang w:val="en-US"/>
        </w:rPr>
        <w:t>ning but revenue is rising, though at a slower pace than for fresh mangoes.</w:t>
      </w:r>
    </w:p>
    <w:p w14:paraId="5606D37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mean export quantity for fresh mangoes is 50,784.70 MT with an average value of </w:t>
      </w:r>
      <w:r w:rsidRPr="00264C8E">
        <w:rPr>
          <w:rFonts w:cs="Times New Roman"/>
          <w:sz w:val="24"/>
          <w:szCs w:val="24"/>
        </w:rPr>
        <w:t>₹</w:t>
      </w:r>
      <w:r w:rsidRPr="00264C8E">
        <w:rPr>
          <w:rFonts w:cs="Times New Roman"/>
          <w:sz w:val="24"/>
          <w:szCs w:val="24"/>
          <w:lang w:val="en-US"/>
        </w:rPr>
        <w:t xml:space="preserve">275.61 crores, whereas the mean export quantity for mango pulp is much higher, at </w:t>
      </w:r>
      <w:r w:rsidRPr="00264C8E">
        <w:rPr>
          <w:rFonts w:cs="Times New Roman"/>
          <w:sz w:val="24"/>
          <w:szCs w:val="24"/>
          <w:lang w:val="en-US"/>
        </w:rPr>
        <w:lastRenderedPageBreak/>
        <w:t xml:space="preserve">133,300.37 MT, with an average value of </w:t>
      </w:r>
      <w:r w:rsidRPr="00264C8E">
        <w:rPr>
          <w:rFonts w:cs="Times New Roman"/>
          <w:sz w:val="24"/>
          <w:szCs w:val="24"/>
        </w:rPr>
        <w:t>₹</w:t>
      </w:r>
      <w:r w:rsidRPr="00264C8E">
        <w:rPr>
          <w:rFonts w:cs="Times New Roman"/>
          <w:sz w:val="24"/>
          <w:szCs w:val="24"/>
          <w:lang w:val="en-US"/>
        </w:rPr>
        <w:t xml:space="preserve">693.34 crores. This suggests that India exports a significantly larger volume of mango pulp compared to fresh mangoes, and the value of mango pulp exports is also substantially higher. The SD for fresh mango exports in terms of quantity is 17,729.93 MT, with a value of </w:t>
      </w:r>
      <w:r w:rsidRPr="00264C8E">
        <w:rPr>
          <w:rFonts w:cs="Times New Roman"/>
          <w:sz w:val="24"/>
          <w:szCs w:val="24"/>
        </w:rPr>
        <w:t>₹</w:t>
      </w:r>
      <w:r w:rsidRPr="00264C8E">
        <w:rPr>
          <w:rFonts w:cs="Times New Roman"/>
          <w:sz w:val="24"/>
          <w:szCs w:val="24"/>
          <w:lang w:val="en-US"/>
        </w:rPr>
        <w:t>118.39 crores, indicating a relatively high level of fluctuation from the mean. For mango pulp, the SD is higher for quantity (34,165.59 MT) but moderate for value (</w:t>
      </w:r>
      <w:r w:rsidRPr="00264C8E">
        <w:rPr>
          <w:rFonts w:cs="Times New Roman"/>
          <w:sz w:val="24"/>
          <w:szCs w:val="24"/>
        </w:rPr>
        <w:t>₹</w:t>
      </w:r>
      <w:r w:rsidRPr="00264C8E">
        <w:rPr>
          <w:rFonts w:cs="Times New Roman"/>
          <w:sz w:val="24"/>
          <w:szCs w:val="24"/>
          <w:lang w:val="en-US"/>
        </w:rPr>
        <w:t>196.67 crores). This reflects more significant fluctuations in the volume of mango pulp exports compared to fresh mangoes, while the fluctuations in value are somewhat comparable.</w:t>
      </w:r>
    </w:p>
    <w:p w14:paraId="5EEB340D"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CV measures the relative variability of the exported quantity and value. Fresh mango exports show higher volatility in value (42.96 %) than in quantity (34.91 %), indicating that the value of fresh mango exports is more unstable over time. For mango pulp, the CV for both quantity (25.63 %) and value (28.37 %) is lower, indicating relatively more stability compared to fresh mangoes.</w:t>
      </w:r>
    </w:p>
    <w:p w14:paraId="0038BCEE"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CDVI measures the instability of exported quantity and value from India. Fresh mango exports both quantity and value exhibited medium level of instability 20.85 and 17.83, respectively.  While mango pulp exports show same pattern, both quantity and value showed medium level of instability 20.19 and 21.95, respectively. These values indicate that while both product categories face moderate instability, the fluctuations in mango pulp exports are marginally higher in terms of value.</w:t>
      </w:r>
    </w:p>
    <w:p w14:paraId="1BB4A0A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Both fresh mango and mango pulp exports from India have experienced declining quantities, with fresh mango exports declining at a faster rate than mango pulp. However, export values have increased, particularly for fresh mangoes (7.75 % CAGR), indicating that even with reduced export volumes, revenue from these exports has grown due to higher pricing or value-added products. Mango pulp exports, while more stable than fresh mangoes, still show moderate volatility, especially in terms of quantity. Given that mango pulp exports have a higher mean value and quantity, they contribute more significantly to India's overall mango export revenue.</w:t>
      </w:r>
    </w:p>
    <w:p w14:paraId="7B83BDE5" w14:textId="77777777" w:rsidR="00264C8E" w:rsidRDefault="00264C8E" w:rsidP="00BB2316">
      <w:pPr>
        <w:pStyle w:val="Body"/>
        <w:spacing w:line="360" w:lineRule="auto"/>
        <w:jc w:val="both"/>
        <w:rPr>
          <w:rFonts w:cs="Times New Roman"/>
          <w:b/>
          <w:bCs/>
          <w:sz w:val="24"/>
          <w:szCs w:val="24"/>
          <w:lang w:val="en-US"/>
        </w:rPr>
      </w:pPr>
    </w:p>
    <w:p w14:paraId="0818EE42" w14:textId="5F421316"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t xml:space="preserve">Table </w:t>
      </w:r>
      <w:r w:rsidR="00980D03">
        <w:rPr>
          <w:rFonts w:cs="Times New Roman"/>
          <w:b/>
          <w:bCs/>
          <w:sz w:val="24"/>
          <w:szCs w:val="24"/>
          <w:lang w:val="en-US"/>
        </w:rPr>
        <w:t>3</w:t>
      </w:r>
      <w:r w:rsidRPr="00264C8E">
        <w:rPr>
          <w:rFonts w:cs="Times New Roman"/>
          <w:b/>
          <w:bCs/>
          <w:sz w:val="24"/>
          <w:szCs w:val="24"/>
          <w:lang w:val="en-US"/>
        </w:rPr>
        <w:t>: Compound annual growth rate and Instability of fresh mango and mango pulp export from India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630"/>
        <w:gridCol w:w="1693"/>
        <w:gridCol w:w="2000"/>
        <w:gridCol w:w="1693"/>
        <w:gridCol w:w="2000"/>
      </w:tblGrid>
      <w:tr w:rsidR="00BB2316" w:rsidRPr="00264C8E" w14:paraId="121B6495" w14:textId="77777777" w:rsidTr="006E3813">
        <w:trPr>
          <w:trHeight w:val="300"/>
        </w:trPr>
        <w:tc>
          <w:tcPr>
            <w:tcW w:w="90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791B64"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Particulars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1C94C3"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Fresh Mangoes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783B09D"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Mango pulp</w:t>
            </w:r>
          </w:p>
        </w:tc>
      </w:tr>
      <w:tr w:rsidR="00BB2316" w:rsidRPr="00264C8E" w14:paraId="29B1DC8F" w14:textId="77777777" w:rsidTr="006E3813">
        <w:trPr>
          <w:trHeight w:val="300"/>
        </w:trPr>
        <w:tc>
          <w:tcPr>
            <w:tcW w:w="904" w:type="pct"/>
            <w:vMerge/>
            <w:tcBorders>
              <w:top w:val="single" w:sz="4" w:space="0" w:color="000000"/>
              <w:left w:val="single" w:sz="4" w:space="0" w:color="000000"/>
              <w:bottom w:val="single" w:sz="4" w:space="0" w:color="000000"/>
              <w:right w:val="single" w:sz="4" w:space="0" w:color="000000"/>
            </w:tcBorders>
          </w:tcPr>
          <w:p w14:paraId="3FEE712F" w14:textId="77777777" w:rsidR="00BB2316" w:rsidRPr="00264C8E" w:rsidRDefault="00BB2316" w:rsidP="006E3813">
            <w:pPr>
              <w:jc w:val="center"/>
              <w:rPr>
                <w:rFonts w:ascii="Times New Roman" w:hAnsi="Times New Roman" w:cs="Times New Roman"/>
                <w:sz w:val="24"/>
                <w:szCs w:val="24"/>
              </w:rPr>
            </w:pP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78F5BC"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780915"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8015806"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9ABF82"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05D6E305"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7671705"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lastRenderedPageBreak/>
              <w:t>CAGR</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EACFB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-5.12</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2F827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7.75</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ACC0A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68CEE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3.34</w:t>
            </w:r>
          </w:p>
        </w:tc>
      </w:tr>
      <w:tr w:rsidR="00BB2316" w:rsidRPr="00264C8E" w14:paraId="142F7406"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CFDB89"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Mean</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25CA6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50784.70</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D2644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275.61</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5EA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133300.37</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71073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693.34</w:t>
            </w:r>
          </w:p>
        </w:tc>
      </w:tr>
      <w:tr w:rsidR="00BB2316" w:rsidRPr="00264C8E" w14:paraId="55618E33"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82BAE1"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SD</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484C7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17729.93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AB2FE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118.39</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59784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34165.59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67061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196.67</w:t>
            </w:r>
          </w:p>
        </w:tc>
      </w:tr>
      <w:tr w:rsidR="00BB2316" w:rsidRPr="00264C8E" w14:paraId="56856A42"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991F4F"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CV (%)</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F52D8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34.91</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5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42.96</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13C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25.63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D752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28.37</w:t>
            </w:r>
          </w:p>
        </w:tc>
      </w:tr>
      <w:tr w:rsidR="00BB2316" w:rsidRPr="00264C8E" w14:paraId="4EF084ED"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4A4C2D"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CDVI</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595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20.85</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8F34E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17.83</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E742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20.19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EA4F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21.95</w:t>
            </w:r>
          </w:p>
        </w:tc>
      </w:tr>
    </w:tbl>
    <w:p w14:paraId="7C285707" w14:textId="77777777" w:rsidR="00BB2316" w:rsidRPr="00264C8E" w:rsidRDefault="00BB2316" w:rsidP="00BB2316">
      <w:pPr>
        <w:pStyle w:val="Body"/>
        <w:jc w:val="both"/>
        <w:rPr>
          <w:rFonts w:cs="Times New Roman"/>
          <w:sz w:val="24"/>
          <w:szCs w:val="24"/>
        </w:rPr>
      </w:pPr>
    </w:p>
    <w:p w14:paraId="329FAD11" w14:textId="77777777" w:rsidR="00BB2316" w:rsidRPr="00264C8E" w:rsidRDefault="00BB2316" w:rsidP="00BB2316">
      <w:pPr>
        <w:pStyle w:val="NormalWeb"/>
        <w:shd w:val="clear" w:color="auto" w:fill="FFFFFF"/>
        <w:spacing w:before="120" w:after="120" w:line="360" w:lineRule="auto"/>
        <w:jc w:val="both"/>
        <w:rPr>
          <w:b/>
          <w:bCs/>
        </w:rPr>
      </w:pPr>
      <w:r w:rsidRPr="00264C8E">
        <w:rPr>
          <w:b/>
          <w:bCs/>
        </w:rPr>
        <w:t>Direction of Indian Fresh Mango Export</w:t>
      </w:r>
    </w:p>
    <w:p w14:paraId="32BF3307" w14:textId="77777777" w:rsidR="00BB2316" w:rsidRPr="00264C8E" w:rsidRDefault="00BB2316" w:rsidP="00BB2316">
      <w:pPr>
        <w:pStyle w:val="NormalWeb"/>
        <w:shd w:val="clear" w:color="auto" w:fill="FFFFFF"/>
        <w:spacing w:before="120" w:after="120" w:line="360" w:lineRule="auto"/>
        <w:jc w:val="both"/>
      </w:pPr>
      <w:r w:rsidRPr="00264C8E">
        <w:tab/>
        <w:t>The elements in the columns of the Transitional Probability Matrix (TPM) represent the extent to which a country gains trade from its competitors, while the values in the row indicates loss of trade to the its competitors and the diagonal elements indicate the likelihood that a country retains its trade volume from the previous year.</w:t>
      </w:r>
    </w:p>
    <w:p w14:paraId="6C1562D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transitional Probability matrix of India</w:t>
      </w:r>
      <w:r w:rsidRPr="00264C8E">
        <w:rPr>
          <w:rFonts w:cs="Times New Roman"/>
          <w:sz w:val="24"/>
          <w:szCs w:val="24"/>
          <w:rtl/>
          <w:cs/>
        </w:rPr>
        <w:t>’</w:t>
      </w:r>
      <w:r w:rsidRPr="00264C8E">
        <w:rPr>
          <w:rFonts w:cs="Times New Roman"/>
          <w:sz w:val="24"/>
          <w:szCs w:val="24"/>
          <w:lang w:val="en-US"/>
        </w:rPr>
        <w:t>s fresh mangoes export has been presented in the Table 2. The mangoes, were being exported to around 50 different countries from India. Among them, key destinations for export are the UAE, UK, USA, Kuwait, Qatar, Canada, and Oman which together held the share of around 81.25 per cent of total fresh mangoes exported from India in 2023. The remaining importers are grouped into a category named "Others".</w:t>
      </w:r>
    </w:p>
    <w:p w14:paraId="0B7CCC83"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 It is observed from the table 2 that, Oman is the most stable importer of the mangoes as the probability that Oman retained its original share from previous year was 83.44 per cent. They lost their share of about 16.56 per cent to Qatar and gained from other countries group 2.26 per cent.</w:t>
      </w:r>
    </w:p>
    <w:p w14:paraId="4DBE764F"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UAE was another stable importer of fresh mangoes as it retained 44.56 per cent of its share from previous year by losing 35.47 per cent to other countries, Qatar (10.35 %) and UK (9.62 %). Even though it gained considerable share from Other countries (88.49 %), Qatar (78.50 %), UK (38.40 %), Canada (35.14 %) and USA (35.04 %).</w:t>
      </w:r>
    </w:p>
    <w:p w14:paraId="1ECDA1CC"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most unstable markets among the importing countries were Kuwait, Canada and other countries with the zero per cent retention and UK (39.72 %), and USA (0.08 %) retention of total exports from India. Considering the results of the Transitional probability matrix of fresh mangoes, Oman regarded as the most reliable market destination for the export of India</w:t>
      </w:r>
      <w:r w:rsidRPr="00264C8E">
        <w:rPr>
          <w:rFonts w:cs="Times New Roman"/>
          <w:sz w:val="24"/>
          <w:szCs w:val="24"/>
          <w:rtl/>
          <w:cs/>
        </w:rPr>
        <w:t>’</w:t>
      </w:r>
      <w:r w:rsidRPr="00264C8E">
        <w:rPr>
          <w:rFonts w:cs="Times New Roman"/>
          <w:sz w:val="24"/>
          <w:szCs w:val="24"/>
          <w:lang w:val="en-US"/>
        </w:rPr>
        <w:t>s fresh mangoes, followed by UAE, UK and USA.</w:t>
      </w:r>
    </w:p>
    <w:p w14:paraId="51C4D491" w14:textId="77777777" w:rsidR="00BB2316" w:rsidRPr="00264C8E" w:rsidRDefault="00BB2316" w:rsidP="008D2F20">
      <w:pPr>
        <w:pStyle w:val="NormalWeb"/>
        <w:shd w:val="clear" w:color="auto" w:fill="FFFFFF"/>
        <w:spacing w:line="360" w:lineRule="auto"/>
        <w:jc w:val="both"/>
      </w:pPr>
      <w:r w:rsidRPr="00264C8E">
        <w:lastRenderedPageBreak/>
        <w:tab/>
        <w:t>The findings are consistent with tho</w:t>
      </w:r>
      <w:r w:rsidR="0033662D">
        <w:t xml:space="preserve">se of Sharma and Shilpa (2021); </w:t>
      </w:r>
      <w:r w:rsidR="0033662D" w:rsidRPr="0033662D">
        <w:rPr>
          <w:color w:val="222222"/>
          <w:shd w:val="clear" w:color="auto" w:fill="FFFFFF"/>
        </w:rPr>
        <w:t>Madhu</w:t>
      </w:r>
      <w:r w:rsidR="0033662D">
        <w:rPr>
          <w:color w:val="222222"/>
          <w:shd w:val="clear" w:color="auto" w:fill="FFFFFF"/>
        </w:rPr>
        <w:t xml:space="preserve"> </w:t>
      </w:r>
      <w:r w:rsidR="0033662D" w:rsidRPr="0033662D">
        <w:rPr>
          <w:i/>
          <w:iCs/>
          <w:color w:val="222222"/>
          <w:shd w:val="clear" w:color="auto" w:fill="FFFFFF"/>
        </w:rPr>
        <w:t>et al</w:t>
      </w:r>
      <w:r w:rsidR="0033662D">
        <w:rPr>
          <w:color w:val="222222"/>
          <w:shd w:val="clear" w:color="auto" w:fill="FFFFFF"/>
        </w:rPr>
        <w:t xml:space="preserve">., 2024; </w:t>
      </w:r>
      <w:r w:rsidRPr="00264C8E">
        <w:t xml:space="preserve">Kumar </w:t>
      </w:r>
      <w:r w:rsidR="00264C8E" w:rsidRPr="00264C8E">
        <w:rPr>
          <w:i/>
          <w:iCs/>
        </w:rPr>
        <w:t>et al</w:t>
      </w:r>
      <w:r w:rsidR="00DB2670" w:rsidRPr="00264C8E">
        <w:t xml:space="preserve">. (2007) </w:t>
      </w:r>
      <w:r w:rsidRPr="00264C8E">
        <w:t>reported contrasting results, identifying six major countries</w:t>
      </w:r>
      <w:r w:rsidR="005B5965">
        <w:t xml:space="preserve"> </w:t>
      </w:r>
      <w:r w:rsidRPr="00264C8E">
        <w:t>UAE, Saudi Arabia, Ban</w:t>
      </w:r>
      <w:r w:rsidR="005B5965">
        <w:t xml:space="preserve">gladesh, UK, Bahrain, and Nepal </w:t>
      </w:r>
      <w:r w:rsidRPr="00264C8E">
        <w:t>as key importers of mangoes. Bangladesh, in particular, was found to be a stable importer of Indian fresh mangoes, maintaining its original market share of approximately 39</w:t>
      </w:r>
      <w:r w:rsidR="00DB2670" w:rsidRPr="00264C8E">
        <w:t xml:space="preserve"> per cent</w:t>
      </w:r>
      <w:r w:rsidRPr="00264C8E">
        <w:t xml:space="preserve"> during the period from 2000 to 2012.</w:t>
      </w:r>
    </w:p>
    <w:p w14:paraId="071BA721" w14:textId="77777777" w:rsidR="00264C8E" w:rsidRPr="00264C8E" w:rsidRDefault="00264C8E" w:rsidP="00264C8E">
      <w:pPr>
        <w:pStyle w:val="NormalWeb"/>
        <w:shd w:val="clear" w:color="auto" w:fill="FFFFFF"/>
        <w:spacing w:line="360" w:lineRule="auto"/>
        <w:jc w:val="both"/>
        <w:rPr>
          <w:b/>
          <w:bCs/>
        </w:rPr>
      </w:pPr>
      <w:r w:rsidRPr="00264C8E">
        <w:rPr>
          <w:b/>
          <w:bCs/>
        </w:rPr>
        <w:t>Direction of Indian Fresh Mango Export in terms of value (USD)</w:t>
      </w:r>
    </w:p>
    <w:p w14:paraId="4AE75868"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The pattern of fresh mango exports from India to various global markets was examined using a Markov-chain analysis by constructing a transition probability matrix based on six years of export value data. This matrix, presented in Table 4, provides insights into the dynamics of India's fresh mango exports between 2018 and 2023.</w:t>
      </w:r>
    </w:p>
    <w:p w14:paraId="28376932"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 xml:space="preserve">The analysis revealed that the USA was the most consistent and stable importer of Indian fresh mangoes. The probability of the USA maintaining its market share from the previous year was 67.66 per cent. However, the USA experienced a shift in its market composition, losing 32.34 per cent of its share to the UK, while gaining significant shares from Canada (100 %) and Kuwait (80.63 %). This stability and market retention indicate the strong demand for Indian mangoes in the US market, bolstered by </w:t>
      </w:r>
      <w:proofErr w:type="spellStart"/>
      <w:r w:rsidRPr="00264C8E">
        <w:rPr>
          <w:rFonts w:cs="Times New Roman"/>
          <w:color w:val="222222"/>
          <w:sz w:val="24"/>
          <w:szCs w:val="24"/>
          <w:u w:color="222222"/>
          <w:shd w:val="clear" w:color="auto" w:fill="FFFFFF"/>
          <w:lang w:val="en-US"/>
        </w:rPr>
        <w:t>favourable</w:t>
      </w:r>
      <w:proofErr w:type="spellEnd"/>
      <w:r w:rsidRPr="00264C8E">
        <w:rPr>
          <w:rFonts w:cs="Times New Roman"/>
          <w:color w:val="222222"/>
          <w:sz w:val="24"/>
          <w:szCs w:val="24"/>
          <w:u w:color="222222"/>
          <w:shd w:val="clear" w:color="auto" w:fill="FFFFFF"/>
          <w:lang w:val="en-US"/>
        </w:rPr>
        <w:t xml:space="preserve"> economic factors, such as the relative appreciation of the US dollar against other currencies.</w:t>
      </w:r>
    </w:p>
    <w:p w14:paraId="70CB6DB7"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Similarly, Oman emerged as another stable market, retaining 54.40 per cent of its mango import share from the previous year, though it lost 45.60 per cent of its share to the UK. Oman managed to increase its imports by gaining 7.60 per cent from other countries and 3.29 per cent from its internal market dynamics, reinforcing its position as a key importer. In contrast, the most volatile and unstable markets for Indian mango exports were the UK, Kuwait, Qatar, Canada, and several other smaller markets, all of which showed zero retention of their previous year</w:t>
      </w:r>
      <w:r w:rsidRPr="00264C8E">
        <w:rPr>
          <w:rFonts w:cs="Times New Roman"/>
          <w:color w:val="222222"/>
          <w:sz w:val="24"/>
          <w:szCs w:val="24"/>
          <w:u w:color="222222"/>
          <w:shd w:val="clear" w:color="auto" w:fill="FFFFFF"/>
          <w:rtl/>
          <w:cs/>
        </w:rPr>
        <w:t>’</w:t>
      </w:r>
      <w:r w:rsidRPr="00264C8E">
        <w:rPr>
          <w:rFonts w:cs="Times New Roman"/>
          <w:color w:val="222222"/>
          <w:sz w:val="24"/>
          <w:szCs w:val="24"/>
          <w:u w:color="222222"/>
          <w:shd w:val="clear" w:color="auto" w:fill="FFFFFF"/>
          <w:lang w:val="en-US"/>
        </w:rPr>
        <w:t>s market share. The UAE retained 41.24 per cent of its share, making it a moderately stable destination.</w:t>
      </w:r>
    </w:p>
    <w:p w14:paraId="473CFB6B" w14:textId="77777777" w:rsidR="00264C8E" w:rsidRPr="00264C8E" w:rsidRDefault="00264C8E" w:rsidP="00264C8E">
      <w:pPr>
        <w:pStyle w:val="Body"/>
        <w:spacing w:line="360" w:lineRule="auto"/>
        <w:jc w:val="both"/>
        <w:rPr>
          <w:rFonts w:cs="Times New Roman"/>
          <w:sz w:val="24"/>
          <w:szCs w:val="24"/>
        </w:rPr>
        <w:sectPr w:rsidR="00264C8E" w:rsidRPr="00264C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264C8E">
        <w:rPr>
          <w:rFonts w:cs="Times New Roman"/>
          <w:color w:val="222222"/>
          <w:sz w:val="24"/>
          <w:szCs w:val="24"/>
          <w:u w:color="222222"/>
          <w:shd w:val="clear" w:color="auto" w:fill="FFFFFF"/>
          <w:lang w:val="en-US"/>
        </w:rPr>
        <w:tab/>
      </w:r>
    </w:p>
    <w:p w14:paraId="09860E1E" w14:textId="77777777" w:rsidR="00BB2316" w:rsidRPr="00264C8E" w:rsidRDefault="008D2F20" w:rsidP="00BB2316">
      <w:pPr>
        <w:pStyle w:val="NormalWeb"/>
        <w:shd w:val="clear" w:color="auto" w:fill="FFFFFF"/>
        <w:spacing w:before="120" w:after="120" w:line="360" w:lineRule="auto"/>
        <w:jc w:val="both"/>
        <w:rPr>
          <w:b/>
          <w:bCs/>
        </w:rPr>
      </w:pPr>
      <w:r w:rsidRPr="00264C8E">
        <w:rPr>
          <w:b/>
          <w:bCs/>
        </w:rPr>
        <w:lastRenderedPageBreak/>
        <w:t>Table 4</w:t>
      </w:r>
      <w:r w:rsidR="00BB2316" w:rsidRPr="00264C8E">
        <w:rPr>
          <w:b/>
          <w:bCs/>
        </w:rPr>
        <w:t>: Transitional Probability matrix of Fresh Mangoes export (quantity) from India to world (2014-2023)</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5"/>
        <w:gridCol w:w="1512"/>
        <w:gridCol w:w="1512"/>
        <w:gridCol w:w="1512"/>
        <w:gridCol w:w="1512"/>
        <w:gridCol w:w="1512"/>
        <w:gridCol w:w="1573"/>
        <w:gridCol w:w="1511"/>
        <w:gridCol w:w="1509"/>
      </w:tblGrid>
      <w:tr w:rsidR="00BB2316" w:rsidRPr="00264C8E" w14:paraId="16EF4D3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D84AFE" w14:textId="77777777" w:rsidR="00BB2316" w:rsidRPr="00264C8E" w:rsidRDefault="00BB2316" w:rsidP="00303246">
            <w:pPr>
              <w:pStyle w:val="Body"/>
              <w:jc w:val="right"/>
              <w:rPr>
                <w:rFonts w:cs="Times New Roman"/>
                <w:sz w:val="24"/>
                <w:szCs w:val="24"/>
              </w:rPr>
            </w:pPr>
            <w:r w:rsidRPr="00264C8E">
              <w:rPr>
                <w:rFonts w:cs="Times New Roman"/>
                <w:b/>
                <w:bCs/>
                <w:sz w:val="24"/>
                <w:szCs w:val="24"/>
                <w:lang w:val="en-US"/>
              </w:rPr>
              <w:t> </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C1F80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4BA7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837C7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49E0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44EBC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17366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8EA47E"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4973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r>
      <w:tr w:rsidR="00BB2316" w:rsidRPr="00264C8E" w14:paraId="64F6C6E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710B1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37DB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0.4456</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B9F7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0.0962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622B4E"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24562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509278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0.1035</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D28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46950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01D0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0.3547</w:t>
            </w:r>
          </w:p>
        </w:tc>
      </w:tr>
      <w:tr w:rsidR="00BB2316" w:rsidRPr="00264C8E" w14:paraId="3BE7173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393D3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EE7B1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0.3840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F5E55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0.3972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6C4AB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7A4D7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FA3D3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B84A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EBF4EC"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1FD2C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6C9DBE6B"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72151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9FB5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0.3504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0C488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0.6488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479C0A"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3A178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A585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FDDD8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285FD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F1357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51A6DF6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F100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3377BE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98CA7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0.4094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B51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0.1545</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919BE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1693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2B6A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0.4361</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9BBBC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7F031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467264D6"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D6306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0C27D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0.7850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61ABC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0742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8D94E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96AC0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51516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AD526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3F462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32BC45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93418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45C57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0.3514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43B0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D4906C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0.4744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9609E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0.1742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08099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64B1C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04396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1A89F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8FF5C9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18F262"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17883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D0C3E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F8314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888CF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950E2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0.1656</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D35B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12091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0.8344</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2A06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17CCD558"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8EEA69"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C39FC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0.8849</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D562C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0.0674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3AF28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7668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0.0091</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E199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0.0161</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7887F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E055E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0.0226</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0D2EE4"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r>
    </w:tbl>
    <w:p w14:paraId="282155C1" w14:textId="77777777" w:rsidR="008D2F20" w:rsidRPr="00264C8E" w:rsidRDefault="008D2F20" w:rsidP="00BB2316">
      <w:pPr>
        <w:pStyle w:val="NormalWeb"/>
        <w:widowControl w:val="0"/>
        <w:spacing w:before="120" w:after="120"/>
        <w:jc w:val="both"/>
        <w:rPr>
          <w:b/>
          <w:bCs/>
        </w:rPr>
        <w:sectPr w:rsidR="008D2F20" w:rsidRPr="00264C8E" w:rsidSect="008D2F20">
          <w:pgSz w:w="16838" w:h="11906" w:orient="landscape"/>
          <w:pgMar w:top="1440" w:right="1440" w:bottom="1440" w:left="1440" w:header="708" w:footer="708" w:gutter="0"/>
          <w:cols w:space="708"/>
          <w:docGrid w:linePitch="360"/>
        </w:sectPr>
      </w:pPr>
    </w:p>
    <w:p w14:paraId="21E39D37" w14:textId="1A9D3D6F" w:rsidR="00303246" w:rsidRPr="00264C8E" w:rsidRDefault="00303246" w:rsidP="00303246">
      <w:pPr>
        <w:pStyle w:val="NormalWeb"/>
        <w:shd w:val="clear" w:color="auto" w:fill="FFFFFF"/>
        <w:spacing w:line="360" w:lineRule="auto"/>
        <w:jc w:val="both"/>
        <w:rPr>
          <w:b/>
          <w:bCs/>
        </w:rPr>
      </w:pPr>
      <w:r w:rsidRPr="00264C8E">
        <w:rPr>
          <w:b/>
          <w:bCs/>
        </w:rPr>
        <w:lastRenderedPageBreak/>
        <w:t xml:space="preserve">Table </w:t>
      </w:r>
      <w:r w:rsidR="00980D03">
        <w:rPr>
          <w:b/>
          <w:bCs/>
        </w:rPr>
        <w:t>5</w:t>
      </w:r>
      <w:r w:rsidRPr="00264C8E">
        <w:rPr>
          <w:b/>
          <w:bCs/>
        </w:rPr>
        <w:t>: Transitional Probability matrix of Fresh Mangoes export (Value) from India (2014-2023)</w:t>
      </w:r>
    </w:p>
    <w:tbl>
      <w:tblPr>
        <w:tblW w:w="13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551"/>
        <w:gridCol w:w="1551"/>
        <w:gridCol w:w="1551"/>
        <w:gridCol w:w="1551"/>
        <w:gridCol w:w="1551"/>
        <w:gridCol w:w="1551"/>
        <w:gridCol w:w="1550"/>
        <w:gridCol w:w="1540"/>
      </w:tblGrid>
      <w:tr w:rsidR="00303246" w:rsidRPr="00264C8E" w14:paraId="7F492E1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130120" w14:textId="77777777" w:rsidR="00303246" w:rsidRPr="00264C8E" w:rsidRDefault="00303246" w:rsidP="00303246">
            <w:pPr>
              <w:pStyle w:val="Body"/>
              <w:spacing w:line="360" w:lineRule="auto"/>
              <w:rPr>
                <w:rFonts w:cs="Times New Roman"/>
                <w:sz w:val="24"/>
                <w:szCs w:val="24"/>
              </w:rPr>
            </w:pPr>
            <w:r w:rsidRPr="00264C8E">
              <w:rPr>
                <w:rFonts w:cs="Times New Roman"/>
                <w:b/>
                <w:bCs/>
                <w:sz w:val="24"/>
                <w:szCs w:val="24"/>
                <w:lang w:val="en-US"/>
              </w:rPr>
              <w:t>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F00A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69640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2E69E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A2BB10"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EF01F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2C5B6B"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BBF22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5E403"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r>
      <w:tr w:rsidR="00303246" w:rsidRPr="00264C8E" w14:paraId="2BC786EA"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57B055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89EAA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0.4124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BB3A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0.2819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28D7B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E8D9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0.0210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E4696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0.0502</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ACBB3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96C6F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0.0329</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5C662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0.2016</w:t>
            </w:r>
          </w:p>
        </w:tc>
      </w:tr>
      <w:tr w:rsidR="00303246" w:rsidRPr="00264C8E" w14:paraId="2D2EE2E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08F80F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5297C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0.6848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94D12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27CF2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430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0.1257</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9C72B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0.1895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EAD42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DA33B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FFA37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E95D0E3"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C457A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631B9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26A18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0.3234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0EEBC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0.6766</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2779B7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94E9B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D7137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13352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EA8FA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6DA71D4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B586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C1DC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0EF60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01D7E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0.8063</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C516A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20A9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5DE0A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0.1937</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F7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3126B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96EE17B"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1C500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368E1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0.2880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F5934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0920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8E814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0.2515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1D111"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5BE37F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0.1376</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75E0D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3E5C7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0.3229</w:t>
            </w:r>
          </w:p>
        </w:tc>
      </w:tr>
      <w:tr w:rsidR="00303246" w:rsidRPr="00264C8E" w14:paraId="201330F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CCFCD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0C465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F3D5E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626F8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1.0000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CD7F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D5335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201F18"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55D1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4AA7C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A2BDB79"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B66D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B5863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EB080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0.4560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A0E8A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9904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EFDBB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CBD3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6EFA1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0.5440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7E310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05AA610"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8F6315"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D90A5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0.7758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6DE900"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0.0529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9046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DED1A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1EBF7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0.0954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A3844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782E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0.0760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056E0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r>
    </w:tbl>
    <w:p w14:paraId="30A16B09" w14:textId="77777777" w:rsidR="00303246" w:rsidRPr="00264C8E" w:rsidRDefault="00303246" w:rsidP="00303246">
      <w:pPr>
        <w:pStyle w:val="NormalWeb"/>
        <w:widowControl w:val="0"/>
        <w:spacing w:before="120" w:after="120"/>
        <w:jc w:val="both"/>
        <w:rPr>
          <w:b/>
          <w:bCs/>
        </w:rPr>
        <w:sectPr w:rsidR="00303246" w:rsidRPr="00264C8E" w:rsidSect="00303246">
          <w:pgSz w:w="16838" w:h="11906" w:orient="landscape"/>
          <w:pgMar w:top="1440" w:right="1440" w:bottom="1440" w:left="1440" w:header="708" w:footer="708" w:gutter="0"/>
          <w:cols w:space="708"/>
          <w:docGrid w:linePitch="360"/>
        </w:sectPr>
      </w:pPr>
    </w:p>
    <w:p w14:paraId="3B940D17" w14:textId="77777777" w:rsidR="00264C8E" w:rsidRPr="00264C8E" w:rsidRDefault="00264C8E" w:rsidP="00264C8E">
      <w:pPr>
        <w:pStyle w:val="Heading3"/>
        <w:spacing w:line="360" w:lineRule="auto"/>
        <w:jc w:val="both"/>
        <w:rPr>
          <w:b w:val="0"/>
          <w:bCs w:val="0"/>
          <w:sz w:val="24"/>
          <w:szCs w:val="24"/>
        </w:rPr>
      </w:pPr>
      <w:r>
        <w:rPr>
          <w:b w:val="0"/>
          <w:bCs w:val="0"/>
          <w:color w:val="222222"/>
          <w:sz w:val="24"/>
          <w:szCs w:val="24"/>
          <w:u w:color="222222"/>
          <w:shd w:val="clear" w:color="auto" w:fill="FFFFFF"/>
          <w:lang w:val="en-US"/>
        </w:rPr>
        <w:lastRenderedPageBreak/>
        <w:tab/>
      </w:r>
      <w:r w:rsidRPr="00264C8E">
        <w:rPr>
          <w:b w:val="0"/>
          <w:bCs w:val="0"/>
          <w:color w:val="222222"/>
          <w:sz w:val="24"/>
          <w:szCs w:val="24"/>
          <w:u w:color="222222"/>
          <w:shd w:val="clear" w:color="auto" w:fill="FFFFFF"/>
          <w:lang w:val="en-US"/>
        </w:rPr>
        <w:t xml:space="preserve">The findings from the transition probability matrix, when considering export value in USD, highlight the USA as the most reliable market for Indian mango exports. This reliability can be attributed to both market demand and the strengthening of the US dollar, which enhances the value of exports in USD. Oman and the UAE also stand out as important and stable markets, although with relatively lower retention compared to the USA. </w:t>
      </w:r>
    </w:p>
    <w:p w14:paraId="39C704E5" w14:textId="77777777" w:rsidR="00303246" w:rsidRPr="00264C8E" w:rsidRDefault="00303246" w:rsidP="00AE74F9">
      <w:pPr>
        <w:pStyle w:val="Heading3"/>
        <w:rPr>
          <w:sz w:val="24"/>
          <w:szCs w:val="24"/>
        </w:rPr>
      </w:pPr>
      <w:r w:rsidRPr="00264C8E">
        <w:rPr>
          <w:sz w:val="24"/>
          <w:szCs w:val="24"/>
        </w:rPr>
        <w:t>Conclusion</w:t>
      </w:r>
    </w:p>
    <w:p w14:paraId="2313A15B" w14:textId="77777777" w:rsidR="00303246" w:rsidRPr="00264C8E" w:rsidRDefault="0035268C" w:rsidP="0035268C">
      <w:pPr>
        <w:pStyle w:val="NormalWeb"/>
        <w:spacing w:line="360" w:lineRule="auto"/>
        <w:jc w:val="both"/>
      </w:pPr>
      <w:r w:rsidRPr="00264C8E">
        <w:tab/>
      </w:r>
      <w:r w:rsidR="00303246" w:rsidRPr="00264C8E">
        <w:t xml:space="preserve">The analysis of fresh mango and mango pulp exports from India during the period 2004–05 to 2023–24 highlights significant changes in the export performance of the mango sector. The results indicate that although export quantities of both fresh mangoes and mango pulp have fluctuated and generally declined over time, the export value has shown a consistent upward trend. Fresh mango exports recorded a negative compound annual growth rate (CAGR) of </w:t>
      </w:r>
      <w:r w:rsidR="00303246" w:rsidRPr="00264C8E">
        <w:rPr>
          <w:rStyle w:val="Strong"/>
        </w:rPr>
        <w:t>–</w:t>
      </w:r>
      <w:r w:rsidR="00303246" w:rsidRPr="00264C8E">
        <w:rPr>
          <w:rStyle w:val="Strong"/>
          <w:b w:val="0"/>
          <w:bCs w:val="0"/>
        </w:rPr>
        <w:t>5.12 per cent in quantity</w:t>
      </w:r>
      <w:r w:rsidR="00303246" w:rsidRPr="00264C8E">
        <w:rPr>
          <w:b/>
          <w:bCs/>
        </w:rPr>
        <w:t>,</w:t>
      </w:r>
      <w:r w:rsidR="00303246" w:rsidRPr="00264C8E">
        <w:t xml:space="preserve"> while export value increased significantly at </w:t>
      </w:r>
      <w:r w:rsidR="00303246" w:rsidRPr="00264C8E">
        <w:rPr>
          <w:rStyle w:val="Strong"/>
          <w:b w:val="0"/>
          <w:bCs w:val="0"/>
        </w:rPr>
        <w:t>7.75 per cent per</w:t>
      </w:r>
      <w:r w:rsidR="00303246" w:rsidRPr="00264C8E">
        <w:rPr>
          <w:rStyle w:val="Strong"/>
        </w:rPr>
        <w:t xml:space="preserve"> </w:t>
      </w:r>
      <w:r w:rsidR="00303246" w:rsidRPr="00264C8E">
        <w:rPr>
          <w:rStyle w:val="Strong"/>
          <w:b w:val="0"/>
          <w:bCs w:val="0"/>
        </w:rPr>
        <w:t>annum</w:t>
      </w:r>
      <w:r w:rsidR="00303246" w:rsidRPr="00264C8E">
        <w:rPr>
          <w:b/>
          <w:bCs/>
        </w:rPr>
        <w:t>.</w:t>
      </w:r>
      <w:r w:rsidR="00303246" w:rsidRPr="00264C8E">
        <w:t xml:space="preserve"> Similarly, mango pulp exports showed a decline in quantity with a CAGR of </w:t>
      </w:r>
      <w:r w:rsidR="00303246" w:rsidRPr="00264C8E">
        <w:rPr>
          <w:rStyle w:val="Strong"/>
          <w:b w:val="0"/>
          <w:bCs w:val="0"/>
        </w:rPr>
        <w:t>–2.93 per</w:t>
      </w:r>
      <w:r w:rsidR="00303246" w:rsidRPr="00264C8E">
        <w:rPr>
          <w:rStyle w:val="Strong"/>
        </w:rPr>
        <w:t xml:space="preserve"> </w:t>
      </w:r>
      <w:r w:rsidR="00303246" w:rsidRPr="00264C8E">
        <w:rPr>
          <w:rStyle w:val="Strong"/>
          <w:b w:val="0"/>
          <w:bCs w:val="0"/>
        </w:rPr>
        <w:t>cent</w:t>
      </w:r>
      <w:r w:rsidR="00303246" w:rsidRPr="00264C8E">
        <w:rPr>
          <w:b/>
          <w:bCs/>
        </w:rPr>
        <w:t>,</w:t>
      </w:r>
      <w:r w:rsidR="00303246" w:rsidRPr="00264C8E">
        <w:t xml:space="preserve"> whereas the export value grew moderately at </w:t>
      </w:r>
      <w:r w:rsidR="00303246" w:rsidRPr="00264C8E">
        <w:rPr>
          <w:rStyle w:val="Strong"/>
          <w:b w:val="0"/>
          <w:bCs w:val="0"/>
        </w:rPr>
        <w:t>3.34 per cent</w:t>
      </w:r>
      <w:r w:rsidR="00303246" w:rsidRPr="00264C8E">
        <w:rPr>
          <w:b/>
          <w:bCs/>
        </w:rPr>
        <w:t>.</w:t>
      </w:r>
      <w:r w:rsidR="00303246" w:rsidRPr="00264C8E">
        <w:t xml:space="preserve"> These results suggest that India’s mango export sector is increasingly becoming </w:t>
      </w:r>
      <w:r w:rsidR="00303246" w:rsidRPr="00264C8E">
        <w:rPr>
          <w:rStyle w:val="Strong"/>
          <w:b w:val="0"/>
          <w:bCs w:val="0"/>
        </w:rPr>
        <w:t>value-driven rather than volume-driven</w:t>
      </w:r>
      <w:r w:rsidR="00303246" w:rsidRPr="00264C8E">
        <w:rPr>
          <w:b/>
          <w:bCs/>
        </w:rPr>
        <w:t>,</w:t>
      </w:r>
      <w:r w:rsidR="00303246" w:rsidRPr="00264C8E">
        <w:t xml:space="preserve"> supported by higher international prices, improved product quality, and gro</w:t>
      </w:r>
      <w:r w:rsidRPr="00264C8E">
        <w:t xml:space="preserve">wing demand in premium markets. </w:t>
      </w:r>
      <w:r w:rsidR="00303246" w:rsidRPr="00264C8E">
        <w:t xml:space="preserve">The instability analysis revealed a </w:t>
      </w:r>
      <w:r w:rsidR="00303246" w:rsidRPr="00264C8E">
        <w:rPr>
          <w:rStyle w:val="Strong"/>
          <w:b w:val="0"/>
          <w:bCs w:val="0"/>
        </w:rPr>
        <w:t>moderate level of variability</w:t>
      </w:r>
      <w:r w:rsidR="00303246" w:rsidRPr="00264C8E">
        <w:t xml:space="preserve"> in both fresh mango and mango pulp exports, indicating fluctuations in export quantities and values due to production variability, market conditions, and external shocks such as the COVID-19 pandemic. The Markov chain analysis further showed that </w:t>
      </w:r>
      <w:r w:rsidR="00303246" w:rsidRPr="00264C8E">
        <w:rPr>
          <w:rStyle w:val="Strong"/>
          <w:b w:val="0"/>
          <w:bCs w:val="0"/>
        </w:rPr>
        <w:t>Oman, the UAE, and the USA</w:t>
      </w:r>
      <w:r w:rsidR="00303246" w:rsidRPr="00264C8E">
        <w:t xml:space="preserve"> are relatively stable and reliable ma</w:t>
      </w:r>
      <w:r w:rsidRPr="00264C8E">
        <w:t>rkets for Indian mango exports. S</w:t>
      </w:r>
      <w:r w:rsidR="00303246" w:rsidRPr="00264C8E">
        <w:t>trengthening export infrastructure, improving supply chain efficiency, and promoting value-added mango products will be essential for sustaining India’s competitiveness in the global mango market.</w:t>
      </w:r>
    </w:p>
    <w:p w14:paraId="4321E392" w14:textId="77777777" w:rsidR="00AE74F9" w:rsidRPr="00264C8E" w:rsidRDefault="00AE74F9" w:rsidP="00AE74F9">
      <w:pPr>
        <w:pStyle w:val="Heading3"/>
        <w:rPr>
          <w:sz w:val="24"/>
          <w:szCs w:val="24"/>
        </w:rPr>
      </w:pPr>
      <w:r w:rsidRPr="00264C8E">
        <w:rPr>
          <w:sz w:val="24"/>
          <w:szCs w:val="24"/>
        </w:rPr>
        <w:t>References</w:t>
      </w:r>
    </w:p>
    <w:p w14:paraId="062424C5" w14:textId="77777777" w:rsidR="00264C8E" w:rsidRDefault="00D72D68"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Cuddy, J. D. A., and</w:t>
      </w:r>
      <w:r w:rsidR="00264C8E" w:rsidRPr="00264C8E">
        <w:rPr>
          <w:rFonts w:ascii="Times New Roman" w:hAnsi="Times New Roman" w:cs="Times New Roman"/>
          <w:sz w:val="24"/>
          <w:szCs w:val="24"/>
        </w:rPr>
        <w:t xml:space="preserve"> Della Valle, P. A. (1978). Measuring the instability of time series data. </w:t>
      </w:r>
      <w:r w:rsidR="00264C8E" w:rsidRPr="00264C8E">
        <w:rPr>
          <w:rFonts w:ascii="Times New Roman" w:hAnsi="Times New Roman" w:cs="Times New Roman"/>
          <w:i/>
          <w:iCs/>
          <w:sz w:val="24"/>
          <w:szCs w:val="24"/>
        </w:rPr>
        <w:t>Oxford Bulletin of Economics and Statistics</w:t>
      </w:r>
      <w:r w:rsidR="00264C8E" w:rsidRPr="00264C8E">
        <w:rPr>
          <w:rFonts w:ascii="Times New Roman" w:hAnsi="Times New Roman" w:cs="Times New Roman"/>
          <w:sz w:val="24"/>
          <w:szCs w:val="24"/>
        </w:rPr>
        <w:t xml:space="preserve">, </w:t>
      </w:r>
      <w:r w:rsidR="00264C8E" w:rsidRPr="00264C8E">
        <w:rPr>
          <w:rFonts w:ascii="Times New Roman" w:hAnsi="Times New Roman" w:cs="Times New Roman"/>
          <w:b/>
          <w:bCs/>
          <w:sz w:val="24"/>
          <w:szCs w:val="24"/>
        </w:rPr>
        <w:t xml:space="preserve">40 </w:t>
      </w:r>
      <w:r w:rsidR="00264C8E" w:rsidRPr="00264C8E">
        <w:rPr>
          <w:rFonts w:ascii="Times New Roman" w:hAnsi="Times New Roman" w:cs="Times New Roman"/>
          <w:sz w:val="24"/>
          <w:szCs w:val="24"/>
        </w:rPr>
        <w:t xml:space="preserve">(1): 79-85. </w:t>
      </w:r>
    </w:p>
    <w:p w14:paraId="33A34D0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Ahmad, M., Shabbir, M., Ali, H., Hashmi, M</w:t>
      </w:r>
      <w:r>
        <w:rPr>
          <w:rFonts w:ascii="Times New Roman" w:hAnsi="Times New Roman" w:cs="Times New Roman"/>
          <w:color w:val="222222"/>
          <w:sz w:val="24"/>
          <w:szCs w:val="24"/>
          <w:shd w:val="clear" w:color="auto" w:fill="FFFFFF"/>
        </w:rPr>
        <w:t>. B. F., Ahmed, M., Ahmad, S. and</w:t>
      </w:r>
      <w:r w:rsidRPr="00264C8E">
        <w:rPr>
          <w:rFonts w:ascii="Times New Roman" w:hAnsi="Times New Roman" w:cs="Times New Roman"/>
          <w:color w:val="222222"/>
          <w:sz w:val="24"/>
          <w:szCs w:val="24"/>
          <w:shd w:val="clear" w:color="auto" w:fill="FFFFFF"/>
        </w:rPr>
        <w:t xml:space="preserve"> Malik, A. (2025). Climate-induced changes in mango production: Phenological impacts, pest threats, and mitigation approaches.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773-802). Cham: Springer Nature Switzerland.</w:t>
      </w:r>
    </w:p>
    <w:p w14:paraId="1ACF70AC"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lastRenderedPageBreak/>
        <w:t>APEDA. (2024).</w:t>
      </w:r>
      <w:r w:rsidRPr="00264C8E">
        <w:rPr>
          <w:rFonts w:ascii="Times New Roman" w:hAnsi="Times New Roman" w:cs="Times New Roman"/>
          <w:sz w:val="24"/>
          <w:szCs w:val="24"/>
        </w:rPr>
        <w:t xml:space="preserve"> Agricultural and Processed Food Products Export Development Authority, Export Statistics of Fresh Mangoes, Government of India.</w:t>
      </w:r>
    </w:p>
    <w:p w14:paraId="23222983"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Atiq</w:t>
      </w:r>
      <w:proofErr w:type="spellEnd"/>
      <w:r w:rsidRPr="00264C8E">
        <w:rPr>
          <w:rFonts w:ascii="Times New Roman" w:hAnsi="Times New Roman" w:cs="Times New Roman"/>
          <w:color w:val="222222"/>
          <w:sz w:val="24"/>
          <w:szCs w:val="24"/>
          <w:shd w:val="clear" w:color="auto" w:fill="FFFFFF"/>
        </w:rPr>
        <w:t xml:space="preserve">, M., Rajput, N. A., </w:t>
      </w:r>
      <w:proofErr w:type="spellStart"/>
      <w:r w:rsidRPr="00264C8E">
        <w:rPr>
          <w:rFonts w:ascii="Times New Roman" w:hAnsi="Times New Roman" w:cs="Times New Roman"/>
          <w:color w:val="222222"/>
          <w:sz w:val="24"/>
          <w:szCs w:val="24"/>
          <w:shd w:val="clear" w:color="auto" w:fill="FFFFFF"/>
        </w:rPr>
        <w:t>Akram</w:t>
      </w:r>
      <w:proofErr w:type="spellEnd"/>
      <w:r w:rsidRPr="00264C8E">
        <w:rPr>
          <w:rFonts w:ascii="Times New Roman" w:hAnsi="Times New Roman" w:cs="Times New Roman"/>
          <w:color w:val="222222"/>
          <w:sz w:val="24"/>
          <w:szCs w:val="24"/>
          <w:shd w:val="clear" w:color="auto" w:fill="FFFFFF"/>
        </w:rPr>
        <w:t>, A., Ahmad,</w:t>
      </w:r>
      <w:r w:rsidR="00D72D68">
        <w:rPr>
          <w:rFonts w:ascii="Times New Roman" w:hAnsi="Times New Roman" w:cs="Times New Roman"/>
          <w:color w:val="222222"/>
          <w:sz w:val="24"/>
          <w:szCs w:val="24"/>
          <w:shd w:val="clear" w:color="auto" w:fill="FFFFFF"/>
        </w:rPr>
        <w:t xml:space="preserve"> S., Ahmad, I., Ahmed, M. and</w:t>
      </w:r>
      <w:r w:rsidRPr="00264C8E">
        <w:rPr>
          <w:rFonts w:ascii="Times New Roman" w:hAnsi="Times New Roman" w:cs="Times New Roman"/>
          <w:color w:val="222222"/>
          <w:sz w:val="24"/>
          <w:szCs w:val="24"/>
          <w:shd w:val="clear" w:color="auto" w:fill="FFFFFF"/>
        </w:rPr>
        <w:t xml:space="preserve"> Malik, A. (2025). Climate Change Nexus and Its Impact on Mango Cultivation: Novel Strategies to Combat Pests and Diseases, </w:t>
      </w:r>
      <w:proofErr w:type="spellStart"/>
      <w:r w:rsidRPr="00264C8E">
        <w:rPr>
          <w:rFonts w:ascii="Times New Roman" w:hAnsi="Times New Roman" w:cs="Times New Roman"/>
          <w:color w:val="222222"/>
          <w:sz w:val="24"/>
          <w:szCs w:val="24"/>
          <w:shd w:val="clear" w:color="auto" w:fill="FFFFFF"/>
        </w:rPr>
        <w:t>Unraveling</w:t>
      </w:r>
      <w:proofErr w:type="spellEnd"/>
      <w:r w:rsidRPr="00264C8E">
        <w:rPr>
          <w:rFonts w:ascii="Times New Roman" w:hAnsi="Times New Roman" w:cs="Times New Roman"/>
          <w:color w:val="222222"/>
          <w:sz w:val="24"/>
          <w:szCs w:val="24"/>
          <w:shd w:val="clear" w:color="auto" w:fill="FFFFFF"/>
        </w:rPr>
        <w:t xml:space="preserve"> Phytosanitary Issues and Insights into Global Trade Trends.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695-712). Cham: Springer Nature Switzerland.</w:t>
      </w:r>
    </w:p>
    <w:p w14:paraId="709F54D0"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Balyan</w:t>
      </w:r>
      <w:proofErr w:type="spellEnd"/>
      <w:r w:rsidRPr="00264C8E">
        <w:rPr>
          <w:rFonts w:ascii="Times New Roman" w:hAnsi="Times New Roman" w:cs="Times New Roman"/>
          <w:color w:val="222222"/>
          <w:sz w:val="24"/>
          <w:szCs w:val="24"/>
          <w:shd w:val="clear" w:color="auto" w:fill="FFFFFF"/>
        </w:rPr>
        <w:t xml:space="preserve">, </w:t>
      </w:r>
      <w:r w:rsidR="00D72D68">
        <w:rPr>
          <w:rFonts w:ascii="Times New Roman" w:hAnsi="Times New Roman" w:cs="Times New Roman"/>
          <w:color w:val="222222"/>
          <w:sz w:val="24"/>
          <w:szCs w:val="24"/>
          <w:shd w:val="clear" w:color="auto" w:fill="FFFFFF"/>
        </w:rPr>
        <w:t xml:space="preserve">K., Kumar, S., Chahal, V. P. and </w:t>
      </w:r>
      <w:r w:rsidRPr="00264C8E">
        <w:rPr>
          <w:rFonts w:ascii="Times New Roman" w:hAnsi="Times New Roman" w:cs="Times New Roman"/>
          <w:color w:val="222222"/>
          <w:sz w:val="24"/>
          <w:szCs w:val="24"/>
          <w:shd w:val="clear" w:color="auto" w:fill="FFFFFF"/>
        </w:rPr>
        <w:t>Kumar, S. (2015). Dynamics of Indian fresh mango export. </w:t>
      </w:r>
      <w:r w:rsidRPr="00264C8E">
        <w:rPr>
          <w:rFonts w:ascii="Times New Roman" w:hAnsi="Times New Roman" w:cs="Times New Roman"/>
          <w:i/>
          <w:iCs/>
          <w:color w:val="222222"/>
          <w:sz w:val="24"/>
          <w:szCs w:val="24"/>
          <w:shd w:val="clear" w:color="auto" w:fill="FFFFFF"/>
        </w:rPr>
        <w:t>Indian Journal of Agricultural Sciences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85</w:t>
      </w:r>
      <w:r w:rsidRPr="00264C8E">
        <w:rPr>
          <w:rFonts w:ascii="Times New Roman" w:hAnsi="Times New Roman" w:cs="Times New Roman"/>
          <w:color w:val="222222"/>
          <w:sz w:val="24"/>
          <w:szCs w:val="24"/>
          <w:shd w:val="clear" w:color="auto" w:fill="FFFFFF"/>
        </w:rPr>
        <w:t>(11), 1466-1471.</w:t>
      </w:r>
    </w:p>
    <w:p w14:paraId="2B85A1AE"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Dewberry, A. J. (2020). </w:t>
      </w:r>
      <w:r w:rsidRPr="00264C8E">
        <w:rPr>
          <w:rFonts w:ascii="Times New Roman" w:hAnsi="Times New Roman" w:cs="Times New Roman"/>
          <w:i/>
          <w:iCs/>
          <w:color w:val="222222"/>
          <w:sz w:val="24"/>
          <w:szCs w:val="24"/>
          <w:shd w:val="clear" w:color="auto" w:fill="FFFFFF"/>
        </w:rPr>
        <w:t>Trade logistics quality and the intra-African trade of agricultural goods: a gravity model approach</w:t>
      </w:r>
      <w:r w:rsidRPr="00264C8E">
        <w:rPr>
          <w:rFonts w:ascii="Times New Roman" w:hAnsi="Times New Roman" w:cs="Times New Roman"/>
          <w:color w:val="222222"/>
          <w:sz w:val="24"/>
          <w:szCs w:val="24"/>
          <w:shd w:val="clear" w:color="auto" w:fill="FFFFFF"/>
        </w:rPr>
        <w:t> (Doctoral dissertation, Stellenbosch: Stellenbosch University).</w:t>
      </w:r>
    </w:p>
    <w:p w14:paraId="40985C4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Evans, E. A., </w:t>
      </w:r>
      <w:proofErr w:type="spellStart"/>
      <w:r>
        <w:rPr>
          <w:rFonts w:ascii="Times New Roman" w:hAnsi="Times New Roman" w:cs="Times New Roman"/>
          <w:color w:val="222222"/>
          <w:sz w:val="24"/>
          <w:szCs w:val="24"/>
          <w:shd w:val="clear" w:color="auto" w:fill="FFFFFF"/>
        </w:rPr>
        <w:t>Ballen</w:t>
      </w:r>
      <w:proofErr w:type="spellEnd"/>
      <w:r>
        <w:rPr>
          <w:rFonts w:ascii="Times New Roman" w:hAnsi="Times New Roman" w:cs="Times New Roman"/>
          <w:color w:val="222222"/>
          <w:sz w:val="24"/>
          <w:szCs w:val="24"/>
          <w:shd w:val="clear" w:color="auto" w:fill="FFFFFF"/>
        </w:rPr>
        <w:t>, F. H. and</w:t>
      </w:r>
      <w:r w:rsidR="00264C8E" w:rsidRPr="00264C8E">
        <w:rPr>
          <w:rFonts w:ascii="Times New Roman" w:hAnsi="Times New Roman" w:cs="Times New Roman"/>
          <w:color w:val="222222"/>
          <w:sz w:val="24"/>
          <w:szCs w:val="24"/>
          <w:shd w:val="clear" w:color="auto" w:fill="FFFFFF"/>
        </w:rPr>
        <w:t xml:space="preserve"> Siddiq, M. (2017). Mango production, global trade, consumption trends, and postharvest processing and nutrition. </w:t>
      </w:r>
      <w:r w:rsidR="00264C8E" w:rsidRPr="00264C8E">
        <w:rPr>
          <w:rFonts w:ascii="Times New Roman" w:hAnsi="Times New Roman" w:cs="Times New Roman"/>
          <w:i/>
          <w:iCs/>
          <w:color w:val="222222"/>
          <w:sz w:val="24"/>
          <w:szCs w:val="24"/>
          <w:shd w:val="clear" w:color="auto" w:fill="FFFFFF"/>
        </w:rPr>
        <w:t>Handbook of mango fruit: production, postharvest science, processing technology and nutrition</w:t>
      </w:r>
      <w:r w:rsidR="00264C8E" w:rsidRPr="00264C8E">
        <w:rPr>
          <w:rFonts w:ascii="Times New Roman" w:hAnsi="Times New Roman" w:cs="Times New Roman"/>
          <w:color w:val="222222"/>
          <w:sz w:val="24"/>
          <w:szCs w:val="24"/>
          <w:shd w:val="clear" w:color="auto" w:fill="FFFFFF"/>
        </w:rPr>
        <w:t>, 1-16.</w:t>
      </w:r>
    </w:p>
    <w:p w14:paraId="30185E31"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 (2023).</w:t>
      </w:r>
      <w:r w:rsidRPr="00264C8E">
        <w:rPr>
          <w:rFonts w:ascii="Times New Roman" w:hAnsi="Times New Roman" w:cs="Times New Roman"/>
          <w:sz w:val="24"/>
          <w:szCs w:val="24"/>
        </w:rPr>
        <w:t xml:space="preserve"> Global Mango Market and Trade Analysis Report.</w:t>
      </w:r>
    </w:p>
    <w:p w14:paraId="31E24E33"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FAOSTAT. (2023).</w:t>
      </w:r>
      <w:r w:rsidRPr="00264C8E">
        <w:rPr>
          <w:rFonts w:ascii="Times New Roman" w:hAnsi="Times New Roman" w:cs="Times New Roman"/>
          <w:sz w:val="24"/>
          <w:szCs w:val="24"/>
        </w:rPr>
        <w:t xml:space="preserve"> Food and Agriculture Organization of the United Nations. FAO Statistical Database on Global Mango Production.</w:t>
      </w:r>
    </w:p>
    <w:p w14:paraId="51DED08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Kailaku</w:t>
      </w:r>
      <w:proofErr w:type="spellEnd"/>
      <w:r w:rsidRPr="00264C8E">
        <w:rPr>
          <w:rFonts w:ascii="Times New Roman" w:hAnsi="Times New Roman" w:cs="Times New Roman"/>
          <w:color w:val="222222"/>
          <w:sz w:val="24"/>
          <w:szCs w:val="24"/>
          <w:shd w:val="clear" w:color="auto" w:fill="FFFFFF"/>
        </w:rPr>
        <w:t xml:space="preserve">, S. I., </w:t>
      </w:r>
      <w:proofErr w:type="spellStart"/>
      <w:r w:rsidR="00D72D68">
        <w:rPr>
          <w:rFonts w:ascii="Times New Roman" w:hAnsi="Times New Roman" w:cs="Times New Roman"/>
          <w:color w:val="222222"/>
          <w:sz w:val="24"/>
          <w:szCs w:val="24"/>
          <w:shd w:val="clear" w:color="auto" w:fill="FFFFFF"/>
        </w:rPr>
        <w:t>Arkeman</w:t>
      </w:r>
      <w:proofErr w:type="spellEnd"/>
      <w:r w:rsidR="00D72D68">
        <w:rPr>
          <w:rFonts w:ascii="Times New Roman" w:hAnsi="Times New Roman" w:cs="Times New Roman"/>
          <w:color w:val="222222"/>
          <w:sz w:val="24"/>
          <w:szCs w:val="24"/>
          <w:shd w:val="clear" w:color="auto" w:fill="FFFFFF"/>
        </w:rPr>
        <w:t xml:space="preserve">, Y., </w:t>
      </w:r>
      <w:proofErr w:type="spellStart"/>
      <w:r w:rsidR="00D72D68">
        <w:rPr>
          <w:rFonts w:ascii="Times New Roman" w:hAnsi="Times New Roman" w:cs="Times New Roman"/>
          <w:color w:val="222222"/>
          <w:sz w:val="24"/>
          <w:szCs w:val="24"/>
          <w:shd w:val="clear" w:color="auto" w:fill="FFFFFF"/>
        </w:rPr>
        <w:t>Purwanto</w:t>
      </w:r>
      <w:proofErr w:type="spellEnd"/>
      <w:r w:rsidR="00D72D68">
        <w:rPr>
          <w:rFonts w:ascii="Times New Roman" w:hAnsi="Times New Roman" w:cs="Times New Roman"/>
          <w:color w:val="222222"/>
          <w:sz w:val="24"/>
          <w:szCs w:val="24"/>
          <w:shd w:val="clear" w:color="auto" w:fill="FFFFFF"/>
        </w:rPr>
        <w:t xml:space="preserve">, Y. A. and </w:t>
      </w:r>
      <w:proofErr w:type="spellStart"/>
      <w:r w:rsidR="00D72D68">
        <w:rPr>
          <w:rFonts w:ascii="Times New Roman" w:hAnsi="Times New Roman" w:cs="Times New Roman"/>
          <w:color w:val="222222"/>
          <w:sz w:val="24"/>
          <w:szCs w:val="24"/>
          <w:shd w:val="clear" w:color="auto" w:fill="FFFFFF"/>
        </w:rPr>
        <w:t>Udin</w:t>
      </w:r>
      <w:proofErr w:type="spellEnd"/>
      <w:r w:rsidR="00D72D68">
        <w:rPr>
          <w:rFonts w:ascii="Times New Roman" w:hAnsi="Times New Roman" w:cs="Times New Roman"/>
          <w:color w:val="222222"/>
          <w:sz w:val="24"/>
          <w:szCs w:val="24"/>
          <w:shd w:val="clear" w:color="auto" w:fill="FFFFFF"/>
        </w:rPr>
        <w:t>, F. (2022</w:t>
      </w:r>
      <w:r w:rsidRPr="00264C8E">
        <w:rPr>
          <w:rFonts w:ascii="Times New Roman" w:hAnsi="Times New Roman" w:cs="Times New Roman"/>
          <w:color w:val="222222"/>
          <w:sz w:val="24"/>
          <w:szCs w:val="24"/>
          <w:shd w:val="clear" w:color="auto" w:fill="FFFFFF"/>
        </w:rPr>
        <w:t>). Logistics network configuration: The solution for quality-related problems in long-distance transportation of mango in Indonesia. In </w:t>
      </w:r>
      <w:r w:rsidRPr="00264C8E">
        <w:rPr>
          <w:rFonts w:ascii="Times New Roman" w:hAnsi="Times New Roman" w:cs="Times New Roman"/>
          <w:i/>
          <w:iCs/>
          <w:color w:val="222222"/>
          <w:sz w:val="24"/>
          <w:szCs w:val="24"/>
          <w:shd w:val="clear" w:color="auto" w:fill="FFFFFF"/>
        </w:rPr>
        <w:t>IOP Conference Series: Earth and Environmental Science</w:t>
      </w:r>
      <w:r w:rsidRPr="00264C8E">
        <w:rPr>
          <w:rFonts w:ascii="Times New Roman" w:hAnsi="Times New Roman" w:cs="Times New Roman"/>
          <w:color w:val="222222"/>
          <w:sz w:val="24"/>
          <w:szCs w:val="24"/>
          <w:shd w:val="clear" w:color="auto" w:fill="FFFFFF"/>
        </w:rPr>
        <w:t> (Vol. 1063, No. 1, p. 012057). IOP Publishing.</w:t>
      </w:r>
    </w:p>
    <w:p w14:paraId="6BF3526A"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Kaur, R. and</w:t>
      </w:r>
      <w:r w:rsidR="00264C8E" w:rsidRPr="00264C8E">
        <w:rPr>
          <w:rFonts w:ascii="Times New Roman" w:hAnsi="Times New Roman" w:cs="Times New Roman"/>
          <w:color w:val="222222"/>
          <w:sz w:val="24"/>
          <w:szCs w:val="24"/>
          <w:shd w:val="clear" w:color="auto" w:fill="FFFFFF"/>
        </w:rPr>
        <w:t xml:space="preserve"> Watson, J. A. (2024). A scoping review of postharvest losses, supply chain management, and technology: implications for produce quality in developing countries. </w:t>
      </w:r>
      <w:r w:rsidR="00264C8E" w:rsidRPr="00264C8E">
        <w:rPr>
          <w:rFonts w:ascii="Times New Roman" w:hAnsi="Times New Roman" w:cs="Times New Roman"/>
          <w:i/>
          <w:iCs/>
          <w:color w:val="222222"/>
          <w:sz w:val="24"/>
          <w:szCs w:val="24"/>
          <w:shd w:val="clear" w:color="auto" w:fill="FFFFFF"/>
        </w:rPr>
        <w:t>Journal of the ASABE</w:t>
      </w:r>
      <w:r w:rsidR="00264C8E" w:rsidRPr="00264C8E">
        <w:rPr>
          <w:rFonts w:ascii="Times New Roman" w:hAnsi="Times New Roman" w:cs="Times New Roman"/>
          <w:color w:val="222222"/>
          <w:sz w:val="24"/>
          <w:szCs w:val="24"/>
          <w:shd w:val="clear" w:color="auto" w:fill="FFFFFF"/>
        </w:rPr>
        <w:t>, </w:t>
      </w:r>
      <w:r w:rsidR="00264C8E" w:rsidRPr="00D72D68">
        <w:rPr>
          <w:rFonts w:ascii="Times New Roman" w:hAnsi="Times New Roman" w:cs="Times New Roman"/>
          <w:color w:val="222222"/>
          <w:sz w:val="24"/>
          <w:szCs w:val="24"/>
          <w:shd w:val="clear" w:color="auto" w:fill="FFFFFF"/>
        </w:rPr>
        <w:t>67</w:t>
      </w:r>
      <w:r w:rsidRPr="00D72D68">
        <w:rPr>
          <w:rFonts w:ascii="Times New Roman" w:hAnsi="Times New Roman" w:cs="Times New Roman"/>
          <w:color w:val="222222"/>
          <w:sz w:val="24"/>
          <w:szCs w:val="24"/>
          <w:shd w:val="clear" w:color="auto" w:fill="FFFFFF"/>
        </w:rPr>
        <w:t xml:space="preserve"> </w:t>
      </w:r>
      <w:r w:rsidR="00264C8E" w:rsidRPr="00264C8E">
        <w:rPr>
          <w:rFonts w:ascii="Times New Roman" w:hAnsi="Times New Roman" w:cs="Times New Roman"/>
          <w:color w:val="222222"/>
          <w:sz w:val="24"/>
          <w:szCs w:val="24"/>
          <w:shd w:val="clear" w:color="auto" w:fill="FFFFFF"/>
        </w:rPr>
        <w:t>(5), 1103-1131.</w:t>
      </w:r>
    </w:p>
    <w:p w14:paraId="70AD9841" w14:textId="77777777" w:rsidR="00264C8E" w:rsidRDefault="00264C8E"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Kumar, A. D. S. a</w:t>
      </w:r>
      <w:r w:rsidRPr="00264C8E">
        <w:rPr>
          <w:rFonts w:ascii="Times New Roman" w:hAnsi="Times New Roman" w:cs="Times New Roman"/>
          <w:sz w:val="24"/>
          <w:szCs w:val="24"/>
        </w:rPr>
        <w:t>nd Devaraj, M., 2020, Export performance of grapes in India</w:t>
      </w:r>
      <w:r w:rsidRPr="00264C8E">
        <w:rPr>
          <w:rFonts w:ascii="Times New Roman" w:hAnsi="Times New Roman" w:cs="Times New Roman"/>
          <w:i/>
          <w:iCs/>
          <w:sz w:val="24"/>
          <w:szCs w:val="24"/>
        </w:rPr>
        <w:t>. Journal of Research ANGRAU</w:t>
      </w:r>
      <w:r w:rsidRPr="00264C8E">
        <w:rPr>
          <w:rFonts w:ascii="Times New Roman" w:hAnsi="Times New Roman" w:cs="Times New Roman"/>
          <w:sz w:val="24"/>
          <w:szCs w:val="24"/>
        </w:rPr>
        <w:t>., 48(1): 37-45.</w:t>
      </w:r>
    </w:p>
    <w:p w14:paraId="4EB6D73F" w14:textId="77777777" w:rsidR="0033662D"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 xml:space="preserve">Laguerre, O., </w:t>
      </w:r>
      <w:proofErr w:type="spellStart"/>
      <w:r w:rsidRPr="00264C8E">
        <w:rPr>
          <w:rFonts w:ascii="Times New Roman" w:hAnsi="Times New Roman" w:cs="Times New Roman"/>
          <w:color w:val="222222"/>
          <w:sz w:val="24"/>
          <w:szCs w:val="24"/>
          <w:shd w:val="clear" w:color="auto" w:fill="FFFFFF"/>
        </w:rPr>
        <w:t>Duret</w:t>
      </w:r>
      <w:proofErr w:type="spellEnd"/>
      <w:r w:rsidRPr="00264C8E">
        <w:rPr>
          <w:rFonts w:ascii="Times New Roman" w:hAnsi="Times New Roman" w:cs="Times New Roman"/>
          <w:color w:val="222222"/>
          <w:sz w:val="24"/>
          <w:szCs w:val="24"/>
          <w:shd w:val="clear" w:color="auto" w:fill="FFFFFF"/>
        </w:rPr>
        <w:t xml:space="preserve">, S., </w:t>
      </w:r>
      <w:proofErr w:type="spellStart"/>
      <w:r w:rsidRPr="00264C8E">
        <w:rPr>
          <w:rFonts w:ascii="Times New Roman" w:hAnsi="Times New Roman" w:cs="Times New Roman"/>
          <w:color w:val="222222"/>
          <w:sz w:val="24"/>
          <w:szCs w:val="24"/>
          <w:shd w:val="clear" w:color="auto" w:fill="FFFFFF"/>
        </w:rPr>
        <w:t>Chaomuang</w:t>
      </w:r>
      <w:proofErr w:type="spellEnd"/>
      <w:r w:rsidRPr="00264C8E">
        <w:rPr>
          <w:rFonts w:ascii="Times New Roman" w:hAnsi="Times New Roman" w:cs="Times New Roman"/>
          <w:color w:val="222222"/>
          <w:sz w:val="24"/>
          <w:szCs w:val="24"/>
          <w:shd w:val="clear" w:color="auto" w:fill="FFFFFF"/>
        </w:rPr>
        <w:t xml:space="preserve">, N., Denis, A., </w:t>
      </w:r>
      <w:proofErr w:type="spellStart"/>
      <w:r w:rsidRPr="00264C8E">
        <w:rPr>
          <w:rFonts w:ascii="Times New Roman" w:hAnsi="Times New Roman" w:cs="Times New Roman"/>
          <w:color w:val="222222"/>
          <w:sz w:val="24"/>
          <w:szCs w:val="24"/>
          <w:shd w:val="clear" w:color="auto" w:fill="FFFFFF"/>
        </w:rPr>
        <w:t>Derens-Bertheau</w:t>
      </w:r>
      <w:proofErr w:type="spellEnd"/>
      <w:r w:rsidRPr="00264C8E">
        <w:rPr>
          <w:rFonts w:ascii="Times New Roman" w:hAnsi="Times New Roman" w:cs="Times New Roman"/>
          <w:color w:val="222222"/>
          <w:sz w:val="24"/>
          <w:szCs w:val="24"/>
          <w:shd w:val="clear" w:color="auto" w:fill="FFFFFF"/>
        </w:rPr>
        <w:t xml:space="preserve">, E., </w:t>
      </w:r>
      <w:proofErr w:type="spellStart"/>
      <w:r w:rsidRPr="00264C8E">
        <w:rPr>
          <w:rFonts w:ascii="Times New Roman" w:hAnsi="Times New Roman" w:cs="Times New Roman"/>
          <w:color w:val="222222"/>
          <w:sz w:val="24"/>
          <w:szCs w:val="24"/>
          <w:shd w:val="clear" w:color="auto" w:fill="FFFFFF"/>
        </w:rPr>
        <w:t>Mawilai</w:t>
      </w:r>
      <w:proofErr w:type="spellEnd"/>
      <w:r w:rsidRPr="00264C8E">
        <w:rPr>
          <w:rFonts w:ascii="Times New Roman" w:hAnsi="Times New Roman" w:cs="Times New Roman"/>
          <w:color w:val="222222"/>
          <w:sz w:val="24"/>
          <w:szCs w:val="24"/>
          <w:shd w:val="clear" w:color="auto" w:fill="FFFFFF"/>
        </w:rPr>
        <w:t xml:space="preserve">, P. and </w:t>
      </w:r>
      <w:proofErr w:type="spellStart"/>
      <w:r w:rsidRPr="00264C8E">
        <w:rPr>
          <w:rFonts w:ascii="Times New Roman" w:hAnsi="Times New Roman" w:cs="Times New Roman"/>
          <w:color w:val="222222"/>
          <w:sz w:val="24"/>
          <w:szCs w:val="24"/>
          <w:shd w:val="clear" w:color="auto" w:fill="FFFFFF"/>
        </w:rPr>
        <w:t>Pornchaloempong</w:t>
      </w:r>
      <w:proofErr w:type="spellEnd"/>
      <w:r w:rsidRPr="00264C8E">
        <w:rPr>
          <w:rFonts w:ascii="Times New Roman" w:hAnsi="Times New Roman" w:cs="Times New Roman"/>
          <w:color w:val="222222"/>
          <w:sz w:val="24"/>
          <w:szCs w:val="24"/>
          <w:shd w:val="clear" w:color="auto" w:fill="FFFFFF"/>
        </w:rPr>
        <w:t>, P. (2023). Influence of long-distance air transport conditions on horticultural product quality: Case study of fresh mango shipment from Thailand to France. </w:t>
      </w:r>
      <w:r w:rsidRPr="00264C8E">
        <w:rPr>
          <w:rFonts w:ascii="Times New Roman" w:hAnsi="Times New Roman" w:cs="Times New Roman"/>
          <w:i/>
          <w:iCs/>
          <w:color w:val="222222"/>
          <w:sz w:val="24"/>
          <w:szCs w:val="24"/>
          <w:shd w:val="clear" w:color="auto" w:fill="FFFFFF"/>
        </w:rPr>
        <w:t>International Journal of Refrigeration</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152</w:t>
      </w:r>
      <w:r w:rsidRPr="00264C8E">
        <w:rPr>
          <w:rFonts w:ascii="Times New Roman" w:hAnsi="Times New Roman" w:cs="Times New Roman"/>
          <w:color w:val="222222"/>
          <w:sz w:val="24"/>
          <w:szCs w:val="24"/>
          <w:shd w:val="clear" w:color="auto" w:fill="FFFFFF"/>
        </w:rPr>
        <w:t>, 16-25.</w:t>
      </w:r>
    </w:p>
    <w:p w14:paraId="576C5970" w14:textId="77777777" w:rsidR="00264C8E" w:rsidRPr="0033662D" w:rsidRDefault="00264C8E" w:rsidP="00264C8E">
      <w:pPr>
        <w:spacing w:after="0" w:line="360" w:lineRule="auto"/>
        <w:ind w:left="709" w:hanging="720"/>
        <w:jc w:val="both"/>
        <w:rPr>
          <w:rFonts w:ascii="Times New Roman" w:hAnsi="Times New Roman" w:cs="Times New Roman"/>
          <w:color w:val="222222"/>
          <w:sz w:val="32"/>
          <w:szCs w:val="32"/>
          <w:shd w:val="clear" w:color="auto" w:fill="FFFFFF"/>
        </w:rPr>
      </w:pPr>
      <w:r w:rsidRPr="0033662D">
        <w:rPr>
          <w:rFonts w:ascii="Times New Roman" w:hAnsi="Times New Roman" w:cs="Times New Roman"/>
          <w:color w:val="222222"/>
          <w:sz w:val="24"/>
          <w:szCs w:val="24"/>
          <w:shd w:val="clear" w:color="auto" w:fill="FFFFFF"/>
        </w:rPr>
        <w:t xml:space="preserve">Madhu, D. M., </w:t>
      </w:r>
      <w:proofErr w:type="spellStart"/>
      <w:r w:rsidRPr="0033662D">
        <w:rPr>
          <w:rFonts w:ascii="Times New Roman" w:hAnsi="Times New Roman" w:cs="Times New Roman"/>
          <w:color w:val="222222"/>
          <w:sz w:val="24"/>
          <w:szCs w:val="24"/>
          <w:shd w:val="clear" w:color="auto" w:fill="FFFFFF"/>
        </w:rPr>
        <w:t>Gunadal</w:t>
      </w:r>
      <w:proofErr w:type="spellEnd"/>
      <w:r w:rsidRPr="0033662D">
        <w:rPr>
          <w:rFonts w:ascii="Times New Roman" w:hAnsi="Times New Roman" w:cs="Times New Roman"/>
          <w:color w:val="222222"/>
          <w:sz w:val="24"/>
          <w:szCs w:val="24"/>
          <w:shd w:val="clear" w:color="auto" w:fill="FFFFFF"/>
        </w:rPr>
        <w:t xml:space="preserve">, N. M., </w:t>
      </w:r>
      <w:proofErr w:type="spellStart"/>
      <w:r w:rsidRPr="0033662D">
        <w:rPr>
          <w:rFonts w:ascii="Times New Roman" w:hAnsi="Times New Roman" w:cs="Times New Roman"/>
          <w:color w:val="222222"/>
          <w:sz w:val="24"/>
          <w:szCs w:val="24"/>
          <w:shd w:val="clear" w:color="auto" w:fill="FFFFFF"/>
        </w:rPr>
        <w:t>Harshitha</w:t>
      </w:r>
      <w:proofErr w:type="spellEnd"/>
      <w:r w:rsidRPr="0033662D">
        <w:rPr>
          <w:rFonts w:ascii="Times New Roman" w:hAnsi="Times New Roman" w:cs="Times New Roman"/>
          <w:color w:val="222222"/>
          <w:sz w:val="24"/>
          <w:szCs w:val="24"/>
          <w:shd w:val="clear" w:color="auto" w:fill="FFFFFF"/>
        </w:rPr>
        <w:t>, H. C., Geetha, R. I</w:t>
      </w:r>
      <w:r w:rsidR="00D72D68">
        <w:rPr>
          <w:rFonts w:ascii="Times New Roman" w:hAnsi="Times New Roman" w:cs="Times New Roman"/>
          <w:color w:val="222222"/>
          <w:sz w:val="24"/>
          <w:szCs w:val="24"/>
          <w:shd w:val="clear" w:color="auto" w:fill="FFFFFF"/>
        </w:rPr>
        <w:t xml:space="preserve">., Sri, K. K., </w:t>
      </w:r>
      <w:proofErr w:type="spellStart"/>
      <w:r w:rsidR="00D72D68">
        <w:rPr>
          <w:rFonts w:ascii="Times New Roman" w:hAnsi="Times New Roman" w:cs="Times New Roman"/>
          <w:color w:val="222222"/>
          <w:sz w:val="24"/>
          <w:szCs w:val="24"/>
          <w:shd w:val="clear" w:color="auto" w:fill="FFFFFF"/>
        </w:rPr>
        <w:t>Haripriya</w:t>
      </w:r>
      <w:proofErr w:type="spellEnd"/>
      <w:r w:rsidR="00D72D68">
        <w:rPr>
          <w:rFonts w:ascii="Times New Roman" w:hAnsi="Times New Roman" w:cs="Times New Roman"/>
          <w:color w:val="222222"/>
          <w:sz w:val="24"/>
          <w:szCs w:val="24"/>
          <w:shd w:val="clear" w:color="auto" w:fill="FFFFFF"/>
        </w:rPr>
        <w:t xml:space="preserve">, S. and </w:t>
      </w:r>
      <w:proofErr w:type="spellStart"/>
      <w:r w:rsidRPr="0033662D">
        <w:rPr>
          <w:rFonts w:ascii="Times New Roman" w:hAnsi="Times New Roman" w:cs="Times New Roman"/>
          <w:color w:val="222222"/>
          <w:sz w:val="24"/>
          <w:szCs w:val="24"/>
          <w:shd w:val="clear" w:color="auto" w:fill="FFFFFF"/>
        </w:rPr>
        <w:t>Hanumanthappa</w:t>
      </w:r>
      <w:proofErr w:type="spellEnd"/>
      <w:r w:rsidRPr="0033662D">
        <w:rPr>
          <w:rFonts w:ascii="Times New Roman" w:hAnsi="Times New Roman" w:cs="Times New Roman"/>
          <w:color w:val="222222"/>
          <w:sz w:val="24"/>
          <w:szCs w:val="24"/>
          <w:shd w:val="clear" w:color="auto" w:fill="FFFFFF"/>
        </w:rPr>
        <w:t xml:space="preserve">, R. (2024). A comprehensive analysis of export performance and trade </w:t>
      </w:r>
      <w:r w:rsidRPr="0033662D">
        <w:rPr>
          <w:rFonts w:ascii="Times New Roman" w:hAnsi="Times New Roman" w:cs="Times New Roman"/>
          <w:color w:val="222222"/>
          <w:sz w:val="24"/>
          <w:szCs w:val="24"/>
          <w:shd w:val="clear" w:color="auto" w:fill="FFFFFF"/>
        </w:rPr>
        <w:lastRenderedPageBreak/>
        <w:t>competitiveness of millets from India. </w:t>
      </w:r>
      <w:r w:rsidRPr="0033662D">
        <w:rPr>
          <w:rFonts w:ascii="Times New Roman" w:hAnsi="Times New Roman" w:cs="Times New Roman"/>
          <w:i/>
          <w:iCs/>
          <w:color w:val="222222"/>
          <w:sz w:val="24"/>
          <w:szCs w:val="24"/>
          <w:shd w:val="clear" w:color="auto" w:fill="FFFFFF"/>
        </w:rPr>
        <w:t>Journal of Scientific Research and Reports</w:t>
      </w:r>
      <w:r w:rsidRPr="0033662D">
        <w:rPr>
          <w:rFonts w:ascii="Times New Roman" w:hAnsi="Times New Roman" w:cs="Times New Roman"/>
          <w:color w:val="222222"/>
          <w:sz w:val="24"/>
          <w:szCs w:val="24"/>
          <w:shd w:val="clear" w:color="auto" w:fill="FFFFFF"/>
        </w:rPr>
        <w:t>, </w:t>
      </w:r>
      <w:r w:rsidRPr="0033662D">
        <w:rPr>
          <w:rFonts w:ascii="Times New Roman" w:hAnsi="Times New Roman" w:cs="Times New Roman"/>
          <w:i/>
          <w:iCs/>
          <w:color w:val="222222"/>
          <w:sz w:val="24"/>
          <w:szCs w:val="24"/>
          <w:shd w:val="clear" w:color="auto" w:fill="FFFFFF"/>
        </w:rPr>
        <w:t>30</w:t>
      </w:r>
      <w:r w:rsidRPr="0033662D">
        <w:rPr>
          <w:rFonts w:ascii="Times New Roman" w:hAnsi="Times New Roman" w:cs="Times New Roman"/>
          <w:color w:val="222222"/>
          <w:sz w:val="24"/>
          <w:szCs w:val="24"/>
          <w:shd w:val="clear" w:color="auto" w:fill="FFFFFF"/>
        </w:rPr>
        <w:t>(5), 43-55.</w:t>
      </w:r>
    </w:p>
    <w:p w14:paraId="72AFF77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Meena, B. L., Khan, S. A. and </w:t>
      </w:r>
      <w:r w:rsidR="00264C8E" w:rsidRPr="00264C8E">
        <w:rPr>
          <w:rFonts w:ascii="Times New Roman" w:hAnsi="Times New Roman" w:cs="Times New Roman"/>
          <w:color w:val="222222"/>
          <w:sz w:val="24"/>
          <w:szCs w:val="24"/>
          <w:shd w:val="clear" w:color="auto" w:fill="FFFFFF"/>
        </w:rPr>
        <w:t>Srivastava, V. (2022). Current Scenario of GI Certified Mango Varieties in India. </w:t>
      </w:r>
      <w:r w:rsidR="00264C8E" w:rsidRPr="00264C8E">
        <w:rPr>
          <w:rFonts w:ascii="Times New Roman" w:hAnsi="Times New Roman" w:cs="Times New Roman"/>
          <w:i/>
          <w:iCs/>
          <w:color w:val="222222"/>
          <w:sz w:val="24"/>
          <w:szCs w:val="24"/>
          <w:shd w:val="clear" w:color="auto" w:fill="FFFFFF"/>
        </w:rPr>
        <w:t>Economic Affairs</w:t>
      </w:r>
      <w:r w:rsidR="00264C8E" w:rsidRPr="00264C8E">
        <w:rPr>
          <w:rFonts w:ascii="Times New Roman" w:hAnsi="Times New Roman" w:cs="Times New Roman"/>
          <w:color w:val="222222"/>
          <w:sz w:val="24"/>
          <w:szCs w:val="24"/>
          <w:shd w:val="clear" w:color="auto" w:fill="FFFFFF"/>
        </w:rPr>
        <w:t>, </w:t>
      </w:r>
      <w:r w:rsidR="00264C8E" w:rsidRPr="00264C8E">
        <w:rPr>
          <w:rFonts w:ascii="Times New Roman" w:hAnsi="Times New Roman" w:cs="Times New Roman"/>
          <w:i/>
          <w:iCs/>
          <w:color w:val="222222"/>
          <w:sz w:val="24"/>
          <w:szCs w:val="24"/>
          <w:shd w:val="clear" w:color="auto" w:fill="FFFFFF"/>
        </w:rPr>
        <w:t>67</w:t>
      </w:r>
      <w:r w:rsidR="00264C8E" w:rsidRPr="00264C8E">
        <w:rPr>
          <w:rFonts w:ascii="Times New Roman" w:hAnsi="Times New Roman" w:cs="Times New Roman"/>
          <w:color w:val="222222"/>
          <w:sz w:val="24"/>
          <w:szCs w:val="24"/>
          <w:shd w:val="clear" w:color="auto" w:fill="FFFFFF"/>
        </w:rPr>
        <w:t>(4), 681-690.</w:t>
      </w:r>
    </w:p>
    <w:p w14:paraId="63B4E7D8" w14:textId="77777777" w:rsidR="00264C8E" w:rsidRDefault="00D72D68" w:rsidP="00264C8E">
      <w:pPr>
        <w:spacing w:after="0" w:line="360" w:lineRule="auto"/>
        <w:ind w:left="709" w:hanging="720"/>
        <w:jc w:val="both"/>
        <w:rPr>
          <w:rFonts w:ascii="Times New Roman" w:hAnsi="Times New Roman" w:cs="Times New Roman"/>
          <w:sz w:val="24"/>
          <w:szCs w:val="24"/>
        </w:rPr>
      </w:pPr>
      <w:r>
        <w:rPr>
          <w:rStyle w:val="Strong"/>
          <w:rFonts w:ascii="Times New Roman" w:eastAsia="Segoe UI" w:hAnsi="Times New Roman" w:cs="Times New Roman"/>
          <w:b w:val="0"/>
          <w:bCs w:val="0"/>
          <w:sz w:val="24"/>
          <w:szCs w:val="24"/>
        </w:rPr>
        <w:t xml:space="preserve">Ministry of Agriculture and </w:t>
      </w:r>
      <w:r w:rsidR="00264C8E" w:rsidRPr="00264C8E">
        <w:rPr>
          <w:rStyle w:val="Strong"/>
          <w:rFonts w:ascii="Times New Roman" w:eastAsia="Segoe UI" w:hAnsi="Times New Roman" w:cs="Times New Roman"/>
          <w:b w:val="0"/>
          <w:bCs w:val="0"/>
          <w:sz w:val="24"/>
          <w:szCs w:val="24"/>
        </w:rPr>
        <w:t>Farmers Welfare. (2024).</w:t>
      </w:r>
      <w:r w:rsidR="00264C8E" w:rsidRPr="00264C8E">
        <w:rPr>
          <w:rFonts w:ascii="Times New Roman" w:hAnsi="Times New Roman" w:cs="Times New Roman"/>
          <w:sz w:val="24"/>
          <w:szCs w:val="24"/>
        </w:rPr>
        <w:t xml:space="preserve"> Horticulture Statistics at a Glance, Government of India.</w:t>
      </w:r>
    </w:p>
    <w:p w14:paraId="2E2F270E"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Mitra, S. K. (2014</w:t>
      </w:r>
      <w:r w:rsidR="00264C8E" w:rsidRPr="00264C8E">
        <w:rPr>
          <w:rFonts w:ascii="Times New Roman" w:hAnsi="Times New Roman" w:cs="Times New Roman"/>
          <w:color w:val="222222"/>
          <w:sz w:val="24"/>
          <w:szCs w:val="24"/>
          <w:shd w:val="clear" w:color="auto" w:fill="FFFFFF"/>
        </w:rPr>
        <w:t>). Mango production in the world–present situation and future prospect. In </w:t>
      </w:r>
      <w:r w:rsidR="00264C8E" w:rsidRPr="00264C8E">
        <w:rPr>
          <w:rFonts w:ascii="Times New Roman" w:hAnsi="Times New Roman" w:cs="Times New Roman"/>
          <w:i/>
          <w:iCs/>
          <w:color w:val="222222"/>
          <w:sz w:val="24"/>
          <w:szCs w:val="24"/>
          <w:shd w:val="clear" w:color="auto" w:fill="FFFFFF"/>
        </w:rPr>
        <w:t>XXIX International Horticultural Congress on Horticulture: Sustaining Lives, Livelihoods and Landscapes (IHC2014): IV 1111</w:t>
      </w:r>
      <w:r w:rsidR="00264C8E" w:rsidRPr="00264C8E">
        <w:rPr>
          <w:rFonts w:ascii="Times New Roman" w:hAnsi="Times New Roman" w:cs="Times New Roman"/>
          <w:color w:val="222222"/>
          <w:sz w:val="24"/>
          <w:szCs w:val="24"/>
          <w:shd w:val="clear" w:color="auto" w:fill="FFFFFF"/>
        </w:rPr>
        <w:t> (pp. 287-296).</w:t>
      </w:r>
    </w:p>
    <w:p w14:paraId="61FA18E7"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Mounika, K., Reddy, P. P., Singh, R. P., Pandey, A.,</w:t>
      </w:r>
      <w:r w:rsidR="00D72D68">
        <w:rPr>
          <w:rFonts w:ascii="Times New Roman" w:hAnsi="Times New Roman" w:cs="Times New Roman"/>
          <w:color w:val="222222"/>
          <w:sz w:val="24"/>
          <w:szCs w:val="24"/>
          <w:shd w:val="clear" w:color="auto" w:fill="FFFFFF"/>
        </w:rPr>
        <w:t xml:space="preserve"> </w:t>
      </w:r>
      <w:proofErr w:type="spellStart"/>
      <w:r w:rsidR="00D72D68">
        <w:rPr>
          <w:rFonts w:ascii="Times New Roman" w:hAnsi="Times New Roman" w:cs="Times New Roman"/>
          <w:color w:val="222222"/>
          <w:sz w:val="24"/>
          <w:szCs w:val="24"/>
          <w:shd w:val="clear" w:color="auto" w:fill="FFFFFF"/>
        </w:rPr>
        <w:t>Bharty</w:t>
      </w:r>
      <w:proofErr w:type="spellEnd"/>
      <w:r w:rsidR="00D72D68">
        <w:rPr>
          <w:rFonts w:ascii="Times New Roman" w:hAnsi="Times New Roman" w:cs="Times New Roman"/>
          <w:color w:val="222222"/>
          <w:sz w:val="24"/>
          <w:szCs w:val="24"/>
          <w:shd w:val="clear" w:color="auto" w:fill="FFFFFF"/>
        </w:rPr>
        <w:t>, S. K., Kumar, A. and</w:t>
      </w:r>
      <w:r w:rsidRPr="00264C8E">
        <w:rPr>
          <w:rFonts w:ascii="Times New Roman" w:hAnsi="Times New Roman" w:cs="Times New Roman"/>
          <w:color w:val="222222"/>
          <w:sz w:val="24"/>
          <w:szCs w:val="24"/>
          <w:shd w:val="clear" w:color="auto" w:fill="FFFFFF"/>
        </w:rPr>
        <w:t xml:space="preserve"> Jain, S. (2025). Post-harvest technologies and cold chain management: A review. </w:t>
      </w:r>
      <w:r w:rsidRPr="00264C8E">
        <w:rPr>
          <w:rFonts w:ascii="Times New Roman" w:hAnsi="Times New Roman" w:cs="Times New Roman"/>
          <w:i/>
          <w:iCs/>
          <w:color w:val="222222"/>
          <w:sz w:val="24"/>
          <w:szCs w:val="24"/>
          <w:shd w:val="clear" w:color="auto" w:fill="FFFFFF"/>
        </w:rPr>
        <w:t>Plant Archives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25</w:t>
      </w:r>
      <w:r w:rsidRPr="00264C8E">
        <w:rPr>
          <w:rFonts w:ascii="Times New Roman" w:hAnsi="Times New Roman" w:cs="Times New Roman"/>
          <w:color w:val="222222"/>
          <w:sz w:val="24"/>
          <w:szCs w:val="24"/>
          <w:shd w:val="clear" w:color="auto" w:fill="FFFFFF"/>
        </w:rPr>
        <w:t>(1), 3275-3283.</w:t>
      </w:r>
    </w:p>
    <w:p w14:paraId="529A476F"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Roberts, R. E. (2019). Analysis of mango markets, trade and strategic research issues in the Asia-Pacific.</w:t>
      </w:r>
    </w:p>
    <w:p w14:paraId="03B34E49"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 xml:space="preserve">Sharma, M., 2019, A review article on value chain analysis of vegetable sub-sector in Nepal. </w:t>
      </w:r>
      <w:r w:rsidRPr="00264C8E">
        <w:rPr>
          <w:rFonts w:ascii="Times New Roman" w:hAnsi="Times New Roman" w:cs="Times New Roman"/>
          <w:i/>
          <w:iCs/>
          <w:sz w:val="24"/>
          <w:szCs w:val="24"/>
          <w:lang w:val="en-US"/>
        </w:rPr>
        <w:t>Acta Scientific Agriculture.,</w:t>
      </w:r>
      <w:r w:rsidRPr="00264C8E">
        <w:rPr>
          <w:rFonts w:ascii="Times New Roman" w:hAnsi="Times New Roman" w:cs="Times New Roman"/>
          <w:sz w:val="24"/>
          <w:szCs w:val="24"/>
        </w:rPr>
        <w:t xml:space="preserve"> 3(9): 2-17.</w:t>
      </w:r>
    </w:p>
    <w:p w14:paraId="10CEFBA6"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Shilpa, S. J., Pandian, S. S. A., Chand</w:t>
      </w:r>
      <w:r>
        <w:rPr>
          <w:rFonts w:ascii="Times New Roman" w:hAnsi="Times New Roman" w:cs="Times New Roman"/>
          <w:sz w:val="24"/>
          <w:szCs w:val="24"/>
          <w:lang w:val="en-US"/>
        </w:rPr>
        <w:t xml:space="preserve">rasekar, G. K., </w:t>
      </w:r>
      <w:proofErr w:type="spellStart"/>
      <w:r>
        <w:rPr>
          <w:rFonts w:ascii="Times New Roman" w:hAnsi="Times New Roman" w:cs="Times New Roman"/>
          <w:sz w:val="24"/>
          <w:szCs w:val="24"/>
          <w:lang w:val="en-US"/>
        </w:rPr>
        <w:t>Thangarasu</w:t>
      </w:r>
      <w:proofErr w:type="spellEnd"/>
      <w:r>
        <w:rPr>
          <w:rFonts w:ascii="Times New Roman" w:hAnsi="Times New Roman" w:cs="Times New Roman"/>
          <w:sz w:val="24"/>
          <w:szCs w:val="24"/>
          <w:lang w:val="en-US"/>
        </w:rPr>
        <w:t>, S. a</w:t>
      </w:r>
      <w:r w:rsidRPr="00264C8E">
        <w:rPr>
          <w:rFonts w:ascii="Times New Roman" w:hAnsi="Times New Roman" w:cs="Times New Roman"/>
          <w:sz w:val="24"/>
          <w:szCs w:val="24"/>
          <w:lang w:val="en-US"/>
        </w:rPr>
        <w:t>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w:t>
      </w:r>
      <w:r w:rsidRPr="00264C8E">
        <w:rPr>
          <w:rFonts w:ascii="Times New Roman" w:hAnsi="Times New Roman" w:cs="Times New Roman"/>
          <w:sz w:val="24"/>
          <w:szCs w:val="24"/>
          <w:lang w:val="en-US"/>
        </w:rPr>
        <w:t>inothini</w:t>
      </w:r>
      <w:proofErr w:type="spellEnd"/>
      <w:r w:rsidRPr="00264C8E">
        <w:rPr>
          <w:rFonts w:ascii="Times New Roman" w:hAnsi="Times New Roman" w:cs="Times New Roman"/>
          <w:sz w:val="24"/>
          <w:szCs w:val="24"/>
          <w:lang w:val="en-US"/>
        </w:rPr>
        <w:t xml:space="preserve">, P., 2017, Assessing the trade performance of poultry products in India -an application of </w:t>
      </w:r>
      <w:proofErr w:type="spellStart"/>
      <w:r w:rsidRPr="00264C8E">
        <w:rPr>
          <w:rFonts w:ascii="Times New Roman" w:hAnsi="Times New Roman" w:cs="Times New Roman"/>
          <w:sz w:val="24"/>
          <w:szCs w:val="24"/>
          <w:lang w:val="en-US"/>
        </w:rPr>
        <w:t>markov</w:t>
      </w:r>
      <w:proofErr w:type="spellEnd"/>
      <w:r w:rsidRPr="00264C8E">
        <w:rPr>
          <w:rFonts w:ascii="Times New Roman" w:hAnsi="Times New Roman" w:cs="Times New Roman"/>
          <w:sz w:val="24"/>
          <w:szCs w:val="24"/>
          <w:lang w:val="en-US"/>
        </w:rPr>
        <w:t xml:space="preserve"> chain analysis. </w:t>
      </w:r>
      <w:r w:rsidRPr="00264C8E">
        <w:rPr>
          <w:rFonts w:ascii="Times New Roman" w:hAnsi="Times New Roman" w:cs="Times New Roman"/>
          <w:i/>
          <w:iCs/>
          <w:sz w:val="24"/>
          <w:szCs w:val="24"/>
          <w:lang w:val="en-US"/>
        </w:rPr>
        <w:t>International Journal of Pure and Applied Bioscience</w:t>
      </w:r>
      <w:r w:rsidRPr="00264C8E">
        <w:rPr>
          <w:rFonts w:ascii="Times New Roman" w:hAnsi="Times New Roman" w:cs="Times New Roman"/>
          <w:sz w:val="24"/>
          <w:szCs w:val="24"/>
        </w:rPr>
        <w:t>., 5(1): 986-991.</w:t>
      </w:r>
    </w:p>
    <w:p w14:paraId="6F98BA76"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Thakor</w:t>
      </w:r>
      <w:proofErr w:type="spellEnd"/>
      <w:r w:rsidRPr="00264C8E">
        <w:rPr>
          <w:rFonts w:ascii="Times New Roman" w:hAnsi="Times New Roman" w:cs="Times New Roman"/>
          <w:color w:val="222222"/>
          <w:sz w:val="24"/>
          <w:szCs w:val="24"/>
          <w:shd w:val="clear" w:color="auto" w:fill="FFFFFF"/>
        </w:rPr>
        <w:t>, N. J. (2019). Indian mango–production and export scenario. </w:t>
      </w:r>
      <w:r w:rsidRPr="00264C8E">
        <w:rPr>
          <w:rFonts w:ascii="Times New Roman" w:hAnsi="Times New Roman" w:cs="Times New Roman"/>
          <w:i/>
          <w:iCs/>
          <w:color w:val="222222"/>
          <w:sz w:val="24"/>
          <w:szCs w:val="24"/>
          <w:shd w:val="clear" w:color="auto" w:fill="FFFFFF"/>
        </w:rPr>
        <w:t>Peach</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18</w:t>
      </w:r>
      <w:r w:rsidRPr="00264C8E">
        <w:rPr>
          <w:rFonts w:ascii="Times New Roman" w:hAnsi="Times New Roman" w:cs="Times New Roman"/>
          <w:color w:val="222222"/>
          <w:sz w:val="24"/>
          <w:szCs w:val="24"/>
          <w:shd w:val="clear" w:color="auto" w:fill="FFFFFF"/>
        </w:rPr>
        <w:t>(107), 0-12.</w:t>
      </w:r>
    </w:p>
    <w:p w14:paraId="513632AF" w14:textId="77777777" w:rsidR="00264C8E" w:rsidRP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264C8E">
        <w:rPr>
          <w:rFonts w:ascii="Times New Roman" w:hAnsi="Times New Roman" w:cs="Times New Roman"/>
          <w:color w:val="222222"/>
          <w:sz w:val="24"/>
          <w:szCs w:val="24"/>
          <w:shd w:val="clear" w:color="auto" w:fill="FFFFFF"/>
        </w:rPr>
        <w:t>Thara</w:t>
      </w:r>
      <w:r w:rsidR="00D72D68">
        <w:rPr>
          <w:rFonts w:ascii="Times New Roman" w:hAnsi="Times New Roman" w:cs="Times New Roman"/>
          <w:color w:val="222222"/>
          <w:sz w:val="24"/>
          <w:szCs w:val="24"/>
          <w:shd w:val="clear" w:color="auto" w:fill="FFFFFF"/>
        </w:rPr>
        <w:t>nathan</w:t>
      </w:r>
      <w:proofErr w:type="spellEnd"/>
      <w:r w:rsidR="00D72D68">
        <w:rPr>
          <w:rFonts w:ascii="Times New Roman" w:hAnsi="Times New Roman" w:cs="Times New Roman"/>
          <w:color w:val="222222"/>
          <w:sz w:val="24"/>
          <w:szCs w:val="24"/>
          <w:shd w:val="clear" w:color="auto" w:fill="FFFFFF"/>
        </w:rPr>
        <w:t>, R. N., Yashoda, H. M. and</w:t>
      </w:r>
      <w:r w:rsidRPr="00264C8E">
        <w:rPr>
          <w:rFonts w:ascii="Times New Roman" w:hAnsi="Times New Roman" w:cs="Times New Roman"/>
          <w:color w:val="222222"/>
          <w:sz w:val="24"/>
          <w:szCs w:val="24"/>
          <w:shd w:val="clear" w:color="auto" w:fill="FFFFFF"/>
        </w:rPr>
        <w:t xml:space="preserve"> Prabha, T. N. (2006). Mango (</w:t>
      </w:r>
      <w:proofErr w:type="spellStart"/>
      <w:r w:rsidRPr="00264C8E">
        <w:rPr>
          <w:rFonts w:ascii="Times New Roman" w:hAnsi="Times New Roman" w:cs="Times New Roman"/>
          <w:color w:val="222222"/>
          <w:sz w:val="24"/>
          <w:szCs w:val="24"/>
          <w:shd w:val="clear" w:color="auto" w:fill="FFFFFF"/>
        </w:rPr>
        <w:t>Mangifera</w:t>
      </w:r>
      <w:proofErr w:type="spellEnd"/>
      <w:r w:rsidRPr="00264C8E">
        <w:rPr>
          <w:rFonts w:ascii="Times New Roman" w:hAnsi="Times New Roman" w:cs="Times New Roman"/>
          <w:color w:val="222222"/>
          <w:sz w:val="24"/>
          <w:szCs w:val="24"/>
          <w:shd w:val="clear" w:color="auto" w:fill="FFFFFF"/>
        </w:rPr>
        <w:t xml:space="preserve"> </w:t>
      </w:r>
      <w:proofErr w:type="spellStart"/>
      <w:r w:rsidRPr="00264C8E">
        <w:rPr>
          <w:rFonts w:ascii="Times New Roman" w:hAnsi="Times New Roman" w:cs="Times New Roman"/>
          <w:color w:val="222222"/>
          <w:sz w:val="24"/>
          <w:szCs w:val="24"/>
          <w:shd w:val="clear" w:color="auto" w:fill="FFFFFF"/>
        </w:rPr>
        <w:t>indica</w:t>
      </w:r>
      <w:proofErr w:type="spellEnd"/>
      <w:r w:rsidRPr="00264C8E">
        <w:rPr>
          <w:rFonts w:ascii="Times New Roman" w:hAnsi="Times New Roman" w:cs="Times New Roman"/>
          <w:color w:val="222222"/>
          <w:sz w:val="24"/>
          <w:szCs w:val="24"/>
          <w:shd w:val="clear" w:color="auto" w:fill="FFFFFF"/>
        </w:rPr>
        <w:t xml:space="preserve"> L.</w:t>
      </w:r>
      <w:proofErr w:type="gramStart"/>
      <w:r w:rsidRPr="00264C8E">
        <w:rPr>
          <w:rFonts w:ascii="Times New Roman" w:hAnsi="Times New Roman" w:cs="Times New Roman"/>
          <w:color w:val="222222"/>
          <w:sz w:val="24"/>
          <w:szCs w:val="24"/>
          <w:shd w:val="clear" w:color="auto" w:fill="FFFFFF"/>
        </w:rPr>
        <w:t>),“</w:t>
      </w:r>
      <w:proofErr w:type="gramEnd"/>
      <w:r w:rsidRPr="00264C8E">
        <w:rPr>
          <w:rFonts w:ascii="Times New Roman" w:hAnsi="Times New Roman" w:cs="Times New Roman"/>
          <w:color w:val="222222"/>
          <w:sz w:val="24"/>
          <w:szCs w:val="24"/>
          <w:shd w:val="clear" w:color="auto" w:fill="FFFFFF"/>
        </w:rPr>
        <w:t>The king of fruits”—An overview. </w:t>
      </w:r>
      <w:r w:rsidRPr="00264C8E">
        <w:rPr>
          <w:rFonts w:ascii="Times New Roman" w:hAnsi="Times New Roman" w:cs="Times New Roman"/>
          <w:i/>
          <w:iCs/>
          <w:color w:val="222222"/>
          <w:sz w:val="24"/>
          <w:szCs w:val="24"/>
          <w:shd w:val="clear" w:color="auto" w:fill="FFFFFF"/>
        </w:rPr>
        <w:t>Food reviews international</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22</w:t>
      </w:r>
      <w:r w:rsidRPr="00264C8E">
        <w:rPr>
          <w:rFonts w:ascii="Times New Roman" w:hAnsi="Times New Roman" w:cs="Times New Roman"/>
          <w:color w:val="222222"/>
          <w:sz w:val="24"/>
          <w:szCs w:val="24"/>
          <w:shd w:val="clear" w:color="auto" w:fill="FFFFFF"/>
        </w:rPr>
        <w:t>(2), 95-123.</w:t>
      </w:r>
    </w:p>
    <w:sectPr w:rsidR="00264C8E" w:rsidRPr="00264C8E" w:rsidSect="00303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70C33" w14:textId="77777777" w:rsidR="00DD613B" w:rsidRDefault="00DD613B" w:rsidP="00986E81">
      <w:pPr>
        <w:spacing w:after="0" w:line="240" w:lineRule="auto"/>
      </w:pPr>
      <w:r>
        <w:separator/>
      </w:r>
    </w:p>
  </w:endnote>
  <w:endnote w:type="continuationSeparator" w:id="0">
    <w:p w14:paraId="1113BEBB" w14:textId="77777777" w:rsidR="00DD613B" w:rsidRDefault="00DD613B" w:rsidP="0098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altName w:val="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906C" w14:textId="77777777" w:rsidR="00986E81" w:rsidRDefault="0098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3159" w14:textId="77777777" w:rsidR="00986E81" w:rsidRDefault="00986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1F4D" w14:textId="77777777" w:rsidR="00986E81" w:rsidRDefault="0098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A5DF" w14:textId="77777777" w:rsidR="00DD613B" w:rsidRDefault="00DD613B" w:rsidP="00986E81">
      <w:pPr>
        <w:spacing w:after="0" w:line="240" w:lineRule="auto"/>
      </w:pPr>
      <w:r>
        <w:separator/>
      </w:r>
    </w:p>
  </w:footnote>
  <w:footnote w:type="continuationSeparator" w:id="0">
    <w:p w14:paraId="07610033" w14:textId="77777777" w:rsidR="00DD613B" w:rsidRDefault="00DD613B" w:rsidP="0098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0508" w14:textId="5A082CFB" w:rsidR="00986E81" w:rsidRDefault="00986E81">
    <w:pPr>
      <w:pStyle w:val="Header"/>
    </w:pPr>
    <w:r>
      <w:rPr>
        <w:noProof/>
      </w:rPr>
      <w:pict w14:anchorId="69220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9F1A" w14:textId="733FF629" w:rsidR="00986E81" w:rsidRDefault="00986E81">
    <w:pPr>
      <w:pStyle w:val="Header"/>
    </w:pPr>
    <w:r>
      <w:rPr>
        <w:noProof/>
      </w:rPr>
      <w:pict w14:anchorId="7523A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4747" w14:textId="2A74A2C9" w:rsidR="00986E81" w:rsidRDefault="00986E81">
    <w:pPr>
      <w:pStyle w:val="Header"/>
    </w:pPr>
    <w:r>
      <w:rPr>
        <w:noProof/>
      </w:rPr>
      <w:pict w14:anchorId="573BC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6EAD"/>
    <w:multiLevelType w:val="hybridMultilevel"/>
    <w:tmpl w:val="5B24E534"/>
    <w:lvl w:ilvl="0" w:tplc="1472AE68">
      <w:start w:val="1"/>
      <w:numFmt w:val="low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15:restartNumberingAfterBreak="0">
    <w:nsid w:val="6FD630CE"/>
    <w:multiLevelType w:val="multilevel"/>
    <w:tmpl w:val="3DC060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478F4"/>
    <w:multiLevelType w:val="multilevel"/>
    <w:tmpl w:val="FD8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5"/>
    <w:rsid w:val="00006D91"/>
    <w:rsid w:val="00037132"/>
    <w:rsid w:val="00045D94"/>
    <w:rsid w:val="00083128"/>
    <w:rsid w:val="00091B9E"/>
    <w:rsid w:val="000F5D55"/>
    <w:rsid w:val="00195059"/>
    <w:rsid w:val="00221B04"/>
    <w:rsid w:val="00264C8E"/>
    <w:rsid w:val="002768CE"/>
    <w:rsid w:val="002F6A3C"/>
    <w:rsid w:val="00303246"/>
    <w:rsid w:val="00310783"/>
    <w:rsid w:val="0033662D"/>
    <w:rsid w:val="0035268C"/>
    <w:rsid w:val="003E100D"/>
    <w:rsid w:val="003E70BF"/>
    <w:rsid w:val="004D25BD"/>
    <w:rsid w:val="0054639B"/>
    <w:rsid w:val="005963A1"/>
    <w:rsid w:val="005A69D3"/>
    <w:rsid w:val="005B5965"/>
    <w:rsid w:val="005E2184"/>
    <w:rsid w:val="006272E1"/>
    <w:rsid w:val="006C2FD7"/>
    <w:rsid w:val="006C5FD7"/>
    <w:rsid w:val="006E3813"/>
    <w:rsid w:val="00751900"/>
    <w:rsid w:val="007722F3"/>
    <w:rsid w:val="00845B29"/>
    <w:rsid w:val="008925AC"/>
    <w:rsid w:val="008961E1"/>
    <w:rsid w:val="008A6320"/>
    <w:rsid w:val="008D1AD3"/>
    <w:rsid w:val="008D2F20"/>
    <w:rsid w:val="00914030"/>
    <w:rsid w:val="00980D03"/>
    <w:rsid w:val="00986E81"/>
    <w:rsid w:val="009E0AC2"/>
    <w:rsid w:val="009F4624"/>
    <w:rsid w:val="00A264B3"/>
    <w:rsid w:val="00AE74F9"/>
    <w:rsid w:val="00AF03B0"/>
    <w:rsid w:val="00B911D6"/>
    <w:rsid w:val="00BB2316"/>
    <w:rsid w:val="00BE22CA"/>
    <w:rsid w:val="00C72509"/>
    <w:rsid w:val="00CA51B5"/>
    <w:rsid w:val="00CC3632"/>
    <w:rsid w:val="00CE244C"/>
    <w:rsid w:val="00D01A43"/>
    <w:rsid w:val="00D536F8"/>
    <w:rsid w:val="00D72D68"/>
    <w:rsid w:val="00DA1CE7"/>
    <w:rsid w:val="00DB2670"/>
    <w:rsid w:val="00DD613B"/>
    <w:rsid w:val="00E3444E"/>
    <w:rsid w:val="00EB4024"/>
    <w:rsid w:val="00F70E4E"/>
    <w:rsid w:val="00FB29A5"/>
    <w:rsid w:val="00FC2A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10543"/>
  <w15:chartTrackingRefBased/>
  <w15:docId w15:val="{7BD0016C-6996-43F5-81AD-1347F5D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AE74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AE74F9"/>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E74F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ody">
    <w:name w:val="Body"/>
    <w:rsid w:val="00D536F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14:textOutline w14:w="0" w14:cap="flat" w14:cmpd="sng" w14:algn="ctr">
        <w14:noFill/>
        <w14:prstDash w14:val="solid"/>
        <w14:bevel/>
      </w14:textOutline>
    </w:rPr>
  </w:style>
  <w:style w:type="paragraph" w:styleId="NoSpacing">
    <w:name w:val="No Spacing"/>
    <w:rsid w:val="00DB2670"/>
    <w:pPr>
      <w:pBdr>
        <w:top w:val="nil"/>
        <w:left w:val="nil"/>
        <w:bottom w:val="nil"/>
        <w:right w:val="nil"/>
        <w:between w:val="nil"/>
        <w:bar w:val="nil"/>
      </w:pBdr>
      <w:spacing w:after="0" w:line="240" w:lineRule="auto"/>
    </w:pPr>
    <w:rPr>
      <w:rFonts w:ascii="Calibri" w:eastAsia="Arial Unicode MS" w:hAnsi="Calibri" w:cs="Arial Unicode MS"/>
      <w:color w:val="000000"/>
      <w:kern w:val="2"/>
      <w:sz w:val="24"/>
      <w:szCs w:val="24"/>
      <w:u w:color="000000"/>
      <w:bdr w:val="nil"/>
      <w:lang w:val="en-US" w:eastAsia="en-IN"/>
    </w:rPr>
  </w:style>
  <w:style w:type="character" w:styleId="Hyperlink">
    <w:name w:val="Hyperlink"/>
    <w:basedOn w:val="DefaultParagraphFont"/>
    <w:uiPriority w:val="99"/>
    <w:unhideWhenUsed/>
    <w:rsid w:val="00914030"/>
    <w:rPr>
      <w:color w:val="0563C1" w:themeColor="hyperlink"/>
      <w:u w:val="single"/>
    </w:rPr>
  </w:style>
  <w:style w:type="character" w:styleId="UnresolvedMention">
    <w:name w:val="Unresolved Mention"/>
    <w:basedOn w:val="DefaultParagraphFont"/>
    <w:uiPriority w:val="99"/>
    <w:semiHidden/>
    <w:unhideWhenUsed/>
    <w:rsid w:val="00980D03"/>
    <w:rPr>
      <w:color w:val="605E5C"/>
      <w:shd w:val="clear" w:color="auto" w:fill="E1DFDD"/>
    </w:rPr>
  </w:style>
  <w:style w:type="paragraph" w:styleId="Header">
    <w:name w:val="header"/>
    <w:basedOn w:val="Normal"/>
    <w:link w:val="HeaderChar"/>
    <w:uiPriority w:val="99"/>
    <w:unhideWhenUsed/>
    <w:rsid w:val="0098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E81"/>
    <w:rPr>
      <w:rFonts w:ascii="Calibri" w:hAnsi="Calibri" w:cs="Tunga"/>
    </w:rPr>
  </w:style>
  <w:style w:type="paragraph" w:styleId="Footer">
    <w:name w:val="footer"/>
    <w:basedOn w:val="Normal"/>
    <w:link w:val="FooterChar"/>
    <w:uiPriority w:val="99"/>
    <w:unhideWhenUsed/>
    <w:rsid w:val="0098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E81"/>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7947">
      <w:bodyDiv w:val="1"/>
      <w:marLeft w:val="0"/>
      <w:marRight w:val="0"/>
      <w:marTop w:val="0"/>
      <w:marBottom w:val="0"/>
      <w:divBdr>
        <w:top w:val="none" w:sz="0" w:space="0" w:color="auto"/>
        <w:left w:val="none" w:sz="0" w:space="0" w:color="auto"/>
        <w:bottom w:val="none" w:sz="0" w:space="0" w:color="auto"/>
        <w:right w:val="none" w:sz="0" w:space="0" w:color="auto"/>
      </w:divBdr>
    </w:div>
    <w:div w:id="889611651">
      <w:bodyDiv w:val="1"/>
      <w:marLeft w:val="0"/>
      <w:marRight w:val="0"/>
      <w:marTop w:val="0"/>
      <w:marBottom w:val="0"/>
      <w:divBdr>
        <w:top w:val="none" w:sz="0" w:space="0" w:color="auto"/>
        <w:left w:val="none" w:sz="0" w:space="0" w:color="auto"/>
        <w:bottom w:val="none" w:sz="0" w:space="0" w:color="auto"/>
        <w:right w:val="none" w:sz="0" w:space="0" w:color="auto"/>
      </w:divBdr>
    </w:div>
    <w:div w:id="898368959">
      <w:bodyDiv w:val="1"/>
      <w:marLeft w:val="0"/>
      <w:marRight w:val="0"/>
      <w:marTop w:val="0"/>
      <w:marBottom w:val="0"/>
      <w:divBdr>
        <w:top w:val="none" w:sz="0" w:space="0" w:color="auto"/>
        <w:left w:val="none" w:sz="0" w:space="0" w:color="auto"/>
        <w:bottom w:val="none" w:sz="0" w:space="0" w:color="auto"/>
        <w:right w:val="none" w:sz="0" w:space="0" w:color="auto"/>
      </w:divBdr>
    </w:div>
    <w:div w:id="1072121510">
      <w:bodyDiv w:val="1"/>
      <w:marLeft w:val="0"/>
      <w:marRight w:val="0"/>
      <w:marTop w:val="0"/>
      <w:marBottom w:val="0"/>
      <w:divBdr>
        <w:top w:val="none" w:sz="0" w:space="0" w:color="auto"/>
        <w:left w:val="none" w:sz="0" w:space="0" w:color="auto"/>
        <w:bottom w:val="none" w:sz="0" w:space="0" w:color="auto"/>
        <w:right w:val="none" w:sz="0" w:space="0" w:color="auto"/>
      </w:divBdr>
    </w:div>
    <w:div w:id="1201746920">
      <w:bodyDiv w:val="1"/>
      <w:marLeft w:val="0"/>
      <w:marRight w:val="0"/>
      <w:marTop w:val="0"/>
      <w:marBottom w:val="0"/>
      <w:divBdr>
        <w:top w:val="none" w:sz="0" w:space="0" w:color="auto"/>
        <w:left w:val="none" w:sz="0" w:space="0" w:color="auto"/>
        <w:bottom w:val="none" w:sz="0" w:space="0" w:color="auto"/>
        <w:right w:val="none" w:sz="0" w:space="0" w:color="auto"/>
      </w:divBdr>
    </w:div>
    <w:div w:id="1455901449">
      <w:bodyDiv w:val="1"/>
      <w:marLeft w:val="0"/>
      <w:marRight w:val="0"/>
      <w:marTop w:val="0"/>
      <w:marBottom w:val="0"/>
      <w:divBdr>
        <w:top w:val="none" w:sz="0" w:space="0" w:color="auto"/>
        <w:left w:val="none" w:sz="0" w:space="0" w:color="auto"/>
        <w:bottom w:val="none" w:sz="0" w:space="0" w:color="auto"/>
        <w:right w:val="none" w:sz="0" w:space="0" w:color="auto"/>
      </w:divBdr>
    </w:div>
    <w:div w:id="18184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61"/>
          <c:y val="4.1600100000000001E-2"/>
          <c:w val="0.80524700000000005"/>
          <c:h val="0.70609"/>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53480.02</c:v>
                </c:pt>
                <c:pt idx="1">
                  <c:v>69606.600000000006</c:v>
                </c:pt>
                <c:pt idx="2">
                  <c:v>79060.88</c:v>
                </c:pt>
                <c:pt idx="3">
                  <c:v>54350.8</c:v>
                </c:pt>
                <c:pt idx="4">
                  <c:v>83703.179999999993</c:v>
                </c:pt>
                <c:pt idx="5">
                  <c:v>74460.61</c:v>
                </c:pt>
                <c:pt idx="6">
                  <c:v>58863.41</c:v>
                </c:pt>
                <c:pt idx="7">
                  <c:v>63441.29</c:v>
                </c:pt>
                <c:pt idx="8">
                  <c:v>55584.99</c:v>
                </c:pt>
                <c:pt idx="9">
                  <c:v>41279.97</c:v>
                </c:pt>
                <c:pt idx="10">
                  <c:v>42998.33</c:v>
                </c:pt>
                <c:pt idx="11">
                  <c:v>36779.26</c:v>
                </c:pt>
                <c:pt idx="12">
                  <c:v>52761</c:v>
                </c:pt>
                <c:pt idx="13">
                  <c:v>49180.480000000003</c:v>
                </c:pt>
                <c:pt idx="14">
                  <c:v>46510.22</c:v>
                </c:pt>
                <c:pt idx="15">
                  <c:v>49658.68</c:v>
                </c:pt>
                <c:pt idx="16">
                  <c:v>21033.56</c:v>
                </c:pt>
                <c:pt idx="17">
                  <c:v>27872.77</c:v>
                </c:pt>
                <c:pt idx="18">
                  <c:v>22963.759999999998</c:v>
                </c:pt>
                <c:pt idx="19">
                  <c:v>32104.09</c:v>
                </c:pt>
              </c:numCache>
            </c:numRef>
          </c:val>
          <c:smooth val="0"/>
          <c:extLst>
            <c:ext xmlns:c16="http://schemas.microsoft.com/office/drawing/2014/chart" uri="{C3380CC4-5D6E-409C-BE32-E72D297353CC}">
              <c16:uniqueId val="{00000000-52DF-405D-B77C-71616787A3AB}"/>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89.61</c:v>
                </c:pt>
                <c:pt idx="1">
                  <c:v>128.11000000000001</c:v>
                </c:pt>
                <c:pt idx="2">
                  <c:v>141.94</c:v>
                </c:pt>
                <c:pt idx="3">
                  <c:v>127.42</c:v>
                </c:pt>
                <c:pt idx="4">
                  <c:v>170.71</c:v>
                </c:pt>
                <c:pt idx="5">
                  <c:v>200.54</c:v>
                </c:pt>
                <c:pt idx="6">
                  <c:v>164.84</c:v>
                </c:pt>
                <c:pt idx="7">
                  <c:v>209.74</c:v>
                </c:pt>
                <c:pt idx="8">
                  <c:v>264.72000000000003</c:v>
                </c:pt>
                <c:pt idx="9">
                  <c:v>285.43</c:v>
                </c:pt>
                <c:pt idx="10">
                  <c:v>302.54000000000002</c:v>
                </c:pt>
                <c:pt idx="11">
                  <c:v>320.64</c:v>
                </c:pt>
                <c:pt idx="12">
                  <c:v>443.66</c:v>
                </c:pt>
                <c:pt idx="13">
                  <c:v>382.34</c:v>
                </c:pt>
                <c:pt idx="14">
                  <c:v>406.5</c:v>
                </c:pt>
                <c:pt idx="15">
                  <c:v>400.21</c:v>
                </c:pt>
                <c:pt idx="16">
                  <c:v>271.88</c:v>
                </c:pt>
                <c:pt idx="17">
                  <c:v>327.45</c:v>
                </c:pt>
                <c:pt idx="18">
                  <c:v>378.49</c:v>
                </c:pt>
                <c:pt idx="19">
                  <c:v>495.46</c:v>
                </c:pt>
              </c:numCache>
            </c:numRef>
          </c:val>
          <c:smooth val="0"/>
          <c:extLst>
            <c:ext xmlns:c16="http://schemas.microsoft.com/office/drawing/2014/chart" uri="{C3380CC4-5D6E-409C-BE32-E72D297353CC}">
              <c16:uniqueId val="{00000001-52DF-405D-B77C-71616787A3AB}"/>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Year</a:t>
                </a:r>
              </a:p>
            </c:rich>
          </c:tx>
          <c:layout>
            <c:manualLayout>
              <c:xMode val="edge"/>
              <c:yMode val="edge"/>
              <c:x val="0.42814225106672632"/>
              <c:y val="0.85556732710511352"/>
            </c:manualLayout>
          </c:layout>
          <c:overlay val="1"/>
        </c:title>
        <c:numFmt formatCode="General" sourceLinked="0"/>
        <c:majorTickMark val="none"/>
        <c:minorTickMark val="none"/>
        <c:tickLblPos val="low"/>
        <c:spPr>
          <a:ln w="12700" cap="flat">
            <a:solidFill>
              <a:srgbClr val="D9D9D9"/>
            </a:solid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Quantity (in MT)</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2"/>
        <c:crosses val="autoZero"/>
        <c:crossBetween val="between"/>
        <c:majorUnit val="22500"/>
        <c:minorUnit val="1125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5"/>
        <c:crosses val="max"/>
        <c:crossBetween val="between"/>
        <c:majorUnit val="125"/>
        <c:minorUnit val="62.5"/>
      </c:valAx>
      <c:spPr>
        <a:noFill/>
        <a:ln w="12700" cap="flat">
          <a:noFill/>
          <a:miter lim="400000"/>
        </a:ln>
        <a:effectLst/>
      </c:spPr>
    </c:plotArea>
    <c:legend>
      <c:legendPos val="b"/>
      <c:layout>
        <c:manualLayout>
          <c:xMode val="edge"/>
          <c:yMode val="edge"/>
          <c:x val="0.17329136643681206"/>
          <c:y val="0.90429999999999999"/>
          <c:w val="0.75391481161029972"/>
          <c:h val="9.5700199999999999E-2"/>
        </c:manualLayout>
      </c:layout>
      <c:overlay val="1"/>
      <c:spPr>
        <a:noFill/>
        <a:ln w="12700" cap="flat">
          <a:noFill/>
          <a:miter lim="400000"/>
        </a:ln>
        <a:effectLst/>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81"/>
          <c:y val="0.14181099999999999"/>
          <c:w val="0.78153899999999998"/>
          <c:h val="0.58291000000000004"/>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95857</c:v>
                </c:pt>
                <c:pt idx="1">
                  <c:v>134613.20000000001</c:v>
                </c:pt>
                <c:pt idx="2">
                  <c:v>156835.51</c:v>
                </c:pt>
                <c:pt idx="3">
                  <c:v>166752.17000000001</c:v>
                </c:pt>
                <c:pt idx="4">
                  <c:v>173013.6</c:v>
                </c:pt>
                <c:pt idx="5">
                  <c:v>186197.85</c:v>
                </c:pt>
                <c:pt idx="6">
                  <c:v>170219.72</c:v>
                </c:pt>
                <c:pt idx="7">
                  <c:v>150499.06</c:v>
                </c:pt>
                <c:pt idx="8">
                  <c:v>147815.69</c:v>
                </c:pt>
                <c:pt idx="9">
                  <c:v>174860.33</c:v>
                </c:pt>
                <c:pt idx="10">
                  <c:v>154820.66</c:v>
                </c:pt>
                <c:pt idx="11">
                  <c:v>128866.01</c:v>
                </c:pt>
                <c:pt idx="12">
                  <c:v>130886.07</c:v>
                </c:pt>
                <c:pt idx="13">
                  <c:v>110923.73</c:v>
                </c:pt>
                <c:pt idx="14">
                  <c:v>105873.22</c:v>
                </c:pt>
                <c:pt idx="15">
                  <c:v>85725.57</c:v>
                </c:pt>
                <c:pt idx="16">
                  <c:v>98369.75</c:v>
                </c:pt>
                <c:pt idx="17">
                  <c:v>123476.71</c:v>
                </c:pt>
                <c:pt idx="18">
                  <c:v>109501.38</c:v>
                </c:pt>
                <c:pt idx="19">
                  <c:v>60900.21</c:v>
                </c:pt>
              </c:numCache>
            </c:numRef>
          </c:val>
          <c:smooth val="0"/>
          <c:extLst>
            <c:ext xmlns:c16="http://schemas.microsoft.com/office/drawing/2014/chart" uri="{C3380CC4-5D6E-409C-BE32-E72D297353CC}">
              <c16:uniqueId val="{00000000-94B5-4230-B9E7-2C88D0120673}"/>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315.72000000000003</c:v>
                </c:pt>
                <c:pt idx="1">
                  <c:v>364.24</c:v>
                </c:pt>
                <c:pt idx="2">
                  <c:v>505.83</c:v>
                </c:pt>
                <c:pt idx="3">
                  <c:v>509.69</c:v>
                </c:pt>
                <c:pt idx="4">
                  <c:v>752.99</c:v>
                </c:pt>
                <c:pt idx="5">
                  <c:v>744.61</c:v>
                </c:pt>
                <c:pt idx="6">
                  <c:v>818.93</c:v>
                </c:pt>
                <c:pt idx="7">
                  <c:v>620.83000000000004</c:v>
                </c:pt>
                <c:pt idx="8">
                  <c:v>608.55999999999995</c:v>
                </c:pt>
                <c:pt idx="9">
                  <c:v>772.95</c:v>
                </c:pt>
                <c:pt idx="10">
                  <c:v>841.39</c:v>
                </c:pt>
                <c:pt idx="11">
                  <c:v>796.18</c:v>
                </c:pt>
                <c:pt idx="12">
                  <c:v>846.02</c:v>
                </c:pt>
                <c:pt idx="13">
                  <c:v>673.92</c:v>
                </c:pt>
                <c:pt idx="14">
                  <c:v>657.67</c:v>
                </c:pt>
                <c:pt idx="15">
                  <c:v>584.32000000000005</c:v>
                </c:pt>
                <c:pt idx="16">
                  <c:v>714.41</c:v>
                </c:pt>
                <c:pt idx="17">
                  <c:v>924.54</c:v>
                </c:pt>
                <c:pt idx="18">
                  <c:v>1189.6600000000001</c:v>
                </c:pt>
                <c:pt idx="19">
                  <c:v>624.29</c:v>
                </c:pt>
              </c:numCache>
            </c:numRef>
          </c:val>
          <c:smooth val="0"/>
          <c:extLst>
            <c:ext xmlns:c16="http://schemas.microsoft.com/office/drawing/2014/chart" uri="{C3380CC4-5D6E-409C-BE32-E72D297353CC}">
              <c16:uniqueId val="{00000001-94B5-4230-B9E7-2C88D0120673}"/>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Year</a:t>
                </a:r>
              </a:p>
            </c:rich>
          </c:tx>
          <c:overlay val="1"/>
        </c:title>
        <c:numFmt formatCode="General" sourceLinked="0"/>
        <c:majorTickMark val="none"/>
        <c:minorTickMark val="none"/>
        <c:tickLblPos val="low"/>
        <c:spPr>
          <a:ln w="12700" cap="flat">
            <a:solidFill>
              <a:srgbClr val="D9D9D9"/>
            </a:solidFill>
            <a:prstDash val="solid"/>
            <a:round/>
          </a:ln>
        </c:spPr>
        <c:txPr>
          <a:bodyPr rot="0"/>
          <a:lstStyle/>
          <a:p>
            <a:pPr>
              <a:defRPr sz="105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Quantity (MT)</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2"/>
        <c:crosses val="autoZero"/>
        <c:crossBetween val="between"/>
        <c:majorUnit val="50000"/>
        <c:minorUnit val="250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crossAx val="2094734555"/>
        <c:crosses val="max"/>
        <c:crossBetween val="between"/>
        <c:majorUnit val="300"/>
        <c:minorUnit val="150"/>
      </c:valAx>
      <c:spPr>
        <a:noFill/>
        <a:ln w="12700" cap="flat">
          <a:noFill/>
          <a:miter lim="400000"/>
        </a:ln>
        <a:effectLst/>
      </c:spPr>
    </c:plotArea>
    <c:legend>
      <c:legendPos val="b"/>
      <c:layout>
        <c:manualLayout>
          <c:xMode val="edge"/>
          <c:yMode val="edge"/>
          <c:x val="0.19936204457193721"/>
          <c:y val="0.89633099999999999"/>
          <c:w val="0.56858286297761496"/>
          <c:h val="0.103669"/>
        </c:manualLayout>
      </c:layout>
      <c:overlay val="1"/>
      <c:spPr>
        <a:noFill/>
        <a:ln w="12700" cap="flat">
          <a:noFill/>
          <a:miter lim="400000"/>
        </a:ln>
        <a:effectLst/>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20</Pages>
  <Words>5572</Words>
  <Characters>31766</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Abstract</vt:lpstr>
      <vt:lpstr>        Keywords:  Mango exports, Mango pulp, Export growth, Instability, Trade directio</vt:lpstr>
      <vt:lpstr>        Introduction</vt:lpstr>
      <vt:lpstr>        The findings from the transition probability matrix, when considering export va</vt:lpstr>
      <vt:lpstr>        Conclusion</vt:lpstr>
      <vt:lpstr>        References</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SDI 1166</cp:lastModifiedBy>
  <cp:revision>61</cp:revision>
  <dcterms:created xsi:type="dcterms:W3CDTF">2026-03-14T15:49:00Z</dcterms:created>
  <dcterms:modified xsi:type="dcterms:W3CDTF">2026-03-19T10:51:00Z</dcterms:modified>
</cp:coreProperties>
</file>