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oter4.xml" ContentType="application/vnd.openxmlformats-officedocument.wordprocessingml.footer+xml"/>
  <Override PartName="/customXml/itemProps4.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numbering.xml" ContentType="application/vnd.openxmlformats-officedocument.wordprocessingml.numbering+xml"/>
  <Override PartName="/customXml/itemProps2.xml" ContentType="application/vnd.openxmlformats-officedocument.customXmlProperties+xml"/>
  <Override PartName="/word/header5.xml" ContentType="application/vnd.openxmlformats-officedocument.wordprocessingml.header+xml"/>
  <Override PartName="/word/settings.xml" ContentType="application/vnd.openxmlformats-officedocument.wordprocessingml.settings+xml"/>
  <Override PartName="/docProps/custom.xml" ContentType="application/vnd.openxmlformats-officedocument.custom-properties+xml"/>
  <Override PartName="/word/header2.xml" ContentType="application/vnd.openxmlformats-officedocument.wordprocessingml.header+xml"/>
  <Override PartName="/word/commentsExtended.xml" ContentType="application/vnd.openxmlformats-officedocument.wordprocessingml.commentsExtended+xml"/>
  <Override PartName="/word/footer3.xml" ContentType="application/vnd.openxmlformats-officedocument.wordprocessingml.footer+xml"/>
  <Override PartName="/word/document.xml" ContentType="application/vnd.openxmlformats-officedocument.wordprocessingml.document.main+xml"/>
  <Override PartName="/word/comments.xml" ContentType="application/vnd.openxmlformats-officedocument.wordprocessingml.comments+xml"/>
  <Override PartName="/customXml/itemProps1.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62"/>
        <w:spacing w:after="0"/>
        <w:jc w:val="both"/>
        <w:rPr>
          <w:rFonts w:ascii="Arial" w:cs="Arial" w:hAnsi="Arial"/>
        </w:rPr>
      </w:pPr>
    </w:p>
    <w:p>
      <w:pPr>
        <w:pStyle w:val="style4097"/>
        <w:spacing w:lineRule="auto" w:line="240"/>
        <w:rPr>
          <w:rFonts w:ascii="Arial" w:cs="Arial" w:hAnsi="Arial"/>
          <w:bCs/>
          <w:iCs/>
          <w:kern w:val="28"/>
          <w:sz w:val="36"/>
        </w:rPr>
      </w:pPr>
      <w:r>
        <w:rPr>
          <w:rFonts w:ascii="Arial" w:cs="Arial" w:hAnsi="Arial"/>
          <w:bCs/>
          <w:sz w:val="36"/>
          <w:szCs w:val="36"/>
        </w:rPr>
        <w:t xml:space="preserve">From the Hierarchy of Abilities and Skills </w:t>
      </w:r>
      <w:r>
        <w:rPr>
          <w:rFonts w:ascii="Arial" w:cs="Arial" w:hAnsi="Arial"/>
          <w:bCs/>
          <w:sz w:val="36"/>
          <w:szCs w:val="36"/>
        </w:rPr>
        <w:t xml:space="preserve">(HAS) </w:t>
      </w:r>
      <w:r>
        <w:rPr>
          <w:rFonts w:ascii="Arial" w:cs="Arial" w:hAnsi="Arial"/>
          <w:bCs/>
          <w:sz w:val="36"/>
          <w:szCs w:val="36"/>
        </w:rPr>
        <w:t>to an Integrated Pediatric and Educational Therap</w:t>
      </w:r>
      <w:r>
        <w:rPr>
          <w:rFonts w:ascii="Arial" w:cs="Arial" w:hAnsi="Arial"/>
          <w:bCs/>
          <w:sz w:val="36"/>
          <w:szCs w:val="36"/>
        </w:rPr>
        <w:t>ie</w:t>
      </w:r>
      <w:r>
        <w:rPr>
          <w:rFonts w:ascii="Arial" w:cs="Arial" w:hAnsi="Arial"/>
          <w:bCs/>
          <w:sz w:val="36"/>
          <w:szCs w:val="36"/>
        </w:rPr>
        <w:t>s</w:t>
      </w:r>
      <w:r>
        <w:rPr>
          <w:rFonts w:ascii="Arial" w:cs="Arial" w:hAnsi="Arial"/>
          <w:bCs/>
          <w:sz w:val="36"/>
          <w:szCs w:val="36"/>
        </w:rPr>
        <w:t xml:space="preserve"> </w:t>
      </w:r>
      <w:r>
        <w:rPr>
          <w:rFonts w:ascii="Arial" w:cs="Arial" w:hAnsi="Arial"/>
          <w:bCs/>
          <w:sz w:val="36"/>
          <w:szCs w:val="36"/>
        </w:rPr>
        <w:t xml:space="preserve">(IPET) </w:t>
      </w:r>
      <w:r>
        <w:rPr>
          <w:rFonts w:ascii="Arial" w:cs="Arial" w:hAnsi="Arial"/>
          <w:bCs/>
          <w:sz w:val="36"/>
          <w:szCs w:val="36"/>
        </w:rPr>
        <w:t>Framework: A Conceptual Model for Assessment and Intervention</w:t>
      </w:r>
      <w:r>
        <w:rPr>
          <w:rFonts w:ascii="Arial" w:cs="Arial" w:hAnsi="Arial"/>
          <w:bCs/>
          <w:iCs/>
          <w:kern w:val="28"/>
          <w:sz w:val="36"/>
        </w:rPr>
        <w:t xml:space="preserve"> </w:t>
      </w:r>
    </w:p>
    <w:p>
      <w:pPr>
        <w:pStyle w:val="style4097"/>
        <w:spacing w:lineRule="auto" w:line="240"/>
        <w:jc w:val="both"/>
        <w:rPr>
          <w:rFonts w:ascii="Arial" w:cs="Arial" w:hAnsi="Arial"/>
          <w:sz w:val="36"/>
        </w:rPr>
      </w:pPr>
    </w:p>
    <w:p>
      <w:pPr>
        <w:pStyle w:val="style0"/>
        <w:jc w:val="right"/>
        <w:rPr>
          <w:rFonts w:ascii="Arial" w:cs="Arial" w:eastAsia="SimSun" w:hAnsi="Arial"/>
          <w:i/>
          <w:iCs/>
        </w:rPr>
      </w:pPr>
    </w:p>
    <w:p>
      <w:pPr>
        <w:pStyle w:val="style0"/>
        <w:jc w:val="right"/>
        <w:rPr>
          <w:rFonts w:ascii="Arial" w:cs="Arial" w:eastAsia="SimSun" w:hAnsi="Arial"/>
          <w:i/>
          <w:iCs/>
        </w:rPr>
      </w:pPr>
    </w:p>
    <w:p>
      <w:pPr>
        <w:pStyle w:val="style4098"/>
        <w:spacing w:after="0" w:lineRule="auto" w:line="240"/>
        <w:jc w:val="both"/>
        <w:rPr>
          <w:rFonts w:ascii="Arial" w:cs="Arial" w:hAnsi="Arial"/>
        </w:rPr>
      </w:pPr>
    </w:p>
    <w:p>
      <w:pPr>
        <w:pStyle w:val="style4108"/>
        <w:spacing w:after="0" w:lineRule="auto" w:line="240"/>
        <w:jc w:val="both"/>
        <w:rPr>
          <w:rFonts w:ascii="Arial" w:cs="Arial" w:hAnsi="Arial"/>
        </w:rPr>
        <w:sectPr>
          <w:headerReference w:type="even" r:id="rId4"/>
          <w:headerReference w:type="default" r:id="rId5"/>
          <w:footerReference w:type="even" r:id="rId6"/>
          <w:footerReference w:type="default" r:id="rId7"/>
          <w:headerReference w:type="first" r:id="rId8"/>
          <w:pgSz w:w="12240" w:h="15840" w:orient="portrait" w:code="1"/>
          <w:pgMar w:top="1440" w:right="2016" w:bottom="2016" w:left="2016" w:header="720" w:footer="1296" w:gutter="0"/>
          <w:cols w:space="720"/>
          <w:docGrid w:linePitch="272"/>
        </w:sectPr>
      </w:pPr>
      <w:r>
        <w:rPr>
          <w:rFonts w:ascii="Arial" w:cs="Arial" w:hAnsi="Arial"/>
          <w:noProof/>
        </w:rPr>
      </w:r>
      <w:r>
        <w:rPr>
          <w:rFonts w:ascii="Arial" w:cs="Arial" w:hAnsi="Arial"/>
          <w:noProof/>
        </w:rPr>
      </w:r>
      <w:r>
        <w:rPr>
          <w:rFonts w:ascii="Arial" w:cs="Arial" w:hAnsi="Arial"/>
          <w:noProof/>
        </w:rPr>
      </w:r>
      <w:r>
        <w:rPr>
          <w:rFonts w:ascii="Arial" w:cs="Arial" w:hAnsi="Arial"/>
          <w:noProof/>
        </w:rPr>
        <mc:AlternateContent>
          <mc:Choice Requires="wps">
            <w:drawing>
              <wp:inline distL="0" distT="0" distB="0" distR="0">
                <wp:extent cx="5303520" cy="635"/>
                <wp:effectExtent l="9525" t="15875" r="11430" b="12700"/>
                <wp:docPr id="1026" name="AutoShape 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303520" cy="635"/>
                        </a:xfrm>
                        <a:prstGeom prst="straightConnector1"/>
                        <a:ln cmpd="sng" cap="flat" w="19050">
                          <a:solidFill>
                            <a:srgbClr val="000000"/>
                          </a:solidFill>
                          <a:prstDash val="solid"/>
                          <a:round/>
                          <a:headEnd len="med" w="med" type="none"/>
                          <a:tailEnd len="med" w="med" type="none"/>
                        </a:ln>
                      </wps:spPr>
                      <wps:bodyPr>
                        <a:prstTxWarp prst="textNoShape"/>
                      </wps:bodyPr>
                    </wps:wsp>
                  </a:graphicData>
                </a:graphic>
              </wp:inline>
            </w:drawing>
          </mc:Choice>
          <mc:Fallback>
            <w:pict>
              <v:shapetype id="_x0000_t32" coordsize="21600,21600" o:spt="32" o:oned="t" path="m,l21600,21600e">
                <v:path arrowok="t" fillok="f" o:connecttype="none"/>
                <o:lock v:ext="edit" shapetype="t"/>
              </v:shapetype>
              <v:shape id="1026" type="#_x0000_t32" filled="f" style="margin-left:0.0pt;margin-top:0.0pt;width:417.6pt;height:0.05pt;mso-wrap-distance-left:0.0pt;mso-wrap-distance-right:0.0pt;visibility:visible;">
                <w10:anchorlock/>
                <v:stroke weight="1.5pt"/>
                <v:fill rotate="true"/>
              </v:shape>
            </w:pict>
          </mc:Fallback>
        </mc:AlternateContent>
      </w:r>
      <w:r>
        <w:rPr>
          <w:rFonts w:ascii="Arial" w:cs="Arial" w:hAnsi="Arial"/>
          <w:noProof/>
        </w:rPr>
      </w:r>
      <w:r>
        <w:rPr>
          <w:rFonts w:ascii="Arial" w:cs="Arial" w:hAnsi="Arial"/>
          <w:noProof/>
        </w:rPr>
      </w:r>
    </w:p>
    <w:p>
      <w:pPr>
        <w:pStyle w:val="style4100"/>
        <w:spacing w:after="0"/>
        <w:jc w:val="both"/>
        <w:rPr>
          <w:rFonts w:ascii="Arial" w:cs="Arial" w:hAnsi="Arial"/>
        </w:rPr>
      </w:pPr>
    </w:p>
    <w:p>
      <w:pPr>
        <w:pStyle w:val="style4100"/>
        <w:spacing w:after="0"/>
        <w:jc w:val="both"/>
        <w:rPr>
          <w:rFonts w:ascii="Arial" w:cs="Arial" w:hAnsi="Arial"/>
        </w:rPr>
      </w:pPr>
      <w:r>
        <w:rPr>
          <w:rFonts w:ascii="Arial" w:cs="Arial" w:hAnsi="Arial"/>
        </w:rPr>
        <w:t>ABSTRACT</w:t>
      </w:r>
      <w:r>
        <w:rPr>
          <w:rFonts w:ascii="Arial" w:cs="Arial" w:hAnsi="Arial"/>
        </w:rPr>
        <w:t xml:space="preserve"> </w:t>
      </w:r>
    </w:p>
    <w:p>
      <w:pPr>
        <w:pStyle w:val="style4100"/>
        <w:spacing w:after="0"/>
        <w:jc w:val="both"/>
        <w:rPr>
          <w:rFonts w:ascii="Arial" w:cs="Arial" w:hAnsi="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208"/>
      </w:tblGrid>
      <w:tr>
        <w:trPr/>
        <w:tc>
          <w:tcPr>
            <w:tcW w:w="9576" w:type="dxa"/>
            <w:tcBorders/>
            <w:shd w:val="clear" w:color="auto" w:fill="f2f2f2"/>
          </w:tcPr>
          <w:p>
            <w:pPr>
              <w:pStyle w:val="style0"/>
              <w:jc w:val="both"/>
              <w:rPr>
                <w:rFonts w:ascii="Arial" w:cs="Arial" w:hAnsi="Arial"/>
              </w:rPr>
            </w:pPr>
            <w:r>
              <w:rPr>
                <w:rFonts w:ascii="Arial" w:cs="Arial" w:hAnsi="Arial"/>
              </w:rPr>
              <w:t>To understand child development, the Hierarchy of Abilities &amp; Skills (HAS) model provides a structured framework through sequential levels of functioning that range from biological foundations to higher-order cognitive and metacognitive processes. Th</w:t>
            </w:r>
            <w:r>
              <w:rPr>
                <w:rFonts w:ascii="Arial" w:cs="Arial" w:hAnsi="Arial"/>
              </w:rPr>
              <w:t>e authors</w:t>
            </w:r>
            <w:r>
              <w:rPr>
                <w:rFonts w:ascii="Arial" w:cs="Arial" w:hAnsi="Arial"/>
              </w:rPr>
              <w:t xml:space="preserve"> aim to extend the original HAS model into pediatric therapeutic practice by proposing the Integrated Pediatric </w:t>
            </w:r>
            <w:r>
              <w:rPr>
                <w:rFonts w:ascii="Arial" w:cs="Arial" w:hAnsi="Arial"/>
              </w:rPr>
              <w:t>and Educational Therap</w:t>
            </w:r>
            <w:r>
              <w:rPr>
                <w:rFonts w:ascii="Arial" w:cs="Arial" w:hAnsi="Arial"/>
              </w:rPr>
              <w:t>ies</w:t>
            </w:r>
            <w:r>
              <w:rPr>
                <w:rFonts w:ascii="Arial" w:cs="Arial" w:hAnsi="Arial"/>
              </w:rPr>
              <w:t xml:space="preserve"> (IP</w:t>
            </w:r>
            <w:r>
              <w:rPr>
                <w:rFonts w:ascii="Arial" w:cs="Arial" w:hAnsi="Arial"/>
              </w:rPr>
              <w:t>ET</w:t>
            </w:r>
            <w:r>
              <w:rPr>
                <w:rFonts w:ascii="Arial" w:cs="Arial" w:hAnsi="Arial"/>
              </w:rPr>
              <w:t xml:space="preserve">) model: a multidisciplinary framework that integrates biomedical, sensory-motor, functional adaptive, socio-emotional regulatory, neurocognitive, and metacognitive self-regulatory domains. This </w:t>
            </w:r>
            <w:r>
              <w:rPr>
                <w:rFonts w:ascii="Arial" w:cs="Arial" w:hAnsi="Arial"/>
              </w:rPr>
              <w:t xml:space="preserve">newly </w:t>
            </w:r>
            <w:r>
              <w:rPr>
                <w:rFonts w:ascii="Arial" w:cs="Arial" w:hAnsi="Arial"/>
              </w:rPr>
              <w:t>proposed model places its emphasis on the hierarchical and interdependent nature of child development, where lower-level biological and sensory processes impact higher-level learning and behavioral outcomes. By organizing pediatric assessment and intervention across the six interconnected levels, the IP</w:t>
            </w:r>
            <w:r>
              <w:rPr>
                <w:rFonts w:ascii="Arial" w:cs="Arial" w:hAnsi="Arial"/>
              </w:rPr>
              <w:t>ET</w:t>
            </w:r>
            <w:r>
              <w:rPr>
                <w:rFonts w:ascii="Arial" w:cs="Arial" w:hAnsi="Arial"/>
              </w:rPr>
              <w:t xml:space="preserve"> model </w:t>
            </w:r>
            <w:r>
              <w:rPr>
                <w:rFonts w:ascii="Arial" w:cs="Arial" w:hAnsi="Arial"/>
              </w:rPr>
              <w:t xml:space="preserve">helps to </w:t>
            </w:r>
            <w:r>
              <w:rPr>
                <w:rFonts w:ascii="Arial" w:cs="Arial" w:hAnsi="Arial"/>
              </w:rPr>
              <w:t>facilitate systematic diagnosis, early intervention, and collaborative care among biomedical, psychosocial, and neuroeducational professionals. Recent research in</w:t>
            </w:r>
            <w:r>
              <w:rPr>
                <w:rFonts w:ascii="Arial" w:cs="Arial" w:hAnsi="Arial"/>
              </w:rPr>
              <w:t xml:space="preserve"> the areas of</w:t>
            </w:r>
            <w:r>
              <w:rPr>
                <w:rFonts w:ascii="Arial" w:cs="Arial" w:hAnsi="Arial"/>
              </w:rPr>
              <w:t xml:space="preserve"> neurodevelopment, sensory integration, and metacognitive learning supports the hierarchical organization proposed in this new model, highlighting the essence of early screening and interdisciplinary approaches in improving developmental outcomes for children with special needs. The IP</w:t>
            </w:r>
            <w:r>
              <w:rPr>
                <w:rFonts w:ascii="Arial" w:cs="Arial" w:hAnsi="Arial"/>
              </w:rPr>
              <w:t>ET</w:t>
            </w:r>
            <w:r>
              <w:rPr>
                <w:rFonts w:ascii="Arial" w:cs="Arial" w:hAnsi="Arial"/>
              </w:rPr>
              <w:t xml:space="preserve"> model, therefore, offers a comprehensive framework that bridges educational therapy, pediatric healthcare, and neurodevelopmental psychology to support holistic child development.</w:t>
            </w:r>
          </w:p>
        </w:tc>
      </w:tr>
    </w:tbl>
    <w:p>
      <w:pPr>
        <w:pStyle w:val="style4099"/>
        <w:spacing w:after="0"/>
        <w:rPr>
          <w:rFonts w:ascii="Arial" w:cs="Arial" w:hAnsi="Arial"/>
          <w:i/>
        </w:rPr>
      </w:pPr>
    </w:p>
    <w:p>
      <w:pPr>
        <w:pStyle w:val="style4099"/>
        <w:spacing w:after="0"/>
        <w:rPr>
          <w:rFonts w:ascii="Arial" w:cs="Arial" w:hAnsi="Arial"/>
          <w:i/>
        </w:rPr>
      </w:pPr>
      <w:r>
        <w:rPr>
          <w:rFonts w:ascii="Arial" w:cs="Arial" w:hAnsi="Arial"/>
          <w:i/>
        </w:rPr>
        <w:t xml:space="preserve">Keywords: </w:t>
      </w:r>
      <w:r>
        <w:rPr>
          <w:rFonts w:ascii="Arial" w:cs="Arial" w:hAnsi="Arial"/>
          <w:i/>
        </w:rPr>
        <w:t xml:space="preserve">Educational Therapy, </w:t>
      </w:r>
      <w:r>
        <w:rPr>
          <w:rFonts w:ascii="Arial" w:cs="Arial" w:hAnsi="Arial"/>
          <w:i/>
          <w:iCs/>
        </w:rPr>
        <w:t xml:space="preserve">Hierarchy of Abilities &amp; Skills, Integrated Pediatric Therapeutic, </w:t>
      </w:r>
      <w:r>
        <w:rPr>
          <w:rFonts w:ascii="Arial" w:cs="Arial" w:hAnsi="Arial"/>
          <w:i/>
          <w:iCs/>
        </w:rPr>
        <w:t>P</w:t>
      </w:r>
      <w:r>
        <w:rPr>
          <w:rFonts w:ascii="Arial" w:cs="Arial" w:hAnsi="Arial"/>
          <w:i/>
          <w:iCs/>
        </w:rPr>
        <w:t xml:space="preserve">ediatric </w:t>
      </w:r>
      <w:r>
        <w:rPr>
          <w:rFonts w:ascii="Arial" w:cs="Arial" w:hAnsi="Arial"/>
          <w:i/>
          <w:iCs/>
        </w:rPr>
        <w:t>T</w:t>
      </w:r>
      <w:r>
        <w:rPr>
          <w:rFonts w:ascii="Arial" w:cs="Arial" w:hAnsi="Arial"/>
          <w:i/>
          <w:iCs/>
        </w:rPr>
        <w:t xml:space="preserve">herapy, </w:t>
      </w:r>
      <w:r>
        <w:rPr>
          <w:rFonts w:ascii="Arial" w:cs="Arial" w:hAnsi="Arial"/>
          <w:i/>
          <w:iCs/>
        </w:rPr>
        <w:t>N</w:t>
      </w:r>
      <w:r>
        <w:rPr>
          <w:rFonts w:ascii="Arial" w:cs="Arial" w:hAnsi="Arial"/>
          <w:i/>
          <w:iCs/>
        </w:rPr>
        <w:t xml:space="preserve">eurodevelopment, </w:t>
      </w:r>
      <w:r>
        <w:rPr>
          <w:rFonts w:ascii="Arial" w:cs="Arial" w:hAnsi="Arial"/>
          <w:i/>
          <w:iCs/>
        </w:rPr>
        <w:t>M</w:t>
      </w:r>
      <w:r>
        <w:rPr>
          <w:rFonts w:ascii="Arial" w:cs="Arial" w:hAnsi="Arial"/>
          <w:i/>
          <w:iCs/>
        </w:rPr>
        <w:t>etacognition</w:t>
      </w:r>
    </w:p>
    <w:p>
      <w:pPr>
        <w:pStyle w:val="style4099"/>
        <w:spacing w:after="0"/>
        <w:rPr>
          <w:rFonts w:ascii="Arial" w:cs="Arial" w:hAnsi="Arial"/>
          <w:i/>
        </w:rPr>
      </w:pPr>
    </w:p>
    <w:p>
      <w:pPr>
        <w:pStyle w:val="style4099"/>
        <w:spacing w:after="0"/>
        <w:rPr>
          <w:rFonts w:ascii="Arial" w:cs="Arial" w:hAnsi="Arial"/>
          <w:i/>
        </w:rPr>
      </w:pPr>
    </w:p>
    <w:p>
      <w:pPr>
        <w:pStyle w:val="style4100"/>
        <w:numPr>
          <w:ilvl w:val="0"/>
          <w:numId w:val="3"/>
        </w:numPr>
        <w:spacing w:after="0"/>
        <w:jc w:val="both"/>
        <w:rPr>
          <w:rFonts w:ascii="Arial" w:cs="Arial" w:hAnsi="Arial"/>
        </w:rPr>
      </w:pPr>
      <w:r>
        <w:rPr>
          <w:rFonts w:ascii="Arial" w:cs="Arial" w:hAnsi="Arial"/>
        </w:rPr>
        <w:t>INTRODUCTION</w:t>
      </w:r>
    </w:p>
    <w:p>
      <w:pPr>
        <w:pStyle w:val="style4100"/>
        <w:spacing w:after="0"/>
        <w:jc w:val="both"/>
        <w:rPr>
          <w:rFonts w:ascii="Arial" w:cs="Arial" w:hAnsi="Arial"/>
          <w:sz w:val="20"/>
        </w:rPr>
      </w:pPr>
    </w:p>
    <w:p>
      <w:pPr>
        <w:pStyle w:val="style0"/>
        <w:jc w:val="both"/>
        <w:rPr/>
      </w:pPr>
      <w:r>
        <w:rPr>
          <w:rFonts w:ascii="Arial" w:cs="Arial" w:hAnsi="Arial"/>
        </w:rPr>
        <w:t xml:space="preserve">Understanding the complex interplay among biological, psychological, and environmental factors in child development is crucial for effective pediatric assessment, intervention planning and its subsequent implementation. The contemporary developmental science has placed its emphasis on children’s learning and behavioral outcomes that are shaped by multiple interconnected systems, including neurobiological functioning, sensory processing, socio-emotional regulation, </w:t>
      </w:r>
      <w:r>
        <w:rPr>
          <w:rFonts w:ascii="Arial" w:cs="Arial" w:hAnsi="Arial"/>
        </w:rPr>
        <w:t xml:space="preserve">socio-cultural practices, </w:t>
      </w:r>
      <w:r>
        <w:rPr>
          <w:rFonts w:ascii="Arial" w:cs="Arial" w:hAnsi="Arial"/>
        </w:rPr>
        <w:t>and neurocognitive development (</w:t>
      </w:r>
      <w:r>
        <w:t>Aghaziarati</w:t>
      </w:r>
      <w:r>
        <w:t xml:space="preserve"> </w:t>
      </w:r>
      <w:r>
        <w:t xml:space="preserve">&amp; </w:t>
      </w:r>
      <w:r>
        <w:t>Nejatifar</w:t>
      </w:r>
      <w:r>
        <w:t>, 2023</w:t>
      </w:r>
      <w:r>
        <w:t>;</w:t>
      </w:r>
      <w:r>
        <w:t xml:space="preserve"> </w:t>
      </w:r>
      <w:r>
        <w:t>Iruka, 2025</w:t>
      </w:r>
      <w:r>
        <w:t xml:space="preserve">; </w:t>
      </w:r>
      <w:r>
        <w:t xml:space="preserve">Lee, Meltzoff, &amp; Kuhl, </w:t>
      </w:r>
      <w:r>
        <w:t>2020)</w:t>
      </w:r>
      <w:r>
        <w:rPr>
          <w:rFonts w:ascii="Arial" w:cs="Arial" w:hAnsi="Arial"/>
        </w:rPr>
        <w:t xml:space="preserve">. For children with neurodevelopmental conditions, e.g., autism spectrum disorder (ASD), attention-deficit/hyperactivity disorder (ADHD), and learning disabilities (LD), their difficulties often emerge across several developmental domains rather than just within a single isolated area. </w:t>
      </w:r>
      <w:r>
        <w:rPr>
          <w:rFonts w:ascii="Arial" w:cs="Arial" w:hAnsi="Arial"/>
        </w:rPr>
        <w:t xml:space="preserve">As a result, comprehensive and </w:t>
      </w:r>
      <w:r>
        <w:rPr>
          <w:rFonts w:ascii="Arial" w:cs="Arial" w:hAnsi="Arial"/>
        </w:rPr>
        <w:t>hierarchical models of assessment</w:t>
      </w:r>
      <w:r>
        <w:rPr>
          <w:rFonts w:ascii="Arial" w:cs="Arial" w:hAnsi="Arial"/>
        </w:rPr>
        <w:t xml:space="preserve">, such as the </w:t>
      </w:r>
      <w:r>
        <w:t>Bayesian hierarchical modelling approach</w:t>
      </w:r>
      <w:r>
        <w:t xml:space="preserve"> (Shaw et al., 2025), </w:t>
      </w:r>
      <w:r>
        <w:rPr>
          <w:rFonts w:ascii="Arial" w:cs="Arial" w:hAnsi="Arial"/>
        </w:rPr>
        <w:t>are increasingly recognized as essential tools for guiding in the planning and implementation of multidisciplinary therapeutic interventions (Lord et al., 2022).</w:t>
      </w:r>
      <w:r>
        <w:rPr>
          <w:rFonts w:ascii="Arial" w:cs="Arial" w:hAnsi="Arial"/>
        </w:rPr>
        <w:t xml:space="preserve"> Alternatives to </w:t>
      </w:r>
      <w:r>
        <w:rPr>
          <w:rFonts w:ascii="Arial" w:cs="Arial" w:hAnsi="Arial"/>
        </w:rPr>
        <w:t xml:space="preserve">such hierarchical models are the </w:t>
      </w:r>
      <w:r>
        <w:t>f</w:t>
      </w:r>
      <w:r>
        <w:t>requentist multilevel (mixed-effects) models</w:t>
      </w:r>
      <w:r>
        <w:t xml:space="preserve"> (</w:t>
      </w:r>
      <w:r>
        <w:t>Choi et al., 20</w:t>
      </w:r>
      <w:r>
        <w:t>24).</w:t>
      </w:r>
    </w:p>
    <w:p>
      <w:pPr>
        <w:pStyle w:val="style0"/>
        <w:jc w:val="both"/>
        <w:rPr>
          <w:rFonts w:ascii="Arial" w:cs="Arial" w:hAnsi="Arial"/>
        </w:rPr>
      </w:pPr>
      <w:r>
        <w:rPr>
          <w:rFonts w:ascii="Arial" w:cs="Arial" w:hAnsi="Arial"/>
        </w:rPr>
        <w:t xml:space="preserve"> </w:t>
      </w:r>
    </w:p>
    <w:p>
      <w:pPr>
        <w:pStyle w:val="style0"/>
        <w:jc w:val="both"/>
        <w:rPr>
          <w:rFonts w:ascii="Arial" w:cs="Arial" w:hAnsi="Arial"/>
        </w:rPr>
      </w:pPr>
      <w:r>
        <w:rPr>
          <w:rFonts w:ascii="Arial" w:cs="Arial" w:hAnsi="Arial"/>
        </w:rPr>
        <w:t>The original version of the Hierarchy of Abilities &amp; Skills (HAS) model (see Fig. 1), first introduced by Chia (2008) and subsequently revised by Chia (2011</w:t>
      </w:r>
      <w:r>
        <w:rPr>
          <w:rFonts w:ascii="Arial" w:cs="Arial" w:hAnsi="Arial"/>
        </w:rPr>
        <w:t>a</w:t>
      </w:r>
      <w:r>
        <w:rPr>
          <w:rFonts w:ascii="Arial" w:cs="Arial" w:hAnsi="Arial"/>
        </w:rPr>
        <w:t>, 2015), conceptualizes child development as a structured progression from foundational biological capacities toward higher-order cognitive and metacognitive abilities. It is not within the scope of this paper to discuss in details about the changing terms (e.g., processes</w:t>
      </w:r>
      <w:r>
        <w:rPr>
          <w:rFonts w:ascii="Arial" w:cs="Arial" w:hAnsi="Arial"/>
        </w:rPr>
        <w:sym w:font="Symbol" w:char="f0ae"/>
      </w:r>
      <w:r>
        <w:rPr>
          <w:rFonts w:ascii="Arial" w:cs="Arial" w:hAnsi="Arial"/>
        </w:rPr>
        <w:t>skills</w:t>
      </w:r>
      <w:r>
        <w:rPr>
          <w:rFonts w:ascii="Arial" w:cs="Arial" w:hAnsi="Arial"/>
        </w:rPr>
        <w:sym w:font="Symbol" w:char="f0ae"/>
      </w:r>
      <w:r>
        <w:rPr>
          <w:rFonts w:ascii="Arial" w:cs="Arial" w:hAnsi="Arial"/>
        </w:rPr>
        <w:t>abilities and skills; innate abilities</w:t>
      </w:r>
      <w:r>
        <w:rPr>
          <w:rFonts w:ascii="Arial" w:cs="Arial" w:hAnsi="Arial"/>
        </w:rPr>
        <w:sym w:font="Symbol" w:char="f0ae"/>
      </w:r>
      <w:r>
        <w:rPr>
          <w:rFonts w:ascii="Arial" w:cs="Arial" w:hAnsi="Arial"/>
        </w:rPr>
        <w:t xml:space="preserve">biomedical and neurological foundations) used in the subsequent revisions of the HAS model. </w:t>
      </w:r>
      <w:r>
        <w:rPr>
          <w:rFonts w:ascii="Arial" w:cs="Arial" w:hAnsi="Arial"/>
        </w:rPr>
        <w:t xml:space="preserve">What is more </w:t>
      </w:r>
      <w:r>
        <w:rPr>
          <w:rFonts w:ascii="Arial" w:cs="Arial" w:hAnsi="Arial"/>
        </w:rPr>
        <w:t>important</w:t>
      </w:r>
      <w:r>
        <w:rPr>
          <w:rFonts w:ascii="Arial" w:cs="Arial" w:hAnsi="Arial"/>
        </w:rPr>
        <w:t xml:space="preserve"> is </w:t>
      </w:r>
      <w:r>
        <w:rPr>
          <w:rFonts w:ascii="Arial" w:cs="Arial" w:hAnsi="Arial"/>
        </w:rPr>
        <w:t>to know and understand that, w</w:t>
      </w:r>
      <w:r>
        <w:rPr>
          <w:rFonts w:ascii="Arial" w:cs="Arial" w:hAnsi="Arial"/>
        </w:rPr>
        <w:t xml:space="preserve">ithin the original HAS framework, developmental competencies are carefully organized across several interdependent levels, </w:t>
      </w:r>
      <w:r>
        <w:rPr>
          <w:rFonts w:ascii="Arial" w:cs="Arial" w:hAnsi="Arial"/>
        </w:rPr>
        <w:t>which</w:t>
      </w:r>
      <w:r>
        <w:rPr>
          <w:rFonts w:ascii="Arial" w:cs="Arial" w:hAnsi="Arial"/>
        </w:rPr>
        <w:t xml:space="preserve"> Chia (2008) later called them </w:t>
      </w:r>
      <w:r>
        <w:rPr>
          <w:rFonts w:ascii="Arial" w:cs="Arial" w:hAnsi="Arial"/>
        </w:rPr>
        <w:t xml:space="preserve">‘building blocks’ </w:t>
      </w:r>
      <w:r>
        <w:rPr>
          <w:rFonts w:ascii="Arial" w:cs="Arial" w:hAnsi="Arial"/>
        </w:rPr>
        <w:t>in the subsequent revision, beginning with innate biological and neurological functions and progressing through sensory-motor integration, adaptive behavior, socio-emotional functioning, and cognitive processing (Chia, 2011</w:t>
      </w:r>
      <w:r>
        <w:rPr>
          <w:rFonts w:ascii="Arial" w:cs="Arial" w:hAnsi="Arial"/>
        </w:rPr>
        <w:t>a</w:t>
      </w:r>
      <w:r>
        <w:rPr>
          <w:rFonts w:ascii="Arial" w:cs="Arial" w:hAnsi="Arial"/>
        </w:rPr>
        <w:t>, 2015). Each level or block builds upon the integrity of the preceding level, reflecting the principle that weaknesses or needs in foundational abilities may cascade into broader learning and behavioral challenges if not properly or systematically addressed early (Johnson, Jones, &amp; Gliga, 2015). This hierarchical perspective aligns with contemporary neurodevelopmental theories emphasizing that brain development, sensory processing, and environmental interaction collectively shape children’s learning trajectories (Chia &amp; Tan, 2024; Miller, 2022; Zerva, 2026).</w:t>
      </w:r>
    </w:p>
    <w:p>
      <w:pPr>
        <w:pStyle w:val="style0"/>
        <w:rPr>
          <w:rFonts w:ascii="Arial" w:cs="Arial" w:hAnsi="Arial"/>
        </w:rPr>
      </w:pPr>
    </w:p>
    <w:p>
      <w:pPr>
        <w:pStyle w:val="style0"/>
        <w:jc w:val="center"/>
        <w:rPr>
          <w:rFonts w:ascii="Arial" w:cs="Arial" w:hAnsi="Arial"/>
        </w:rPr>
      </w:pPr>
      <w:r>
        <w:rPr>
          <w:rFonts w:ascii="Arial" w:cs="Arial" w:hAnsi="Arial"/>
          <w:noProof/>
        </w:rPr>
        <w:drawing>
          <wp:inline distL="0" distT="0" distB="0" distR="0">
            <wp:extent cx="5212080" cy="1471246"/>
            <wp:effectExtent l="0" t="0" r="0" b="0"/>
            <wp:docPr id="1028"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9" cstate="print"/>
                    <a:srcRect l="0" t="0" r="0" b="0"/>
                    <a:stretch/>
                  </pic:blipFill>
                  <pic:spPr>
                    <a:xfrm rot="0">
                      <a:off x="0" y="0"/>
                      <a:ext cx="5212080" cy="1471246"/>
                    </a:xfrm>
                    <a:prstGeom prst="rect"/>
                  </pic:spPr>
                </pic:pic>
              </a:graphicData>
            </a:graphic>
          </wp:inline>
        </w:drawing>
      </w:r>
    </w:p>
    <w:p>
      <w:pPr>
        <w:pStyle w:val="style0"/>
        <w:jc w:val="center"/>
        <w:rPr>
          <w:rFonts w:ascii="Arial" w:cs="Arial" w:hAnsi="Arial"/>
          <w:b/>
          <w:bCs/>
        </w:rPr>
      </w:pPr>
      <w:r>
        <w:rPr>
          <w:rFonts w:ascii="Arial" w:cs="Arial" w:hAnsi="Arial"/>
          <w:b/>
          <w:bCs/>
        </w:rPr>
        <w:t>Figure 1. The Original HAS Model (Chia, 2008</w:t>
      </w:r>
      <w:r>
        <w:rPr>
          <w:rFonts w:ascii="Arial" w:cs="Arial" w:hAnsi="Arial"/>
          <w:b/>
          <w:bCs/>
        </w:rPr>
        <w:t>, p. 26</w:t>
      </w:r>
      <w:r>
        <w:rPr>
          <w:rFonts w:ascii="Arial" w:cs="Arial" w:hAnsi="Arial"/>
          <w:b/>
          <w:bCs/>
        </w:rPr>
        <w:t>)</w:t>
      </w:r>
    </w:p>
    <w:p>
      <w:pPr>
        <w:pStyle w:val="style0"/>
        <w:rPr>
          <w:rFonts w:ascii="Arial" w:cs="Arial" w:hAnsi="Arial"/>
        </w:rPr>
      </w:pPr>
    </w:p>
    <w:p>
      <w:pPr>
        <w:pStyle w:val="style0"/>
        <w:jc w:val="both"/>
        <w:rPr>
          <w:rFonts w:ascii="Arial" w:cs="Arial" w:hAnsi="Arial"/>
          <w:lang w:val="en-SG"/>
        </w:rPr>
      </w:pPr>
      <w:r>
        <w:rPr>
          <w:rFonts w:ascii="Arial" w:cs="Arial" w:hAnsi="Arial"/>
          <w:lang w:val="en-SG"/>
        </w:rPr>
        <w:t>The HAS model was originally developed to assess children with special educational needs (SEN) in mainstream schools</w:t>
      </w:r>
      <w:r>
        <w:rPr>
          <w:rFonts w:ascii="Arial" w:cs="Arial" w:hAnsi="Arial"/>
          <w:lang w:val="en-SG"/>
        </w:rPr>
        <w:t xml:space="preserve"> (Chia, 2008</w:t>
      </w:r>
      <w:r>
        <w:rPr>
          <w:rFonts w:ascii="Arial" w:cs="Arial" w:hAnsi="Arial"/>
          <w:lang w:val="en-SG"/>
        </w:rPr>
        <w:t>, 2011b</w:t>
      </w:r>
      <w:r>
        <w:rPr>
          <w:rFonts w:ascii="Arial" w:cs="Arial" w:hAnsi="Arial"/>
          <w:lang w:val="en-SG"/>
        </w:rPr>
        <w:t>)</w:t>
      </w:r>
      <w:r>
        <w:rPr>
          <w:rFonts w:ascii="Arial" w:cs="Arial" w:hAnsi="Arial"/>
          <w:lang w:val="en-SG"/>
        </w:rPr>
        <w:t xml:space="preserve">, but it has since been applied in special education </w:t>
      </w:r>
      <w:r>
        <w:rPr>
          <w:rFonts w:ascii="Arial" w:cs="Arial" w:hAnsi="Arial"/>
          <w:lang w:val="en-SG"/>
        </w:rPr>
        <w:t xml:space="preserve">(SPED) </w:t>
      </w:r>
      <w:r>
        <w:rPr>
          <w:rFonts w:ascii="Arial" w:cs="Arial" w:hAnsi="Arial"/>
          <w:lang w:val="en-SG"/>
        </w:rPr>
        <w:t>schools and privately run educational therapy clinics (Chua &amp; Singh, 2024; Lu, 2025; Wong, 2019).</w:t>
      </w:r>
      <w:r>
        <w:rPr>
          <w:rFonts w:ascii="Arial" w:cs="Arial" w:hAnsi="Arial"/>
          <w:lang w:val="en-SG"/>
        </w:rPr>
        <w:t xml:space="preserve"> </w:t>
      </w:r>
      <w:r>
        <w:rPr>
          <w:rFonts w:ascii="Arial" w:cs="Arial" w:hAnsi="Arial"/>
        </w:rPr>
        <w:t>The term SEN “covers an array of problems from those arising from particular impairments to those resulting from the complex interaction of pupil and school factor</w:t>
      </w:r>
      <w:r>
        <w:rPr>
          <w:rFonts w:ascii="Arial" w:cs="Arial" w:hAnsi="Arial"/>
        </w:rPr>
        <w:t>s</w:t>
      </w:r>
      <w:r>
        <w:rPr>
          <w:rFonts w:ascii="Arial" w:cs="Arial" w:hAnsi="Arial"/>
        </w:rPr>
        <w:t xml:space="preserve">” (Florian &amp; Hegarty, 2004, p. 1). Later, the HAS model was applied in special education and educational therapy within the domain of what is known as </w:t>
      </w:r>
      <w:r>
        <w:rPr>
          <w:rFonts w:ascii="Arial" w:cs="Arial" w:hAnsi="Arial"/>
          <w:i/>
          <w:iCs/>
        </w:rPr>
        <w:t>psychogogy</w:t>
      </w:r>
      <w:r>
        <w:rPr>
          <w:rFonts w:ascii="Arial" w:cs="Arial" w:hAnsi="Arial"/>
        </w:rPr>
        <w:t xml:space="preserve">, where the Greek word </w:t>
      </w:r>
      <w:r>
        <w:rPr>
          <w:rFonts w:ascii="Arial" w:cs="Arial" w:hAnsi="Arial"/>
          <w:i/>
          <w:iCs/>
        </w:rPr>
        <w:t>psycho</w:t>
      </w:r>
      <w:r>
        <w:rPr>
          <w:rFonts w:ascii="Arial" w:cs="Arial" w:hAnsi="Arial"/>
        </w:rPr>
        <w:t xml:space="preserve"> means </w:t>
      </w:r>
      <w:r>
        <w:rPr>
          <w:rFonts w:ascii="Arial" w:cs="Arial" w:hAnsi="Arial"/>
          <w:i/>
          <w:iCs/>
        </w:rPr>
        <w:t>mind</w:t>
      </w:r>
      <w:r>
        <w:rPr>
          <w:rFonts w:ascii="Arial" w:cs="Arial" w:hAnsi="Arial"/>
        </w:rPr>
        <w:t>, and the term literally means ‘to lead the mind.’ Loosely adapted from Wendling and Mather (2009), “</w:t>
      </w:r>
      <w:r>
        <w:rPr>
          <w:rFonts w:ascii="Arial" w:cs="Arial" w:hAnsi="Arial"/>
          <w:i/>
          <w:iCs/>
        </w:rPr>
        <w:t>psychogogy</w:t>
      </w:r>
      <w:r>
        <w:rPr>
          <w:rFonts w:ascii="Arial" w:cs="Arial" w:hAnsi="Arial"/>
        </w:rPr>
        <w:t xml:space="preserve"> can be described as an evidence-based instruction, which ‘simply means that the program, methodology, and/or practices have records of success. In other words, reliable and valid evidence indicates that intervention works’ (p. 3)” (cited in Chia, 2015, p. 13). </w:t>
      </w:r>
    </w:p>
    <w:p>
      <w:pPr>
        <w:pStyle w:val="style0"/>
        <w:rPr>
          <w:rFonts w:ascii="Arial" w:cs="Arial" w:hAnsi="Arial"/>
        </w:rPr>
      </w:pPr>
    </w:p>
    <w:p>
      <w:pPr>
        <w:pStyle w:val="style0"/>
        <w:jc w:val="both"/>
        <w:rPr>
          <w:rFonts w:ascii="Arial" w:cs="Arial" w:hAnsi="Arial"/>
        </w:rPr>
      </w:pPr>
      <w:r>
        <w:rPr>
          <w:rFonts w:ascii="Arial" w:cs="Arial" w:hAnsi="Arial"/>
        </w:rPr>
        <w:t>“</w:t>
      </w:r>
      <w:r>
        <w:rPr>
          <w:rFonts w:ascii="Arial" w:cs="Arial" w:hAnsi="Arial"/>
        </w:rPr>
        <w:t xml:space="preserve">In its original coinage, psychogogy is not meant to rectify SEN, i.e., learning and/or behavioral challenges, per se. Learning and/or behavioral difficulties may be experienced by anyone </w:t>
      </w:r>
      <w:r>
        <w:rPr>
          <w:rFonts w:ascii="Arial" w:cs="Arial" w:hAnsi="Arial"/>
        </w:rPr>
        <w:t>some of the time throughout</w:t>
      </w:r>
      <w:r>
        <w:rPr>
          <w:rFonts w:ascii="Arial" w:cs="Arial" w:hAnsi="Arial"/>
        </w:rPr>
        <w:t xml:space="preserve"> life</w:t>
      </w:r>
      <w:r>
        <w:rPr>
          <w:rFonts w:ascii="Arial" w:cs="Arial" w:hAnsi="Arial"/>
        </w:rPr>
        <w:t>” (Chia, 2015, p. 23)</w:t>
      </w:r>
      <w:r>
        <w:rPr>
          <w:rFonts w:ascii="Arial" w:cs="Arial" w:hAnsi="Arial"/>
        </w:rPr>
        <w:t>. Psycho</w:t>
      </w:r>
      <w:r>
        <w:rPr>
          <w:rFonts w:ascii="Arial" w:cs="Arial" w:hAnsi="Arial"/>
        </w:rPr>
        <w:t>g</w:t>
      </w:r>
      <w:r>
        <w:rPr>
          <w:rFonts w:ascii="Arial" w:cs="Arial" w:hAnsi="Arial"/>
        </w:rPr>
        <w:t xml:space="preserve">ogy </w:t>
      </w:r>
      <w:r>
        <w:rPr>
          <w:rFonts w:ascii="Arial" w:cs="Arial" w:hAnsi="Arial"/>
        </w:rPr>
        <w:t xml:space="preserve">is </w:t>
      </w:r>
      <w:r>
        <w:rPr>
          <w:rFonts w:ascii="Arial" w:cs="Arial" w:hAnsi="Arial"/>
        </w:rPr>
        <w:t>used</w:t>
      </w:r>
      <w:r>
        <w:rPr>
          <w:rFonts w:ascii="Arial" w:cs="Arial" w:hAnsi="Arial"/>
        </w:rPr>
        <w:t xml:space="preserve"> by educational </w:t>
      </w:r>
      <w:r>
        <w:rPr>
          <w:rFonts w:ascii="Arial" w:cs="Arial" w:hAnsi="Arial"/>
        </w:rPr>
        <w:t>therapists</w:t>
      </w:r>
      <w:r>
        <w:rPr>
          <w:rFonts w:ascii="Arial" w:cs="Arial" w:hAnsi="Arial"/>
        </w:rPr>
        <w:t xml:space="preserve"> to enhance or enrich </w:t>
      </w:r>
      <w:r>
        <w:rPr>
          <w:rFonts w:ascii="Arial" w:cs="Arial" w:hAnsi="Arial"/>
        </w:rPr>
        <w:t>their school-age clients</w:t>
      </w:r>
      <w:r>
        <w:rPr>
          <w:rFonts w:ascii="Arial" w:cs="Arial" w:hAnsi="Arial"/>
        </w:rPr>
        <w:t xml:space="preserve"> in their learning performance, i.e., Self-Reliance via the HAS model, and their behavioral profile in order to attain Self-Actualization via the </w:t>
      </w:r>
      <w:r>
        <w:rPr>
          <w:rFonts w:ascii="Arial" w:cs="Arial" w:hAnsi="Arial"/>
        </w:rPr>
        <w:t>Maslowian</w:t>
      </w:r>
      <w:r>
        <w:rPr>
          <w:rFonts w:ascii="Arial" w:cs="Arial" w:hAnsi="Arial"/>
        </w:rPr>
        <w:t xml:space="preserve"> Hierarchy of Needs (see Fig. 2). In other words, psychogogy addresses the mental well-being of an individual by maturing through a hierarchy of needs towards self-actualization (Maslow, 1943, 1965). </w:t>
      </w:r>
      <w:r>
        <w:rPr>
          <w:rFonts w:ascii="Arial" w:cs="Arial" w:hAnsi="Arial"/>
        </w:rPr>
        <w:t>Note that metacognitive skills are not included in Fig. 2 as they</w:t>
      </w:r>
      <w:r>
        <w:rPr>
          <w:rFonts w:ascii="Arial" w:cs="Arial" w:hAnsi="Arial"/>
        </w:rPr>
        <w:t xml:space="preserve"> are considered higher-order and dependent on earlier stages, so they are often not shown alongside</w:t>
      </w:r>
      <w:r>
        <w:rPr>
          <w:rFonts w:ascii="Arial" w:cs="Arial" w:hAnsi="Arial"/>
        </w:rPr>
        <w:t xml:space="preserve"> with the other</w:t>
      </w:r>
      <w:r>
        <w:rPr>
          <w:rFonts w:ascii="Arial" w:cs="Arial" w:hAnsi="Arial"/>
        </w:rPr>
        <w:t xml:space="preserve"> foundational levels.</w:t>
      </w:r>
      <w:r>
        <w:rPr>
          <w:rFonts w:ascii="Arial" w:cs="Arial" w:hAnsi="Arial"/>
        </w:rPr>
        <w:t xml:space="preserve"> </w:t>
      </w:r>
      <w:r>
        <w:rPr>
          <w:rFonts w:ascii="Arial" w:cs="Arial" w:hAnsi="Arial"/>
        </w:rPr>
        <w:t>Moreover, “it also concerns a hierarchy of abilities and skills with innate abilities as the Foundation Block and moving on to develop other Building Blocks from II to V. It does not cover everything outside the person concerned” (Chia, 2015, p. 23). Chia (2015) argued further “[T]his means that outside or beyond the mind, psychogogy is inadequate to explain how external factors can impact the learning mind. Should the mind be faculty or it is having some form of deficit or deficiency, psychogogy alone might not be sufficient to address the problem” (p. 23).</w:t>
      </w:r>
    </w:p>
    <w:p>
      <w:pPr>
        <w:pStyle w:val="style0"/>
        <w:jc w:val="both"/>
        <w:rPr>
          <w:rFonts w:ascii="Arial" w:cs="Arial" w:hAnsi="Arial"/>
        </w:rPr>
      </w:pPr>
    </w:p>
    <w:p>
      <w:pPr>
        <w:pStyle w:val="style0"/>
        <w:jc w:val="center"/>
        <w:rPr>
          <w:rFonts w:ascii="Arial" w:cs="Arial" w:hAnsi="Arial"/>
        </w:rPr>
      </w:pPr>
      <w:r>
        <w:rPr>
          <w:rFonts w:ascii="Arial" w:cs="Arial" w:hAnsi="Arial"/>
          <w:noProof/>
        </w:rPr>
        <w:drawing>
          <wp:inline distL="0" distT="0" distB="0" distR="0">
            <wp:extent cx="4613031" cy="1402568"/>
            <wp:effectExtent l="0" t="0" r="0" b="7620"/>
            <wp:docPr id="1029"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srcRect l="0" t="0" r="0" b="0"/>
                    <a:stretch/>
                  </pic:blipFill>
                  <pic:spPr>
                    <a:xfrm rot="0">
                      <a:off x="0" y="0"/>
                      <a:ext cx="4613031" cy="1402568"/>
                    </a:xfrm>
                    <a:prstGeom prst="rect"/>
                  </pic:spPr>
                </pic:pic>
              </a:graphicData>
            </a:graphic>
          </wp:inline>
        </w:drawing>
      </w:r>
    </w:p>
    <w:p>
      <w:pPr>
        <w:pStyle w:val="style0"/>
        <w:jc w:val="center"/>
        <w:rPr>
          <w:rFonts w:ascii="Arial" w:cs="Arial" w:hAnsi="Arial"/>
          <w:b/>
          <w:bCs/>
        </w:rPr>
      </w:pPr>
      <w:r>
        <w:rPr>
          <w:rFonts w:ascii="Arial" w:cs="Arial" w:hAnsi="Arial"/>
          <w:b/>
          <w:bCs/>
        </w:rPr>
        <w:t>Fig. 2. Hierarchies of Abilities, Skills and Needs (</w:t>
      </w:r>
      <w:r>
        <w:rPr>
          <w:rFonts w:ascii="Arial" w:cs="Arial" w:hAnsi="Arial"/>
          <w:b/>
          <w:bCs/>
        </w:rPr>
        <w:t>Chia, 201</w:t>
      </w:r>
      <w:r>
        <w:rPr>
          <w:rFonts w:ascii="Arial" w:cs="Arial" w:hAnsi="Arial"/>
          <w:b/>
          <w:bCs/>
        </w:rPr>
        <w:t>1a</w:t>
      </w:r>
      <w:r>
        <w:rPr>
          <w:rFonts w:ascii="Arial" w:cs="Arial" w:hAnsi="Arial"/>
          <w:b/>
          <w:bCs/>
        </w:rPr>
        <w:t>, p. 23</w:t>
      </w:r>
      <w:r>
        <w:rPr>
          <w:rFonts w:ascii="Arial" w:cs="Arial" w:hAnsi="Arial"/>
          <w:b/>
          <w:bCs/>
        </w:rPr>
        <w:t>)</w:t>
      </w:r>
    </w:p>
    <w:p>
      <w:pPr>
        <w:pStyle w:val="style0"/>
        <w:rPr>
          <w:rFonts w:ascii="Arial" w:cs="Arial" w:hAnsi="Arial"/>
        </w:rPr>
      </w:pPr>
    </w:p>
    <w:p>
      <w:pPr>
        <w:pStyle w:val="style0"/>
        <w:jc w:val="both"/>
        <w:rPr>
          <w:rFonts w:ascii="Arial" w:cs="Arial" w:hAnsi="Arial"/>
          <w:lang w:val="en-SG"/>
        </w:rPr>
      </w:pPr>
      <w:r>
        <w:rPr>
          <w:rFonts w:ascii="Arial" w:cs="Arial" w:hAnsi="Arial"/>
        </w:rPr>
        <w:t xml:space="preserve">The hierarchical structure of the HAS model has a significant relevance for pediatric </w:t>
      </w:r>
      <w:r>
        <w:rPr>
          <w:rFonts w:ascii="Arial" w:cs="Arial" w:hAnsi="Arial"/>
        </w:rPr>
        <w:t xml:space="preserve">and educational </w:t>
      </w:r>
      <w:r>
        <w:rPr>
          <w:rFonts w:ascii="Arial" w:cs="Arial" w:hAnsi="Arial"/>
        </w:rPr>
        <w:t>therapeutic practice</w:t>
      </w:r>
      <w:r>
        <w:rPr>
          <w:rFonts w:ascii="Arial" w:cs="Arial" w:hAnsi="Arial"/>
        </w:rPr>
        <w:t xml:space="preserve">, </w:t>
      </w:r>
      <w:r>
        <w:rPr>
          <w:rFonts w:ascii="Arial" w:cs="Arial" w:hAnsi="Arial"/>
        </w:rPr>
        <w:t>combining both</w:t>
      </w:r>
      <w:r>
        <w:rPr>
          <w:rFonts w:ascii="Arial" w:cs="Arial" w:hAnsi="Arial"/>
        </w:rPr>
        <w:t xml:space="preserve"> pediatric therapy and educational therapy</w:t>
      </w:r>
      <w:r>
        <w:rPr>
          <w:rFonts w:ascii="Arial" w:cs="Arial" w:hAnsi="Arial"/>
        </w:rPr>
        <w:t xml:space="preserve"> into one </w:t>
      </w:r>
      <w:r>
        <w:rPr>
          <w:rFonts w:ascii="Arial" w:cs="Arial" w:hAnsi="Arial"/>
        </w:rPr>
        <w:t xml:space="preserve">integrated intervention </w:t>
      </w:r>
      <w:r>
        <w:rPr>
          <w:rFonts w:ascii="Arial" w:cs="Arial" w:hAnsi="Arial"/>
        </w:rPr>
        <w:t>practice</w:t>
      </w:r>
      <w:r>
        <w:rPr>
          <w:rFonts w:ascii="Arial" w:cs="Arial" w:hAnsi="Arial"/>
        </w:rPr>
        <w:t>.</w:t>
      </w:r>
      <w:r>
        <w:rPr>
          <w:rFonts w:ascii="Arial" w:cs="Arial" w:hAnsi="Arial"/>
        </w:rPr>
        <w:t xml:space="preserve"> </w:t>
      </w:r>
      <w:r>
        <w:rPr>
          <w:rFonts w:ascii="Arial" w:cs="Arial" w:hAnsi="Arial"/>
        </w:rPr>
        <w:t>P</w:t>
      </w:r>
      <w:r>
        <w:rPr>
          <w:rFonts w:ascii="Arial" w:cs="Arial" w:hAnsi="Arial"/>
        </w:rPr>
        <w:t xml:space="preserve">ediatric therapy, which includes, for example, pediatric palliative care (Chia, 2025; Yusof, 2025), pediatric physical therapy (Rosales et al., 2025; Sudhir &amp; Sharath, 2023), pediatric precision medicine (Woolfenden et al., 2022), and pediatric rehabilitation (King, Graham, &amp; </w:t>
      </w:r>
      <w:r>
        <w:rPr>
          <w:rFonts w:ascii="Arial" w:cs="Arial" w:hAnsi="Arial"/>
        </w:rPr>
        <w:t>Ahkbari</w:t>
      </w:r>
      <w:r>
        <w:rPr>
          <w:rFonts w:ascii="Arial" w:cs="Arial" w:hAnsi="Arial"/>
        </w:rPr>
        <w:t xml:space="preserve"> Ziegler, 2024), involves the coordinated multidisciplinary teamwork of pediatricians, neurologists, psychologists, counselors, occupational therapists, speech-language therapists, educational </w:t>
      </w:r>
      <w:r>
        <w:rPr>
          <w:rFonts w:ascii="Arial" w:cs="Arial" w:hAnsi="Arial"/>
        </w:rPr>
        <w:t>therap</w:t>
      </w:r>
      <w:r>
        <w:rPr>
          <w:rFonts w:ascii="Arial" w:cs="Arial" w:hAnsi="Arial"/>
        </w:rPr>
        <w:t>i</w:t>
      </w:r>
      <w:r>
        <w:rPr>
          <w:rFonts w:ascii="Arial" w:cs="Arial" w:hAnsi="Arial"/>
        </w:rPr>
        <w:t xml:space="preserve">sts, and significant others to address the diverse needs of children with special needs or developmental challenges. </w:t>
      </w:r>
      <w:r>
        <w:rPr>
          <w:rFonts w:ascii="Arial" w:cs="Arial" w:hAnsi="Arial"/>
          <w:lang w:val="en-SG"/>
        </w:rPr>
        <w:t>Educational therapy is an individualized intervention</w:t>
      </w:r>
      <w:r>
        <w:rPr>
          <w:rFonts w:ascii="Arial" w:cs="Arial" w:hAnsi="Arial"/>
          <w:lang w:val="en-SG"/>
        </w:rPr>
        <w:t xml:space="preserve"> approach</w:t>
      </w:r>
      <w:r>
        <w:rPr>
          <w:rFonts w:ascii="Arial" w:cs="Arial" w:hAnsi="Arial"/>
          <w:lang w:val="en-SG"/>
        </w:rPr>
        <w:t>,</w:t>
      </w:r>
      <w:r>
        <w:rPr>
          <w:rFonts w:ascii="Arial" w:cs="Arial" w:hAnsi="Arial"/>
          <w:lang w:val="en-SG"/>
        </w:rPr>
        <w:t xml:space="preserve"> integrat</w:t>
      </w:r>
      <w:r>
        <w:rPr>
          <w:rFonts w:ascii="Arial" w:cs="Arial" w:hAnsi="Arial"/>
          <w:lang w:val="en-SG"/>
        </w:rPr>
        <w:t>ing</w:t>
      </w:r>
      <w:r>
        <w:rPr>
          <w:rFonts w:ascii="Arial" w:cs="Arial" w:hAnsi="Arial"/>
          <w:lang w:val="en-SG"/>
        </w:rPr>
        <w:t xml:space="preserve"> </w:t>
      </w:r>
      <w:r>
        <w:rPr>
          <w:rFonts w:ascii="Arial" w:cs="Arial" w:hAnsi="Arial"/>
          <w:lang w:val="en-SG"/>
        </w:rPr>
        <w:t>pedagogical techniques</w:t>
      </w:r>
      <w:r>
        <w:rPr>
          <w:rFonts w:ascii="Arial" w:cs="Arial" w:hAnsi="Arial"/>
          <w:lang w:val="en-SG"/>
        </w:rPr>
        <w:t xml:space="preserve"> and therapeutic strategies to address learning difficulties and improve a student’s academic skills and</w:t>
      </w:r>
      <w:r>
        <w:rPr>
          <w:rFonts w:ascii="Arial" w:cs="Arial" w:hAnsi="Arial"/>
          <w:lang w:val="en-SG"/>
        </w:rPr>
        <w:t xml:space="preserve"> the</w:t>
      </w:r>
      <w:r>
        <w:rPr>
          <w:rFonts w:ascii="Arial" w:cs="Arial" w:hAnsi="Arial"/>
          <w:lang w:val="en-SG"/>
        </w:rPr>
        <w:t xml:space="preserve"> underlying cognitive processes</w:t>
      </w:r>
      <w:r>
        <w:rPr>
          <w:rFonts w:ascii="Arial" w:cs="Arial" w:hAnsi="Arial"/>
          <w:lang w:val="en-SG"/>
        </w:rPr>
        <w:t xml:space="preserve"> (</w:t>
      </w:r>
      <w:r>
        <w:rPr>
          <w:rFonts w:ascii="Arial" w:cs="Arial" w:hAnsi="Arial"/>
          <w:lang w:val="en-SG"/>
        </w:rPr>
        <w:t xml:space="preserve">Chua &amp; Chia, 2023; </w:t>
      </w:r>
      <w:r>
        <w:rPr>
          <w:rFonts w:ascii="Arial" w:cs="Arial" w:hAnsi="Arial"/>
          <w:lang w:val="en-SG"/>
        </w:rPr>
        <w:t>Mosk, 2004)</w:t>
      </w:r>
      <w:r>
        <w:rPr>
          <w:rFonts w:ascii="Arial" w:cs="Arial" w:hAnsi="Arial"/>
          <w:lang w:val="en-SG"/>
        </w:rPr>
        <w:t>.</w:t>
      </w:r>
      <w:r>
        <w:rPr>
          <w:rFonts w:ascii="Arial" w:cs="Arial" w:hAnsi="Arial"/>
          <w:lang w:val="en-SG"/>
        </w:rPr>
        <w:t xml:space="preserve"> </w:t>
      </w:r>
      <w:r>
        <w:rPr>
          <w:rFonts w:ascii="Arial" w:cs="Arial" w:hAnsi="Arial"/>
        </w:rPr>
        <w:t xml:space="preserve">Recent interdisciplinary research </w:t>
      </w:r>
      <w:r>
        <w:rPr>
          <w:rFonts w:ascii="Arial" w:cs="Arial" w:hAnsi="Arial"/>
        </w:rPr>
        <w:t>(</w:t>
      </w:r>
      <w:r>
        <w:rPr>
          <w:rFonts w:ascii="Arial" w:cs="Arial" w:hAnsi="Arial"/>
        </w:rPr>
        <w:t xml:space="preserve">e.g., </w:t>
      </w:r>
      <w:r>
        <w:rPr>
          <w:rFonts w:ascii="Arial" w:cs="Arial" w:hAnsi="Arial"/>
        </w:rPr>
        <w:t>Grist et al., 2024; Shin, Park, &amp; Lee, 2025)</w:t>
      </w:r>
      <w:r>
        <w:rPr>
          <w:rFonts w:ascii="Arial" w:cs="Arial" w:hAnsi="Arial"/>
        </w:rPr>
        <w:t xml:space="preserve"> </w:t>
      </w:r>
      <w:r>
        <w:rPr>
          <w:rFonts w:ascii="Arial" w:cs="Arial" w:hAnsi="Arial"/>
        </w:rPr>
        <w:t xml:space="preserve">highlights the importance of integrated frameworks that connect medical diagnostics with functional, behavioral, and cognitive interventions. Without such </w:t>
      </w:r>
      <w:r>
        <w:rPr>
          <w:rFonts w:ascii="Arial" w:cs="Arial" w:hAnsi="Arial"/>
        </w:rPr>
        <w:t xml:space="preserve">an </w:t>
      </w:r>
      <w:r>
        <w:rPr>
          <w:rFonts w:ascii="Arial" w:cs="Arial" w:hAnsi="Arial"/>
        </w:rPr>
        <w:t xml:space="preserve">integration, assessment </w:t>
      </w:r>
      <w:r>
        <w:rPr>
          <w:rFonts w:ascii="Arial" w:cs="Arial" w:hAnsi="Arial"/>
        </w:rPr>
        <w:t xml:space="preserve">results and other </w:t>
      </w:r>
      <w:r>
        <w:rPr>
          <w:rFonts w:ascii="Arial" w:cs="Arial" w:hAnsi="Arial"/>
        </w:rPr>
        <w:t xml:space="preserve">findings </w:t>
      </w:r>
      <w:r>
        <w:rPr>
          <w:rFonts w:ascii="Arial" w:cs="Arial" w:hAnsi="Arial"/>
        </w:rPr>
        <w:t xml:space="preserve">from interviews and observations </w:t>
      </w:r>
      <w:r>
        <w:rPr>
          <w:rFonts w:ascii="Arial" w:cs="Arial" w:hAnsi="Arial"/>
        </w:rPr>
        <w:t>may remain fragmented across professional disciplines, limiting the effectiveness of intervention planning.</w:t>
      </w:r>
    </w:p>
    <w:p>
      <w:pPr>
        <w:pStyle w:val="style0"/>
        <w:rPr>
          <w:rFonts w:ascii="Arial" w:cs="Arial" w:hAnsi="Arial"/>
        </w:rPr>
      </w:pPr>
    </w:p>
    <w:p>
      <w:pPr>
        <w:pStyle w:val="style0"/>
        <w:jc w:val="both"/>
        <w:rPr>
          <w:rFonts w:ascii="Arial" w:cs="Arial" w:hAnsi="Arial"/>
          <w:lang w:val="en-SG"/>
        </w:rPr>
      </w:pPr>
      <w:r>
        <w:rPr>
          <w:rFonts w:ascii="Arial" w:cs="Arial" w:hAnsi="Arial"/>
          <w:lang w:val="en-SG"/>
        </w:rPr>
        <w:t>To address this gap, the authors have adapted the HAS framework for pediatric healthcare and</w:t>
      </w:r>
      <w:r>
        <w:rPr>
          <w:rFonts w:ascii="Arial" w:cs="Arial" w:hAnsi="Arial"/>
          <w:lang w:val="en-SG"/>
        </w:rPr>
        <w:t xml:space="preserve"> educational</w:t>
      </w:r>
      <w:r>
        <w:rPr>
          <w:rFonts w:ascii="Arial" w:cs="Arial" w:hAnsi="Arial"/>
          <w:lang w:val="en-SG"/>
        </w:rPr>
        <w:t xml:space="preserve"> therapy</w:t>
      </w:r>
      <w:r>
        <w:rPr>
          <w:rFonts w:ascii="Arial" w:cs="Arial" w:hAnsi="Arial"/>
          <w:lang w:val="en-SG"/>
        </w:rPr>
        <w:t>,</w:t>
      </w:r>
      <w:r>
        <w:rPr>
          <w:rFonts w:ascii="Arial" w:cs="Arial" w:hAnsi="Arial"/>
          <w:lang w:val="en-SG"/>
        </w:rPr>
        <w:t xml:space="preserve"> and </w:t>
      </w:r>
      <w:r>
        <w:rPr>
          <w:rFonts w:ascii="Arial" w:cs="Arial" w:hAnsi="Arial"/>
          <w:lang w:val="en-SG"/>
        </w:rPr>
        <w:t xml:space="preserve">also </w:t>
      </w:r>
      <w:r>
        <w:rPr>
          <w:rFonts w:ascii="Arial" w:cs="Arial" w:hAnsi="Arial"/>
          <w:lang w:val="en-SG"/>
        </w:rPr>
        <w:t>proposed the</w:t>
      </w:r>
      <w:r>
        <w:rPr>
          <w:rFonts w:ascii="Arial" w:cs="Arial" w:hAnsi="Arial"/>
          <w:lang w:val="en-SG"/>
        </w:rPr>
        <w:t>ir</w:t>
      </w:r>
      <w:r>
        <w:rPr>
          <w:rFonts w:ascii="Arial" w:cs="Arial" w:hAnsi="Arial"/>
          <w:lang w:val="en-SG"/>
        </w:rPr>
        <w:t xml:space="preserve"> Integrated Pediatric </w:t>
      </w:r>
      <w:r>
        <w:rPr>
          <w:rFonts w:ascii="Arial" w:cs="Arial" w:hAnsi="Arial"/>
          <w:lang w:val="en-SG"/>
        </w:rPr>
        <w:t>and Educational Therapy</w:t>
      </w:r>
      <w:r>
        <w:rPr>
          <w:rFonts w:ascii="Arial" w:cs="Arial" w:hAnsi="Arial"/>
          <w:lang w:val="en-SG"/>
        </w:rPr>
        <w:t xml:space="preserve"> (IP</w:t>
      </w:r>
      <w:r>
        <w:rPr>
          <w:rFonts w:ascii="Arial" w:cs="Arial" w:hAnsi="Arial"/>
          <w:lang w:val="en-SG"/>
        </w:rPr>
        <w:t>ET</w:t>
      </w:r>
      <w:r>
        <w:rPr>
          <w:rFonts w:ascii="Arial" w:cs="Arial" w:hAnsi="Arial"/>
          <w:lang w:val="en-SG"/>
        </w:rPr>
        <w:t xml:space="preserve">) model. Their aim is to extend the </w:t>
      </w:r>
      <w:r>
        <w:rPr>
          <w:rFonts w:ascii="Arial" w:cs="Arial" w:hAnsi="Arial"/>
          <w:lang w:val="en-SG"/>
        </w:rPr>
        <w:t xml:space="preserve">current </w:t>
      </w:r>
      <w:r>
        <w:rPr>
          <w:rFonts w:ascii="Arial" w:cs="Arial" w:hAnsi="Arial"/>
          <w:lang w:val="en-SG"/>
        </w:rPr>
        <w:t xml:space="preserve">HAS model into pediatric </w:t>
      </w:r>
      <w:r>
        <w:rPr>
          <w:rFonts w:ascii="Arial" w:cs="Arial" w:hAnsi="Arial"/>
          <w:lang w:val="en-SG"/>
        </w:rPr>
        <w:t xml:space="preserve">and educational </w:t>
      </w:r>
      <w:r>
        <w:rPr>
          <w:rFonts w:ascii="Arial" w:cs="Arial" w:hAnsi="Arial"/>
          <w:lang w:val="en-SG"/>
        </w:rPr>
        <w:t>therapeutic practice</w:t>
      </w:r>
      <w:r>
        <w:rPr>
          <w:rFonts w:ascii="Arial" w:cs="Arial" w:hAnsi="Arial"/>
          <w:lang w:val="en-SG"/>
        </w:rPr>
        <w:t xml:space="preserve"> </w:t>
      </w:r>
      <w:r>
        <w:rPr>
          <w:rFonts w:ascii="Arial" w:cs="Arial" w:hAnsi="Arial"/>
          <w:lang w:val="en-SG"/>
        </w:rPr>
        <w:t>by proposing the multidisciplinary IP</w:t>
      </w:r>
      <w:r>
        <w:rPr>
          <w:rFonts w:ascii="Arial" w:cs="Arial" w:hAnsi="Arial"/>
          <w:lang w:val="en-SG"/>
        </w:rPr>
        <w:t>ET</w:t>
      </w:r>
      <w:r>
        <w:rPr>
          <w:rFonts w:ascii="Arial" w:cs="Arial" w:hAnsi="Arial"/>
          <w:lang w:val="en-SG"/>
        </w:rPr>
        <w:t xml:space="preserve"> </w:t>
      </w:r>
      <w:r>
        <w:rPr>
          <w:rFonts w:ascii="Arial" w:cs="Arial" w:hAnsi="Arial"/>
          <w:lang w:val="en-SG"/>
        </w:rPr>
        <w:t>framework</w:t>
      </w:r>
      <w:r>
        <w:rPr>
          <w:rFonts w:ascii="Arial" w:cs="Arial" w:hAnsi="Arial"/>
          <w:lang w:val="en-SG"/>
        </w:rPr>
        <w:t xml:space="preserve">, which organizes child assessment and intervention across six hierarchical domains: biomedical foundations, sensory-motor regulation, adaptive </w:t>
      </w:r>
      <w:r>
        <w:rPr>
          <w:rFonts w:ascii="Arial" w:cs="Arial" w:hAnsi="Arial"/>
          <w:lang w:val="en-SG"/>
        </w:rPr>
        <w:t xml:space="preserve">behavior </w:t>
      </w:r>
      <w:r>
        <w:rPr>
          <w:rFonts w:ascii="Arial" w:cs="Arial" w:hAnsi="Arial"/>
          <w:lang w:val="en-SG"/>
        </w:rPr>
        <w:t>functioning, socio-emotional regulation, neurocognitive processing, and metacognitive self-regulation. By integrating these six domains into a single developmental hierarchy, the IP</w:t>
      </w:r>
      <w:r>
        <w:rPr>
          <w:rFonts w:ascii="Arial" w:cs="Arial" w:hAnsi="Arial"/>
          <w:lang w:val="en-SG"/>
        </w:rPr>
        <w:t>E</w:t>
      </w:r>
      <w:r>
        <w:rPr>
          <w:rFonts w:ascii="Arial" w:cs="Arial" w:hAnsi="Arial"/>
          <w:lang w:val="en-SG"/>
        </w:rPr>
        <w:t xml:space="preserve">T </w:t>
      </w:r>
      <w:r>
        <w:rPr>
          <w:rFonts w:ascii="Arial" w:cs="Arial" w:hAnsi="Arial"/>
          <w:lang w:val="en-SG"/>
        </w:rPr>
        <w:t>model</w:t>
      </w:r>
      <w:r>
        <w:rPr>
          <w:rFonts w:ascii="Arial" w:cs="Arial" w:hAnsi="Arial"/>
          <w:lang w:val="en-SG"/>
        </w:rPr>
        <w:t xml:space="preserve"> provides clinical assessors and </w:t>
      </w:r>
      <w:r>
        <w:rPr>
          <w:rFonts w:ascii="Arial" w:cs="Arial" w:hAnsi="Arial"/>
          <w:lang w:val="en-SG"/>
        </w:rPr>
        <w:t xml:space="preserve">educational </w:t>
      </w:r>
      <w:r>
        <w:rPr>
          <w:rFonts w:ascii="Arial" w:cs="Arial" w:hAnsi="Arial"/>
          <w:lang w:val="en-SG"/>
        </w:rPr>
        <w:t xml:space="preserve">therapists with a systematic pathway for conducting assessments, designing intervention strategies, and monitoring developmental progress over a period of time. The </w:t>
      </w:r>
      <w:r>
        <w:rPr>
          <w:rFonts w:ascii="Arial" w:cs="Arial" w:hAnsi="Arial"/>
          <w:lang w:val="en-SG"/>
        </w:rPr>
        <w:t xml:space="preserve">framework has highlighted the importance of early neurological screening and interdisciplinary collaboration in identifying and addressing developmental difficulties </w:t>
      </w:r>
      <w:r>
        <w:rPr>
          <w:rFonts w:ascii="Arial" w:cs="Arial" w:hAnsi="Arial"/>
          <w:lang w:val="en-SG"/>
        </w:rPr>
        <w:t xml:space="preserve">via pediatric and educational therapies </w:t>
      </w:r>
      <w:r>
        <w:rPr>
          <w:rFonts w:ascii="Arial" w:cs="Arial" w:hAnsi="Arial"/>
          <w:lang w:val="en-SG"/>
        </w:rPr>
        <w:t xml:space="preserve">before they cascade into more complex cognitive or behavioral challenges (Faraone et al., 2021; </w:t>
      </w:r>
      <w:r>
        <w:rPr>
          <w:rFonts w:ascii="Arial" w:cs="Arial" w:hAnsi="Arial"/>
          <w:lang w:val="en-SG"/>
        </w:rPr>
        <w:t>Zablotsky</w:t>
      </w:r>
      <w:r>
        <w:rPr>
          <w:rFonts w:ascii="Arial" w:cs="Arial" w:hAnsi="Arial"/>
          <w:lang w:val="en-SG"/>
        </w:rPr>
        <w:t xml:space="preserve"> et al., 2023).</w:t>
      </w:r>
    </w:p>
    <w:p>
      <w:pPr>
        <w:pStyle w:val="style0"/>
        <w:rPr>
          <w:rFonts w:ascii="Arial" w:cs="Arial" w:hAnsi="Arial"/>
          <w:lang w:val="en-SG"/>
        </w:rPr>
      </w:pPr>
    </w:p>
    <w:p>
      <w:pPr>
        <w:pStyle w:val="style179"/>
        <w:numPr>
          <w:ilvl w:val="0"/>
          <w:numId w:val="34"/>
        </w:numPr>
        <w:rPr>
          <w:rFonts w:ascii="Arial" w:cs="Arial" w:hAnsi="Arial"/>
          <w:b/>
          <w:bCs/>
          <w:sz w:val="20"/>
          <w:szCs w:val="20"/>
        </w:rPr>
      </w:pPr>
      <w:r>
        <w:rPr>
          <w:rFonts w:ascii="Arial" w:cs="Arial" w:hAnsi="Arial"/>
          <w:b/>
          <w:bCs/>
          <w:sz w:val="20"/>
          <w:szCs w:val="20"/>
        </w:rPr>
        <w:t>T</w:t>
      </w:r>
      <w:r>
        <w:rPr>
          <w:rFonts w:ascii="Arial" w:cs="Arial" w:hAnsi="Arial"/>
          <w:b/>
          <w:bCs/>
          <w:sz w:val="20"/>
          <w:szCs w:val="20"/>
        </w:rPr>
        <w:t xml:space="preserve">HE HIERARCHY OF ABILITIES &amp; SKILLS </w:t>
      </w:r>
      <w:r>
        <w:rPr>
          <w:rFonts w:ascii="Arial" w:cs="Arial" w:hAnsi="Arial"/>
          <w:b/>
          <w:bCs/>
          <w:sz w:val="20"/>
          <w:szCs w:val="20"/>
        </w:rPr>
        <w:t>(HAS) M</w:t>
      </w:r>
      <w:r>
        <w:rPr>
          <w:rFonts w:ascii="Arial" w:cs="Arial" w:hAnsi="Arial"/>
          <w:b/>
          <w:bCs/>
          <w:sz w:val="20"/>
          <w:szCs w:val="20"/>
        </w:rPr>
        <w:t>ODEL</w:t>
      </w:r>
    </w:p>
    <w:p>
      <w:pPr>
        <w:pStyle w:val="style94"/>
        <w:spacing w:before="0" w:beforeAutospacing="false" w:after="0" w:afterAutospacing="false"/>
        <w:jc w:val="both"/>
        <w:contextualSpacing/>
        <w:rPr>
          <w:rFonts w:ascii="Arial" w:cs="Arial" w:hAnsi="Arial"/>
          <w:sz w:val="20"/>
          <w:szCs w:val="20"/>
        </w:rPr>
      </w:pPr>
    </w:p>
    <w:p>
      <w:pPr>
        <w:pStyle w:val="style94"/>
        <w:spacing w:before="0" w:beforeAutospacing="false" w:after="0" w:afterAutospacing="false"/>
        <w:jc w:val="both"/>
        <w:contextualSpacing/>
        <w:rPr>
          <w:rFonts w:ascii="Arial" w:cs="Arial" w:hAnsi="Arial"/>
          <w:sz w:val="20"/>
          <w:szCs w:val="20"/>
        </w:rPr>
      </w:pPr>
      <w:r>
        <w:rPr>
          <w:rFonts w:ascii="Arial" w:cs="Arial" w:hAnsi="Arial"/>
          <w:sz w:val="20"/>
          <w:szCs w:val="20"/>
        </w:rPr>
        <w:t xml:space="preserve">The revised Hierarchy of Abilities &amp; Skills </w:t>
      </w:r>
      <w:r>
        <w:rPr>
          <w:rFonts w:ascii="Arial" w:cs="Arial" w:hAnsi="Arial"/>
          <w:sz w:val="20"/>
          <w:szCs w:val="20"/>
        </w:rPr>
        <w:t xml:space="preserve">(HAS) </w:t>
      </w:r>
      <w:r>
        <w:rPr>
          <w:rFonts w:ascii="Arial" w:cs="Arial" w:hAnsi="Arial"/>
          <w:sz w:val="20"/>
          <w:szCs w:val="20"/>
        </w:rPr>
        <w:t>model (Chia, 2011</w:t>
      </w:r>
      <w:r>
        <w:rPr>
          <w:rFonts w:ascii="Arial" w:cs="Arial" w:hAnsi="Arial"/>
          <w:sz w:val="20"/>
          <w:szCs w:val="20"/>
        </w:rPr>
        <w:t>a</w:t>
      </w:r>
      <w:r>
        <w:rPr>
          <w:rFonts w:ascii="Arial" w:cs="Arial" w:hAnsi="Arial"/>
          <w:sz w:val="20"/>
          <w:szCs w:val="20"/>
        </w:rPr>
        <w:t xml:space="preserve">, 2015) can also be extended beyond special education and educational therapy to </w:t>
      </w:r>
      <w:r>
        <w:rPr>
          <w:rFonts w:ascii="Arial" w:cs="Arial" w:hAnsi="Arial"/>
          <w:sz w:val="20"/>
          <w:szCs w:val="20"/>
        </w:rPr>
        <w:t xml:space="preserve">cover </w:t>
      </w:r>
      <w:r>
        <w:rPr>
          <w:rFonts w:ascii="Arial" w:cs="Arial" w:hAnsi="Arial"/>
          <w:sz w:val="20"/>
          <w:szCs w:val="20"/>
        </w:rPr>
        <w:t xml:space="preserve">pediatric therapy, as all three domains </w:t>
      </w:r>
      <w:r>
        <w:rPr>
          <w:rFonts w:ascii="Arial" w:cs="Arial" w:hAnsi="Arial"/>
          <w:sz w:val="20"/>
          <w:szCs w:val="20"/>
        </w:rPr>
        <w:t xml:space="preserve">(i.e., </w:t>
      </w:r>
      <w:r>
        <w:rPr>
          <w:rFonts w:ascii="Arial" w:cs="Arial" w:hAnsi="Arial"/>
          <w:sz w:val="20"/>
          <w:szCs w:val="20"/>
        </w:rPr>
        <w:t>D</w:t>
      </w:r>
      <w:r>
        <w:rPr>
          <w:rFonts w:ascii="Arial" w:cs="Arial" w:hAnsi="Arial"/>
          <w:sz w:val="20"/>
          <w:szCs w:val="20"/>
        </w:rPr>
        <w:t xml:space="preserve">iagnostics, </w:t>
      </w:r>
      <w:r>
        <w:rPr>
          <w:rFonts w:ascii="Arial" w:cs="Arial" w:hAnsi="Arial"/>
          <w:sz w:val="20"/>
          <w:szCs w:val="20"/>
        </w:rPr>
        <w:t>D</w:t>
      </w:r>
      <w:r>
        <w:rPr>
          <w:rFonts w:ascii="Arial" w:cs="Arial" w:hAnsi="Arial"/>
          <w:sz w:val="20"/>
          <w:szCs w:val="20"/>
        </w:rPr>
        <w:t xml:space="preserve">ialogics and </w:t>
      </w:r>
      <w:r>
        <w:rPr>
          <w:rFonts w:ascii="Arial" w:cs="Arial" w:hAnsi="Arial"/>
          <w:sz w:val="20"/>
          <w:szCs w:val="20"/>
        </w:rPr>
        <w:t>D</w:t>
      </w:r>
      <w:r>
        <w:rPr>
          <w:rFonts w:ascii="Arial" w:cs="Arial" w:hAnsi="Arial"/>
          <w:sz w:val="20"/>
          <w:szCs w:val="20"/>
        </w:rPr>
        <w:t xml:space="preserve">idactics; </w:t>
      </w:r>
      <w:r>
        <w:rPr>
          <w:rFonts w:ascii="Arial" w:cs="Arial" w:hAnsi="Arial"/>
          <w:sz w:val="20"/>
          <w:szCs w:val="20"/>
        </w:rPr>
        <w:t xml:space="preserve">Chia, 2024) </w:t>
      </w:r>
      <w:r>
        <w:rPr>
          <w:rFonts w:ascii="Arial" w:cs="Arial" w:hAnsi="Arial"/>
          <w:sz w:val="20"/>
          <w:szCs w:val="20"/>
        </w:rPr>
        <w:t>address the holistic development of children with special needs.</w:t>
      </w:r>
      <w:r>
        <w:rPr>
          <w:rFonts w:ascii="Arial" w:cs="Arial" w:hAnsi="Arial"/>
          <w:sz w:val="20"/>
          <w:szCs w:val="20"/>
        </w:rPr>
        <w:t xml:space="preserve"> </w:t>
      </w:r>
      <w:r>
        <w:rPr>
          <w:rFonts w:ascii="Arial" w:cs="Arial" w:hAnsi="Arial"/>
          <w:sz w:val="20"/>
          <w:szCs w:val="20"/>
        </w:rPr>
        <w:t xml:space="preserve">In the original HAS model (see Fig. 1) applied within the context of child development, learning is conceptualized as a social </w:t>
      </w:r>
      <w:r>
        <w:rPr>
          <w:rFonts w:ascii="Arial" w:cs="Arial" w:hAnsi="Arial"/>
          <w:sz w:val="20"/>
          <w:szCs w:val="20"/>
        </w:rPr>
        <w:t>behavior</w:t>
      </w:r>
      <w:r>
        <w:rPr>
          <w:rFonts w:ascii="Arial" w:cs="Arial" w:hAnsi="Arial"/>
          <w:sz w:val="20"/>
          <w:szCs w:val="20"/>
        </w:rPr>
        <w:t xml:space="preserve"> (</w:t>
      </w:r>
      <w:r>
        <w:rPr>
          <w:rFonts w:ascii="Arial" w:cs="Arial" w:hAnsi="Arial"/>
          <w:sz w:val="20"/>
          <w:szCs w:val="20"/>
        </w:rPr>
        <w:t>Firmansyah</w:t>
      </w:r>
      <w:r>
        <w:rPr>
          <w:rFonts w:ascii="Arial" w:cs="Arial" w:hAnsi="Arial"/>
          <w:sz w:val="20"/>
          <w:szCs w:val="20"/>
        </w:rPr>
        <w:t xml:space="preserve"> &amp; </w:t>
      </w:r>
      <w:r>
        <w:rPr>
          <w:rFonts w:ascii="Arial" w:cs="Arial" w:hAnsi="Arial"/>
          <w:sz w:val="20"/>
          <w:szCs w:val="20"/>
        </w:rPr>
        <w:t>Saepuloh</w:t>
      </w:r>
      <w:r>
        <w:rPr>
          <w:rFonts w:ascii="Arial" w:cs="Arial" w:hAnsi="Arial"/>
          <w:sz w:val="20"/>
          <w:szCs w:val="20"/>
        </w:rPr>
        <w:t>, 2022) that involves sequential and interrelated processes, beginning with biological (including exteroceptive and interoceptive senses) foundations through adaptive behavioral functioning and affective regulation, and progressing toward higher-order cognitive and metacognitive functioning. This linear progression perspective (see Fig. 3) aligns with developmental and neuropsychological models of child functioning that emphasize the interaction between biological (innate), sensory, adaptive behavioral, affective (socio-emotional), cognitive and metacognitive</w:t>
      </w:r>
      <w:r>
        <w:rPr>
          <w:rFonts w:ascii="Arial" w:cs="Arial" w:hAnsi="Arial"/>
          <w:sz w:val="20"/>
          <w:szCs w:val="20"/>
        </w:rPr>
        <w:t>-instructional abilitie</w:t>
      </w:r>
      <w:r>
        <w:rPr>
          <w:rFonts w:ascii="Arial" w:cs="Arial" w:hAnsi="Arial"/>
          <w:sz w:val="20"/>
          <w:szCs w:val="20"/>
        </w:rPr>
        <w:t>s</w:t>
      </w:r>
      <w:r>
        <w:rPr>
          <w:rFonts w:ascii="Arial" w:cs="Arial" w:hAnsi="Arial"/>
          <w:sz w:val="20"/>
          <w:szCs w:val="20"/>
        </w:rPr>
        <w:t xml:space="preserve">. In the later HAS models after 2016, the word, </w:t>
      </w:r>
      <w:r>
        <w:rPr>
          <w:rFonts w:ascii="Arial" w:cs="Arial" w:hAnsi="Arial"/>
          <w:i/>
          <w:iCs/>
          <w:sz w:val="20"/>
          <w:szCs w:val="20"/>
        </w:rPr>
        <w:t>skills</w:t>
      </w:r>
      <w:r>
        <w:rPr>
          <w:rFonts w:ascii="Arial" w:cs="Arial" w:hAnsi="Arial"/>
          <w:sz w:val="20"/>
          <w:szCs w:val="20"/>
        </w:rPr>
        <w:t xml:space="preserve">, is replaced by the term </w:t>
      </w:r>
      <w:r>
        <w:rPr>
          <w:rFonts w:ascii="Arial" w:cs="Arial" w:hAnsi="Arial"/>
          <w:i/>
          <w:iCs/>
          <w:sz w:val="20"/>
          <w:szCs w:val="20"/>
        </w:rPr>
        <w:t>abilities</w:t>
      </w:r>
      <w:r>
        <w:rPr>
          <w:rFonts w:ascii="Arial" w:cs="Arial" w:hAnsi="Arial"/>
          <w:sz w:val="20"/>
          <w:szCs w:val="20"/>
        </w:rPr>
        <w:t xml:space="preserve">. Both words mean different things. The term </w:t>
      </w:r>
      <w:r>
        <w:rPr>
          <w:rFonts w:ascii="Arial" w:cs="Arial" w:hAnsi="Arial"/>
          <w:i/>
          <w:iCs/>
          <w:sz w:val="20"/>
          <w:szCs w:val="20"/>
        </w:rPr>
        <w:t>ability</w:t>
      </w:r>
      <w:r>
        <w:rPr>
          <w:rFonts w:ascii="Arial" w:cs="Arial" w:hAnsi="Arial"/>
          <w:sz w:val="20"/>
          <w:szCs w:val="20"/>
        </w:rPr>
        <w:t xml:space="preserve"> refers to an inherent or developed capacity to perform a task, whereas </w:t>
      </w:r>
      <w:r>
        <w:rPr>
          <w:rFonts w:ascii="Arial" w:cs="Arial" w:hAnsi="Arial"/>
          <w:i/>
          <w:iCs/>
          <w:sz w:val="20"/>
          <w:szCs w:val="20"/>
        </w:rPr>
        <w:t>skill</w:t>
      </w:r>
      <w:r>
        <w:rPr>
          <w:rFonts w:ascii="Arial" w:cs="Arial" w:hAnsi="Arial"/>
          <w:sz w:val="20"/>
          <w:szCs w:val="20"/>
        </w:rPr>
        <w:t xml:space="preserve"> is a learned and practiced proficiency in performing that task (Robbins &amp; Judge, 2018). The authors of this paper have agreed collectively that </w:t>
      </w:r>
      <w:r>
        <w:rPr>
          <w:rFonts w:ascii="Arial" w:cs="Arial" w:hAnsi="Arial"/>
          <w:i/>
          <w:iCs/>
          <w:sz w:val="20"/>
          <w:szCs w:val="20"/>
        </w:rPr>
        <w:t>abilities</w:t>
      </w:r>
      <w:r>
        <w:rPr>
          <w:rFonts w:ascii="Arial" w:cs="Arial" w:hAnsi="Arial"/>
          <w:sz w:val="20"/>
          <w:szCs w:val="20"/>
        </w:rPr>
        <w:t xml:space="preserve"> should be the correct term to use when referring to these immanent competencies mentioned in the foundational block and building blocks.  </w:t>
      </w:r>
    </w:p>
    <w:p>
      <w:pPr>
        <w:pStyle w:val="style0"/>
        <w:jc w:val="both"/>
        <w:rPr>
          <w:rFonts w:ascii="Arial" w:cs="Arial" w:hAnsi="Arial"/>
        </w:rPr>
      </w:pPr>
    </w:p>
    <w:p>
      <w:pPr>
        <w:pStyle w:val="style0"/>
        <w:jc w:val="center"/>
        <w:rPr>
          <w:rFonts w:ascii="Arial" w:cs="Arial" w:hAnsi="Arial"/>
        </w:rPr>
      </w:pPr>
      <w:r>
        <w:rPr>
          <w:rFonts w:ascii="Arial" w:cs="Arial" w:hAnsi="Arial"/>
          <w:noProof/>
        </w:rPr>
        <w:drawing>
          <wp:inline distL="0" distT="0" distB="0" distR="0">
            <wp:extent cx="4947920" cy="636230"/>
            <wp:effectExtent l="0" t="0" r="0" b="0"/>
            <wp:docPr id="1030"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11" cstate="print"/>
                    <a:srcRect l="0" t="0" r="0" b="0"/>
                    <a:stretch/>
                  </pic:blipFill>
                  <pic:spPr>
                    <a:xfrm rot="0">
                      <a:off x="0" y="0"/>
                      <a:ext cx="4947920" cy="636230"/>
                    </a:xfrm>
                    <a:prstGeom prst="rect"/>
                  </pic:spPr>
                </pic:pic>
              </a:graphicData>
            </a:graphic>
          </wp:inline>
        </w:drawing>
      </w:r>
    </w:p>
    <w:p>
      <w:pPr>
        <w:pStyle w:val="style0"/>
        <w:jc w:val="center"/>
        <w:rPr>
          <w:rFonts w:ascii="Arial" w:cs="Arial" w:hAnsi="Arial"/>
          <w:b/>
          <w:bCs/>
        </w:rPr>
      </w:pPr>
      <w:r>
        <w:rPr>
          <w:rFonts w:ascii="Arial" w:cs="Arial" w:hAnsi="Arial"/>
          <w:b/>
          <w:bCs/>
        </w:rPr>
        <w:t>Fig. 3. Linear Progression Model of Abilities</w:t>
      </w:r>
    </w:p>
    <w:p>
      <w:pPr>
        <w:pStyle w:val="style0"/>
        <w:rPr>
          <w:rFonts w:ascii="Arial" w:cs="Arial" w:hAnsi="Arial"/>
          <w:b/>
          <w:bCs/>
        </w:rPr>
      </w:pPr>
    </w:p>
    <w:p>
      <w:pPr>
        <w:pStyle w:val="style0"/>
        <w:jc w:val="both"/>
        <w:rPr>
          <w:rFonts w:ascii="Arial" w:cs="Arial" w:hAnsi="Arial"/>
        </w:rPr>
      </w:pPr>
      <w:r>
        <w:rPr>
          <w:rFonts w:ascii="Arial" w:cs="Arial" w:hAnsi="Arial"/>
        </w:rPr>
        <w:t xml:space="preserve">The revised HAS framework (Chia, 2015) describes the vertical developmental levels of learning process proceeding through several interdependent building blocks, beginning with innate abilities and sensory-motor skills, and gradually advancing toward adaptive behavioral skills, affective behavioral skills, cognitive skills, and </w:t>
      </w:r>
      <w:r>
        <w:rPr>
          <w:rFonts w:ascii="Arial" w:cs="Arial" w:hAnsi="Arial"/>
        </w:rPr>
        <w:t>metacognitive-</w:t>
      </w:r>
      <w:r>
        <w:rPr>
          <w:rFonts w:ascii="Arial" w:cs="Arial" w:hAnsi="Arial"/>
        </w:rPr>
        <w:t>instructional</w:t>
      </w:r>
      <w:r>
        <w:rPr>
          <w:rFonts w:ascii="Arial" w:cs="Arial" w:hAnsi="Arial"/>
        </w:rPr>
        <w:t xml:space="preserve"> skills (see Fig. 4). Because </w:t>
      </w:r>
      <w:r>
        <w:rPr>
          <w:rFonts w:ascii="Arial" w:cs="Arial" w:hAnsi="Arial"/>
        </w:rPr>
        <w:t>the IPET model</w:t>
      </w:r>
      <w:r>
        <w:rPr>
          <w:rFonts w:ascii="Arial" w:cs="Arial" w:hAnsi="Arial"/>
        </w:rPr>
        <w:t xml:space="preserve"> also addresses developmental functioning across biological, sensory, behavioral, and cognitive domains, the HAS model provides a structured diagnostic and intervention framework that can guide multidisciplinary pediatric care.</w:t>
      </w:r>
    </w:p>
    <w:p>
      <w:pPr>
        <w:pStyle w:val="style0"/>
        <w:jc w:val="center"/>
        <w:rPr>
          <w:rFonts w:ascii="Arial" w:cs="Arial" w:hAnsi="Arial"/>
        </w:rPr>
      </w:pPr>
    </w:p>
    <w:p>
      <w:pPr>
        <w:pStyle w:val="style0"/>
        <w:jc w:val="center"/>
        <w:rPr>
          <w:rFonts w:ascii="Arial" w:cs="Arial" w:hAnsi="Arial"/>
        </w:rPr>
      </w:pPr>
      <w:r>
        <w:rPr>
          <w:rFonts w:ascii="Arial" w:cs="Arial" w:hAnsi="Arial"/>
          <w:noProof/>
        </w:rPr>
        <w:drawing>
          <wp:inline distL="0" distT="0" distB="0" distR="0">
            <wp:extent cx="4248150" cy="2012799"/>
            <wp:effectExtent l="0" t="0" r="0" b="6985"/>
            <wp:docPr id="1031"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Picture 1"/>
                    <pic:cNvPicPr/>
                  </pic:nvPicPr>
                  <pic:blipFill>
                    <a:blip r:embed="rId12" cstate="print"/>
                    <a:srcRect l="0" t="0" r="0" b="0"/>
                    <a:stretch/>
                  </pic:blipFill>
                  <pic:spPr>
                    <a:xfrm rot="0">
                      <a:off x="0" y="0"/>
                      <a:ext cx="4248150" cy="2012799"/>
                    </a:xfrm>
                    <a:prstGeom prst="rect"/>
                  </pic:spPr>
                </pic:pic>
              </a:graphicData>
            </a:graphic>
          </wp:inline>
        </w:drawing>
      </w:r>
    </w:p>
    <w:p>
      <w:pPr>
        <w:pStyle w:val="style0"/>
        <w:jc w:val="center"/>
        <w:rPr>
          <w:rFonts w:ascii="Arial" w:cs="Arial" w:hAnsi="Arial"/>
          <w:b/>
          <w:bCs/>
        </w:rPr>
      </w:pPr>
      <w:r>
        <w:rPr>
          <w:rFonts w:ascii="Arial" w:cs="Arial" w:hAnsi="Arial"/>
          <w:b/>
          <w:bCs/>
        </w:rPr>
        <w:t>Fig. 4. Revis</w:t>
      </w:r>
      <w:r>
        <w:rPr>
          <w:rFonts w:ascii="Arial" w:cs="Arial" w:hAnsi="Arial"/>
          <w:b/>
          <w:bCs/>
        </w:rPr>
        <w:t xml:space="preserve">ion </w:t>
      </w:r>
      <w:r>
        <w:rPr>
          <w:rFonts w:ascii="Arial" w:cs="Arial" w:hAnsi="Arial"/>
          <w:b/>
          <w:bCs/>
        </w:rPr>
        <w:t>of the HAS Model (Chia, 201</w:t>
      </w:r>
      <w:r>
        <w:rPr>
          <w:rFonts w:ascii="Arial" w:cs="Arial" w:hAnsi="Arial"/>
          <w:b/>
          <w:bCs/>
        </w:rPr>
        <w:t>5</w:t>
      </w:r>
      <w:r>
        <w:rPr>
          <w:rFonts w:ascii="Arial" w:cs="Arial" w:hAnsi="Arial"/>
          <w:b/>
          <w:bCs/>
        </w:rPr>
        <w:t xml:space="preserve">, </w:t>
      </w:r>
      <w:r>
        <w:rPr>
          <w:rFonts w:ascii="Arial" w:cs="Arial" w:hAnsi="Arial"/>
          <w:b/>
          <w:bCs/>
        </w:rPr>
        <w:t>p. 16</w:t>
      </w:r>
      <w:r>
        <w:rPr>
          <w:rFonts w:ascii="Arial" w:cs="Arial" w:hAnsi="Arial"/>
          <w:b/>
          <w:bCs/>
        </w:rPr>
        <w:t>)</w:t>
      </w:r>
    </w:p>
    <w:p>
      <w:pPr>
        <w:pStyle w:val="style0"/>
        <w:jc w:val="center"/>
        <w:rPr>
          <w:rFonts w:ascii="Arial" w:cs="Arial" w:hAnsi="Arial"/>
        </w:rPr>
      </w:pPr>
      <w:r>
        <w:rPr>
          <w:rFonts w:ascii="Arial" w:cs="Arial" w:hAnsi="Arial"/>
        </w:rPr>
        <w:t xml:space="preserve"> </w:t>
      </w:r>
    </w:p>
    <w:p>
      <w:pPr>
        <w:pStyle w:val="style0"/>
        <w:jc w:val="both"/>
        <w:rPr>
          <w:rFonts w:ascii="Arial" w:cs="Arial" w:hAnsi="Arial"/>
        </w:rPr>
      </w:pPr>
      <w:r>
        <w:rPr>
          <w:rFonts w:ascii="Arial" w:cs="Arial" w:hAnsi="Arial"/>
        </w:rPr>
        <w:t>The first block (B1: IQ and genetic testing) in the revised HAS model (Chia, 2011</w:t>
      </w:r>
      <w:r>
        <w:rPr>
          <w:rFonts w:ascii="Arial" w:cs="Arial" w:hAnsi="Arial"/>
        </w:rPr>
        <w:t>a</w:t>
      </w:r>
      <w:r>
        <w:rPr>
          <w:rFonts w:ascii="Arial" w:cs="Arial" w:hAnsi="Arial"/>
        </w:rPr>
        <w:t xml:space="preserve">, 2015) corresponds to the foundational level of innate abilities, which are genetically determined and establish the potential range of a child’s developmental performance. In the context of pediatric </w:t>
      </w:r>
      <w:r>
        <w:rPr>
          <w:rFonts w:ascii="Arial" w:cs="Arial" w:hAnsi="Arial"/>
        </w:rPr>
        <w:t>an</w:t>
      </w:r>
      <w:r>
        <w:rPr>
          <w:rFonts w:ascii="Arial" w:cs="Arial" w:hAnsi="Arial"/>
        </w:rPr>
        <w:t>d</w:t>
      </w:r>
      <w:r>
        <w:rPr>
          <w:rFonts w:ascii="Arial" w:cs="Arial" w:hAnsi="Arial"/>
        </w:rPr>
        <w:t xml:space="preserve"> educational </w:t>
      </w:r>
      <w:r>
        <w:rPr>
          <w:rFonts w:ascii="Arial" w:cs="Arial" w:hAnsi="Arial"/>
        </w:rPr>
        <w:t>therap</w:t>
      </w:r>
      <w:r>
        <w:rPr>
          <w:rFonts w:ascii="Arial" w:cs="Arial" w:hAnsi="Arial"/>
        </w:rPr>
        <w:t>ies</w:t>
      </w:r>
      <w:r>
        <w:rPr>
          <w:rFonts w:ascii="Arial" w:cs="Arial" w:hAnsi="Arial"/>
        </w:rPr>
        <w:t>, this level is directly relevant to medical diagnostics, which</w:t>
      </w:r>
      <w:r>
        <w:rPr>
          <w:rFonts w:ascii="Arial" w:cs="Arial" w:hAnsi="Arial"/>
        </w:rPr>
        <w:t xml:space="preserve">, in addition to </w:t>
      </w:r>
      <w:r>
        <w:rPr>
          <w:rFonts w:ascii="Arial" w:cs="Arial" w:hAnsi="Arial"/>
        </w:rPr>
        <w:t xml:space="preserve">IQ testing, </w:t>
      </w:r>
      <w:r>
        <w:rPr>
          <w:rFonts w:ascii="Arial" w:cs="Arial" w:hAnsi="Arial"/>
        </w:rPr>
        <w:t xml:space="preserve"> </w:t>
      </w:r>
      <w:r>
        <w:rPr>
          <w:rFonts w:ascii="Arial" w:cs="Arial" w:hAnsi="Arial"/>
        </w:rPr>
        <w:t xml:space="preserve">also </w:t>
      </w:r>
      <w:r>
        <w:rPr>
          <w:rFonts w:ascii="Arial" w:cs="Arial" w:hAnsi="Arial"/>
        </w:rPr>
        <w:t>includes genetic screening (e.g., Guthrie Test to detect phenylketonuria)</w:t>
      </w:r>
      <w:r>
        <w:rPr>
          <w:rFonts w:ascii="Arial" w:cs="Arial" w:hAnsi="Arial"/>
        </w:rPr>
        <w:t xml:space="preserve">. Moreover, </w:t>
      </w:r>
      <w:r>
        <w:rPr>
          <w:rFonts w:ascii="Arial" w:cs="Arial" w:hAnsi="Arial"/>
        </w:rPr>
        <w:t>with recent advances made in neuroscience</w:t>
      </w:r>
      <w:r>
        <w:rPr>
          <w:rFonts w:ascii="Arial" w:cs="Arial" w:hAnsi="Arial"/>
        </w:rPr>
        <w:t xml:space="preserve"> (e.g., </w:t>
      </w:r>
      <w:r>
        <w:t>Rezapour</w:t>
      </w:r>
      <w:r>
        <w:t xml:space="preserve"> et al.</w:t>
      </w:r>
      <w:r>
        <w:t>,</w:t>
      </w:r>
      <w:r>
        <w:t xml:space="preserve"> 2025; </w:t>
      </w:r>
      <w:r>
        <w:t>Schildkrout</w:t>
      </w:r>
      <w:r>
        <w:t xml:space="preserve">, </w:t>
      </w:r>
      <w:r>
        <w:t>Niu</w:t>
      </w:r>
      <w:r>
        <w:t>, &amp; Cooper, 2023</w:t>
      </w:r>
      <w:r>
        <w:t xml:space="preserve">; </w:t>
      </w:r>
      <w:r>
        <w:t>Tabibnia</w:t>
      </w:r>
      <w:r>
        <w:t>,</w:t>
      </w:r>
      <w:r>
        <w:t xml:space="preserve"> 2024</w:t>
      </w:r>
      <w:r>
        <w:t>)</w:t>
      </w:r>
      <w:r>
        <w:t>,</w:t>
      </w:r>
      <w:r>
        <w:rPr>
          <w:rFonts w:ascii="Arial" w:cs="Arial" w:hAnsi="Arial"/>
        </w:rPr>
        <w:t xml:space="preserve"> B1 needs to include</w:t>
      </w:r>
      <w:r>
        <w:rPr>
          <w:rFonts w:ascii="Arial" w:cs="Arial" w:hAnsi="Arial"/>
        </w:rPr>
        <w:t xml:space="preserve"> neurological assessments (e.g., </w:t>
      </w:r>
      <w:r>
        <w:rPr>
          <w:rFonts w:ascii="Arial" w:cs="Arial" w:hAnsi="Arial"/>
        </w:rPr>
        <w:t xml:space="preserve">fMRI and </w:t>
      </w:r>
      <w:r>
        <w:rPr>
          <w:rFonts w:ascii="Arial" w:cs="Arial" w:hAnsi="Arial"/>
        </w:rPr>
        <w:t>Mini-Mental State Examination</w:t>
      </w:r>
      <w:r>
        <w:rPr>
          <w:rFonts w:ascii="Arial" w:cs="Arial" w:hAnsi="Arial"/>
        </w:rPr>
        <w:t>), and neurodevelopmental evaluations (e.g., Bayley Scales of Infant and Toddler Development)</w:t>
      </w:r>
      <w:r>
        <w:rPr>
          <w:rFonts w:ascii="Arial" w:cs="Arial" w:hAnsi="Arial"/>
        </w:rPr>
        <w:t xml:space="preserve"> needed for intervention planning</w:t>
      </w:r>
      <w:r>
        <w:rPr>
          <w:rFonts w:ascii="Arial" w:cs="Arial" w:hAnsi="Arial"/>
        </w:rPr>
        <w:t>.</w:t>
      </w:r>
      <w:r>
        <w:rPr>
          <w:rFonts w:ascii="Arial" w:cs="Arial" w:hAnsi="Arial"/>
        </w:rPr>
        <w:t xml:space="preserve"> Neurodevelopmental conditions, such as intellectual disability (ID), autism spectrum disorder (ASD), and certain epilepsy-related developmental impairments, often have genetic </w:t>
      </w:r>
      <w:r>
        <w:rPr>
          <w:rFonts w:ascii="Arial" w:cs="Arial" w:hAnsi="Arial"/>
        </w:rPr>
        <w:t>and/</w:t>
      </w:r>
      <w:r>
        <w:rPr>
          <w:rFonts w:ascii="Arial" w:cs="Arial" w:hAnsi="Arial"/>
        </w:rPr>
        <w:t xml:space="preserve">or neurobiological traits (see Table 1). Early identification of such traits through genetic testing and </w:t>
      </w:r>
      <w:r>
        <w:rPr>
          <w:rFonts w:ascii="Arial" w:cs="Arial" w:hAnsi="Arial"/>
        </w:rPr>
        <w:t>neuro</w:t>
      </w:r>
      <w:r>
        <w:rPr>
          <w:rFonts w:ascii="Arial" w:cs="Arial" w:hAnsi="Arial"/>
        </w:rPr>
        <w:t>cognitive assessment enables clinici</w:t>
      </w:r>
      <w:r>
        <w:rPr>
          <w:rFonts w:ascii="Arial" w:cs="Arial" w:hAnsi="Arial"/>
        </w:rPr>
        <w:t>al assessors and educational therapists</w:t>
      </w:r>
      <w:r>
        <w:rPr>
          <w:rFonts w:ascii="Arial" w:cs="Arial" w:hAnsi="Arial"/>
        </w:rPr>
        <w:t xml:space="preserve"> to determine baseline developmental capacity and guide appropriate medical and therapeutic interventions. Thus, B1 functions in pediatric therapy as the biomedical diagnostic foundation that informs subsequent therapeutic planning.</w:t>
      </w:r>
    </w:p>
    <w:p>
      <w:pPr>
        <w:pStyle w:val="style0"/>
        <w:rPr>
          <w:rFonts w:ascii="Arial" w:cs="Arial" w:hAnsi="Arial"/>
        </w:rPr>
      </w:pPr>
    </w:p>
    <w:p>
      <w:pPr>
        <w:pStyle w:val="style0"/>
        <w:rPr>
          <w:rFonts w:ascii="Arial" w:cs="Arial" w:hAnsi="Arial"/>
          <w:b/>
          <w:bCs/>
        </w:rPr>
      </w:pPr>
      <w:r>
        <w:rPr>
          <w:rFonts w:ascii="Arial" w:cs="Arial" w:hAnsi="Arial"/>
          <w:b/>
          <w:bCs/>
        </w:rPr>
        <w:t>Table 1. Genetic and Neurobiological Traits</w:t>
      </w:r>
    </w:p>
    <w:tbl>
      <w:tblPr>
        <w:tblStyle w:val="style15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0"/>
        <w:gridCol w:w="4139"/>
      </w:tblGrid>
      <w:tr>
        <w:trPr/>
        <w:tc>
          <w:tcPr>
            <w:tcW w:w="4868" w:type="dxa"/>
            <w:tcBorders>
              <w:top w:val="single" w:sz="4" w:space="0" w:color="auto"/>
              <w:bottom w:val="single" w:sz="4" w:space="0" w:color="auto"/>
            </w:tcBorders>
          </w:tcPr>
          <w:p>
            <w:pPr>
              <w:pStyle w:val="style0"/>
              <w:jc w:val="center"/>
              <w:rPr>
                <w:rFonts w:ascii="Arial" w:cs="Arial" w:hAnsi="Arial"/>
                <w:b/>
                <w:bCs/>
                <w:sz w:val="20"/>
                <w:szCs w:val="20"/>
              </w:rPr>
            </w:pPr>
            <w:r>
              <w:rPr>
                <w:rFonts w:ascii="Arial" w:cs="Arial" w:hAnsi="Arial"/>
                <w:b/>
                <w:bCs/>
                <w:sz w:val="20"/>
                <w:szCs w:val="20"/>
              </w:rPr>
              <w:t>Genetic Traits</w:t>
            </w:r>
          </w:p>
        </w:tc>
        <w:tc>
          <w:tcPr>
            <w:tcW w:w="4868" w:type="dxa"/>
            <w:tcBorders>
              <w:top w:val="single" w:sz="4" w:space="0" w:color="auto"/>
              <w:bottom w:val="single" w:sz="4" w:space="0" w:color="auto"/>
            </w:tcBorders>
          </w:tcPr>
          <w:p>
            <w:pPr>
              <w:pStyle w:val="style0"/>
              <w:jc w:val="center"/>
              <w:rPr>
                <w:rFonts w:ascii="Arial" w:cs="Arial" w:hAnsi="Arial"/>
                <w:b/>
                <w:bCs/>
                <w:sz w:val="20"/>
                <w:szCs w:val="20"/>
              </w:rPr>
            </w:pPr>
            <w:r>
              <w:rPr>
                <w:rFonts w:ascii="Arial" w:cs="Arial" w:hAnsi="Arial"/>
                <w:b/>
                <w:bCs/>
                <w:sz w:val="20"/>
                <w:szCs w:val="20"/>
              </w:rPr>
              <w:t>Neurobiological Traits</w:t>
            </w:r>
          </w:p>
        </w:tc>
      </w:tr>
      <w:tr>
        <w:tblPrEx/>
        <w:trPr/>
        <w:tc>
          <w:tcPr>
            <w:tcW w:w="4868" w:type="dxa"/>
            <w:tcBorders>
              <w:top w:val="single" w:sz="4" w:space="0" w:color="auto"/>
              <w:bottom w:val="single" w:sz="4" w:space="0" w:color="auto"/>
            </w:tcBorders>
          </w:tcPr>
          <w:p>
            <w:pPr>
              <w:pStyle w:val="style0"/>
              <w:numPr>
                <w:ilvl w:val="0"/>
                <w:numId w:val="35"/>
              </w:numPr>
              <w:tabs>
                <w:tab w:val="left" w:leader="none" w:pos="720"/>
              </w:tabs>
              <w:jc w:val="both"/>
              <w:rPr>
                <w:rFonts w:ascii="Arial" w:cs="Arial" w:hAnsi="Arial"/>
                <w:sz w:val="20"/>
                <w:szCs w:val="20"/>
                <w:lang w:val="en-SG"/>
              </w:rPr>
            </w:pPr>
            <w:r>
              <w:rPr>
                <w:rFonts w:ascii="Arial" w:cs="Arial" w:hAnsi="Arial"/>
                <w:sz w:val="20"/>
                <w:szCs w:val="20"/>
                <w:lang w:val="en-SG"/>
              </w:rPr>
              <w:t xml:space="preserve">Copy number variations (CNVs): These are </w:t>
            </w:r>
            <w:r>
              <w:rPr>
                <w:rFonts w:ascii="Arial" w:cs="Arial" w:hAnsi="Arial"/>
                <w:sz w:val="20"/>
                <w:szCs w:val="20"/>
                <w:lang w:val="en-SG"/>
              </w:rPr>
              <w:t xml:space="preserve">either </w:t>
            </w:r>
            <w:r>
              <w:rPr>
                <w:rFonts w:ascii="Arial" w:cs="Arial" w:hAnsi="Arial"/>
                <w:sz w:val="20"/>
                <w:szCs w:val="20"/>
                <w:lang w:val="en-SG"/>
              </w:rPr>
              <w:t xml:space="preserve">deletions or duplications of DNA segments (e.g., regions on chromosomes such as 15q or 22q11.2). </w:t>
            </w:r>
          </w:p>
          <w:p>
            <w:pPr>
              <w:pStyle w:val="style0"/>
              <w:numPr>
                <w:ilvl w:val="0"/>
                <w:numId w:val="35"/>
              </w:numPr>
              <w:tabs>
                <w:tab w:val="left" w:leader="none" w:pos="720"/>
              </w:tabs>
              <w:jc w:val="both"/>
              <w:rPr>
                <w:rFonts w:ascii="Arial" w:cs="Arial" w:hAnsi="Arial"/>
                <w:sz w:val="20"/>
                <w:szCs w:val="20"/>
                <w:lang w:val="en-SG"/>
              </w:rPr>
            </w:pPr>
            <w:r>
              <w:rPr>
                <w:rFonts w:ascii="Arial" w:cs="Arial" w:hAnsi="Arial"/>
                <w:sz w:val="20"/>
                <w:szCs w:val="20"/>
                <w:lang w:val="en-SG"/>
              </w:rPr>
              <w:t xml:space="preserve">Single-gene mutations: These refer to the changes in specific genes like </w:t>
            </w:r>
            <w:r>
              <w:rPr>
                <w:rFonts w:ascii="Arial" w:cs="Arial" w:hAnsi="Arial"/>
                <w:i/>
                <w:iCs/>
                <w:sz w:val="20"/>
                <w:szCs w:val="20"/>
                <w:lang w:val="en-SG"/>
              </w:rPr>
              <w:t>FMR1</w:t>
            </w:r>
            <w:r>
              <w:rPr>
                <w:rFonts w:ascii="Arial" w:cs="Arial" w:hAnsi="Arial"/>
                <w:sz w:val="20"/>
                <w:szCs w:val="20"/>
                <w:lang w:val="en-SG"/>
              </w:rPr>
              <w:t xml:space="preserve"> (linked to fragile X syndrome), </w:t>
            </w:r>
            <w:r>
              <w:rPr>
                <w:rFonts w:ascii="Arial" w:cs="Arial" w:hAnsi="Arial"/>
                <w:i/>
                <w:iCs/>
                <w:sz w:val="20"/>
                <w:szCs w:val="20"/>
                <w:lang w:val="en-SG"/>
              </w:rPr>
              <w:t>MECP2</w:t>
            </w:r>
            <w:r>
              <w:rPr>
                <w:rFonts w:ascii="Arial" w:cs="Arial" w:hAnsi="Arial"/>
                <w:sz w:val="20"/>
                <w:szCs w:val="20"/>
                <w:lang w:val="en-SG"/>
              </w:rPr>
              <w:t xml:space="preserve"> (Rett syndrome), or </w:t>
            </w:r>
            <w:r>
              <w:rPr>
                <w:rFonts w:ascii="Arial" w:cs="Arial" w:hAnsi="Arial"/>
                <w:i/>
                <w:iCs/>
                <w:sz w:val="20"/>
                <w:szCs w:val="20"/>
                <w:lang w:val="en-SG"/>
              </w:rPr>
              <w:t>SCN2A</w:t>
            </w:r>
            <w:r>
              <w:rPr>
                <w:rFonts w:ascii="Arial" w:cs="Arial" w:hAnsi="Arial"/>
                <w:sz w:val="20"/>
                <w:szCs w:val="20"/>
                <w:lang w:val="en-SG"/>
              </w:rPr>
              <w:t xml:space="preserve"> (linked to epilepsy and autism traits). </w:t>
            </w:r>
          </w:p>
          <w:p>
            <w:pPr>
              <w:pStyle w:val="style0"/>
              <w:numPr>
                <w:ilvl w:val="0"/>
                <w:numId w:val="35"/>
              </w:numPr>
              <w:tabs>
                <w:tab w:val="left" w:leader="none" w:pos="720"/>
              </w:tabs>
              <w:jc w:val="both"/>
              <w:rPr>
                <w:rFonts w:ascii="Arial" w:cs="Arial" w:hAnsi="Arial"/>
                <w:sz w:val="20"/>
                <w:szCs w:val="20"/>
                <w:lang w:val="en-SG"/>
              </w:rPr>
            </w:pPr>
            <w:r>
              <w:rPr>
                <w:rFonts w:ascii="Arial" w:cs="Arial" w:hAnsi="Arial"/>
                <w:sz w:val="20"/>
                <w:szCs w:val="20"/>
                <w:lang w:val="en-SG"/>
              </w:rPr>
              <w:t>De novo mutations: These are new genetic changes that</w:t>
            </w:r>
            <w:r>
              <w:rPr>
                <w:rFonts w:ascii="Arial" w:cs="Arial" w:hAnsi="Arial"/>
                <w:sz w:val="20"/>
                <w:szCs w:val="20"/>
                <w:lang w:val="en-SG"/>
              </w:rPr>
              <w:t xml:space="preserve"> often</w:t>
            </w:r>
            <w:r>
              <w:rPr>
                <w:rFonts w:ascii="Arial" w:cs="Arial" w:hAnsi="Arial"/>
                <w:sz w:val="20"/>
                <w:szCs w:val="20"/>
                <w:lang w:val="en-SG"/>
              </w:rPr>
              <w:t xml:space="preserve"> arise spontaneously rather than being inherited. </w:t>
            </w:r>
          </w:p>
          <w:p>
            <w:pPr>
              <w:pStyle w:val="style0"/>
              <w:numPr>
                <w:ilvl w:val="0"/>
                <w:numId w:val="35"/>
              </w:numPr>
              <w:tabs>
                <w:tab w:val="left" w:leader="none" w:pos="720"/>
              </w:tabs>
              <w:jc w:val="both"/>
              <w:rPr>
                <w:rFonts w:ascii="Arial" w:cs="Arial" w:hAnsi="Arial"/>
                <w:sz w:val="20"/>
                <w:szCs w:val="20"/>
                <w:lang w:val="en-SG"/>
              </w:rPr>
            </w:pPr>
            <w:r>
              <w:rPr>
                <w:rFonts w:ascii="Arial" w:cs="Arial" w:hAnsi="Arial"/>
                <w:sz w:val="20"/>
                <w:szCs w:val="20"/>
                <w:lang w:val="en-SG"/>
              </w:rPr>
              <w:t xml:space="preserve">Polygenic influences: Many small genetic variants that together increase susceptibility. </w:t>
            </w:r>
          </w:p>
          <w:p>
            <w:pPr>
              <w:pStyle w:val="style0"/>
              <w:numPr>
                <w:ilvl w:val="0"/>
                <w:numId w:val="35"/>
              </w:numPr>
              <w:tabs>
                <w:tab w:val="left" w:leader="none" w:pos="720"/>
              </w:tabs>
              <w:jc w:val="both"/>
              <w:rPr>
                <w:rFonts w:ascii="Arial" w:cs="Arial" w:hAnsi="Arial"/>
                <w:sz w:val="20"/>
                <w:szCs w:val="20"/>
                <w:lang w:val="en-SG"/>
              </w:rPr>
            </w:pPr>
            <w:r>
              <w:rPr>
                <w:rFonts w:ascii="Arial" w:cs="Arial" w:hAnsi="Arial"/>
                <w:sz w:val="20"/>
                <w:szCs w:val="20"/>
                <w:lang w:val="en-SG"/>
              </w:rPr>
              <w:t xml:space="preserve">Chromosomal abnormalities: Examples of </w:t>
            </w:r>
            <w:r>
              <w:rPr>
                <w:rFonts w:ascii="Arial" w:cs="Arial" w:hAnsi="Arial"/>
                <w:sz w:val="20"/>
                <w:szCs w:val="20"/>
                <w:lang w:val="en-SG"/>
              </w:rPr>
              <w:t>trisomies</w:t>
            </w:r>
            <w:r>
              <w:rPr>
                <w:rFonts w:ascii="Arial" w:cs="Arial" w:hAnsi="Arial"/>
                <w:sz w:val="20"/>
                <w:szCs w:val="20"/>
                <w:lang w:val="en-SG"/>
              </w:rPr>
              <w:t xml:space="preserve"> are Trisomy-18 syndrome</w:t>
            </w:r>
            <w:r>
              <w:rPr>
                <w:rFonts w:ascii="Arial" w:cs="Arial" w:hAnsi="Arial"/>
                <w:sz w:val="20"/>
                <w:szCs w:val="20"/>
                <w:lang w:val="en-SG"/>
              </w:rPr>
              <w:t xml:space="preserve"> </w:t>
            </w:r>
            <w:r>
              <w:rPr>
                <w:rFonts w:ascii="Arial" w:cs="Arial" w:hAnsi="Arial"/>
                <w:sz w:val="20"/>
                <w:szCs w:val="20"/>
                <w:lang w:val="en-SG"/>
              </w:rPr>
              <w:t>or Edwards Syndrome</w:t>
            </w:r>
            <w:r>
              <w:rPr>
                <w:rFonts w:ascii="Arial" w:cs="Arial" w:hAnsi="Arial"/>
                <w:sz w:val="20"/>
                <w:szCs w:val="20"/>
                <w:lang w:val="en-SG"/>
              </w:rPr>
              <w:t xml:space="preserve">, Trisomy-21 syndrome or Down syndrome). </w:t>
            </w:r>
          </w:p>
          <w:p>
            <w:pPr>
              <w:pStyle w:val="style0"/>
              <w:rPr>
                <w:rFonts w:ascii="Arial" w:cs="Arial" w:hAnsi="Arial"/>
                <w:sz w:val="20"/>
                <w:szCs w:val="20"/>
              </w:rPr>
            </w:pPr>
          </w:p>
        </w:tc>
        <w:tc>
          <w:tcPr>
            <w:tcW w:w="4868" w:type="dxa"/>
            <w:tcBorders>
              <w:top w:val="single" w:sz="4" w:space="0" w:color="auto"/>
              <w:bottom w:val="single" w:sz="4" w:space="0" w:color="auto"/>
            </w:tcBorders>
          </w:tcPr>
          <w:p>
            <w:pPr>
              <w:pStyle w:val="style0"/>
              <w:numPr>
                <w:ilvl w:val="0"/>
                <w:numId w:val="36"/>
              </w:numPr>
              <w:tabs>
                <w:tab w:val="left" w:leader="none" w:pos="720"/>
              </w:tabs>
              <w:jc w:val="both"/>
              <w:rPr>
                <w:rFonts w:ascii="Arial" w:cs="Arial" w:hAnsi="Arial"/>
                <w:sz w:val="20"/>
                <w:szCs w:val="20"/>
                <w:lang w:val="en-SG"/>
              </w:rPr>
            </w:pPr>
            <w:r>
              <w:rPr>
                <w:rFonts w:ascii="Arial" w:cs="Arial" w:hAnsi="Arial"/>
                <w:sz w:val="20"/>
                <w:szCs w:val="20"/>
                <w:lang w:val="en-SG"/>
              </w:rPr>
              <w:t xml:space="preserve">Atypical brain connectivity: Differences in how brain regions communicate, i.e., the over-connectivity locally as well as the under-connectivity across long distances. </w:t>
            </w:r>
          </w:p>
          <w:p>
            <w:pPr>
              <w:pStyle w:val="style0"/>
              <w:numPr>
                <w:ilvl w:val="0"/>
                <w:numId w:val="36"/>
              </w:numPr>
              <w:tabs>
                <w:tab w:val="left" w:leader="none" w:pos="720"/>
              </w:tabs>
              <w:jc w:val="both"/>
              <w:rPr>
                <w:rFonts w:ascii="Arial" w:cs="Arial" w:hAnsi="Arial"/>
                <w:sz w:val="20"/>
                <w:szCs w:val="20"/>
                <w:lang w:val="en-SG"/>
              </w:rPr>
            </w:pPr>
            <w:r>
              <w:rPr>
                <w:rFonts w:ascii="Arial" w:cs="Arial" w:hAnsi="Arial"/>
                <w:sz w:val="20"/>
                <w:szCs w:val="20"/>
                <w:lang w:val="en-SG"/>
              </w:rPr>
              <w:t xml:space="preserve">Altered synaptic function: Disruptions in how neurons form and regulate synapses, sometimes linked to the Excitatory-Inhibitory Balance (EIB). </w:t>
            </w:r>
          </w:p>
          <w:p>
            <w:pPr>
              <w:pStyle w:val="style0"/>
              <w:numPr>
                <w:ilvl w:val="0"/>
                <w:numId w:val="36"/>
              </w:numPr>
              <w:tabs>
                <w:tab w:val="left" w:leader="none" w:pos="720"/>
              </w:tabs>
              <w:jc w:val="both"/>
              <w:rPr>
                <w:rFonts w:ascii="Arial" w:cs="Arial" w:hAnsi="Arial"/>
                <w:sz w:val="20"/>
                <w:szCs w:val="20"/>
                <w:lang w:val="en-SG"/>
              </w:rPr>
            </w:pPr>
            <w:r>
              <w:rPr>
                <w:rFonts w:ascii="Arial" w:cs="Arial" w:hAnsi="Arial"/>
                <w:sz w:val="20"/>
                <w:szCs w:val="20"/>
                <w:lang w:val="en-SG"/>
              </w:rPr>
              <w:t xml:space="preserve">Differences in brain structure: These refer to the variations in terms of cortical thickness, brain volume, or specific regions like the amygdala or cerebellum. </w:t>
            </w:r>
          </w:p>
          <w:p>
            <w:pPr>
              <w:pStyle w:val="style0"/>
              <w:numPr>
                <w:ilvl w:val="0"/>
                <w:numId w:val="36"/>
              </w:numPr>
              <w:tabs>
                <w:tab w:val="left" w:leader="none" w:pos="720"/>
              </w:tabs>
              <w:jc w:val="both"/>
              <w:rPr>
                <w:rFonts w:ascii="Arial" w:cs="Arial" w:hAnsi="Arial"/>
                <w:sz w:val="20"/>
                <w:szCs w:val="20"/>
                <w:lang w:val="en-SG"/>
              </w:rPr>
            </w:pPr>
            <w:r>
              <w:rPr>
                <w:rFonts w:ascii="Arial" w:cs="Arial" w:hAnsi="Arial"/>
                <w:sz w:val="20"/>
                <w:szCs w:val="20"/>
                <w:lang w:val="en-SG"/>
              </w:rPr>
              <w:t xml:space="preserve">Neurotransmitter system differences: Take note, especially those involving GABA, glutamate, dopamine, or serotonin signaling. </w:t>
            </w:r>
          </w:p>
          <w:p>
            <w:pPr>
              <w:pStyle w:val="style0"/>
              <w:numPr>
                <w:ilvl w:val="0"/>
                <w:numId w:val="36"/>
              </w:numPr>
              <w:tabs>
                <w:tab w:val="left" w:leader="none" w:pos="720"/>
              </w:tabs>
              <w:jc w:val="both"/>
              <w:rPr>
                <w:rFonts w:ascii="Arial" w:cs="Arial" w:hAnsi="Arial"/>
                <w:sz w:val="20"/>
                <w:szCs w:val="20"/>
                <w:lang w:val="en-SG"/>
              </w:rPr>
            </w:pPr>
            <w:r>
              <w:rPr>
                <w:rFonts w:ascii="Arial" w:cs="Arial" w:hAnsi="Arial"/>
                <w:sz w:val="20"/>
                <w:szCs w:val="20"/>
                <w:lang w:val="en-SG"/>
              </w:rPr>
              <w:t xml:space="preserve">Abnormal neural development timing: This includes altered neuronal migration, pruning, or myelination during early development. </w:t>
            </w:r>
          </w:p>
          <w:p>
            <w:pPr>
              <w:pStyle w:val="style0"/>
              <w:numPr>
                <w:ilvl w:val="0"/>
                <w:numId w:val="36"/>
              </w:numPr>
              <w:tabs>
                <w:tab w:val="left" w:leader="none" w:pos="720"/>
              </w:tabs>
              <w:jc w:val="both"/>
              <w:rPr>
                <w:rFonts w:ascii="Arial" w:cs="Arial" w:hAnsi="Arial"/>
                <w:sz w:val="20"/>
                <w:szCs w:val="20"/>
                <w:lang w:val="en-SG"/>
              </w:rPr>
            </w:pPr>
            <w:r>
              <w:rPr>
                <w:rFonts w:ascii="Arial" w:cs="Arial" w:hAnsi="Arial"/>
                <w:sz w:val="20"/>
                <w:szCs w:val="20"/>
                <w:lang w:val="en-SG"/>
              </w:rPr>
              <w:t xml:space="preserve">Network-level instability in epilepsy: E.g., hyperexcitability and hypersynchronous firing in neural circuits. </w:t>
            </w:r>
          </w:p>
        </w:tc>
      </w:tr>
    </w:tbl>
    <w:p>
      <w:pPr>
        <w:pStyle w:val="style0"/>
        <w:rPr>
          <w:rFonts w:ascii="Arial" w:cs="Arial" w:hAnsi="Arial"/>
        </w:rPr>
      </w:pPr>
    </w:p>
    <w:p>
      <w:pPr>
        <w:pStyle w:val="style0"/>
        <w:jc w:val="both"/>
        <w:rPr>
          <w:rFonts w:ascii="Arial" w:cs="Arial" w:hAnsi="Arial"/>
          <w:lang w:val="en-SG"/>
        </w:rPr>
      </w:pPr>
      <w:r>
        <w:rPr>
          <w:rFonts w:ascii="Arial" w:cs="Arial" w:hAnsi="Arial"/>
          <w:lang w:val="en-SG"/>
        </w:rPr>
        <w:t>These genetic and neurobiological traits often interact with each other. In other words, genetic variations can influence how neural circuits develop and function, and that, in turn, shapes cognition, behavior, and developmental outcomes.</w:t>
      </w:r>
    </w:p>
    <w:p>
      <w:pPr>
        <w:pStyle w:val="style0"/>
        <w:rPr>
          <w:rFonts w:ascii="Arial" w:cs="Arial" w:hAnsi="Arial"/>
        </w:rPr>
      </w:pPr>
    </w:p>
    <w:p>
      <w:pPr>
        <w:pStyle w:val="style0"/>
        <w:jc w:val="both"/>
        <w:rPr>
          <w:rFonts w:ascii="Arial" w:cs="Arial" w:hAnsi="Arial"/>
        </w:rPr>
      </w:pPr>
      <w:r>
        <w:rPr>
          <w:rFonts w:ascii="Arial" w:cs="Arial" w:hAnsi="Arial"/>
        </w:rPr>
        <w:t xml:space="preserve">The second block (B2: </w:t>
      </w:r>
      <w:r>
        <w:rPr>
          <w:rFonts w:ascii="Arial" w:cs="Arial" w:hAnsi="Arial"/>
        </w:rPr>
        <w:t>S</w:t>
      </w:r>
      <w:r>
        <w:rPr>
          <w:rFonts w:ascii="Arial" w:cs="Arial" w:hAnsi="Arial"/>
        </w:rPr>
        <w:t xml:space="preserve">ensory profiling) corresponds to the sensory-motor processes described in developmental learning models. Sensory systems (e.g., visual, auditory, tactile, olfactory, and gustatory) are essential channels through which children receive and process environmental information (Liu &amp; Xie, 2023). In pediatric </w:t>
      </w:r>
      <w:r>
        <w:rPr>
          <w:rFonts w:ascii="Arial" w:cs="Arial" w:hAnsi="Arial"/>
        </w:rPr>
        <w:t xml:space="preserve">and educational </w:t>
      </w:r>
      <w:r>
        <w:rPr>
          <w:rFonts w:ascii="Arial" w:cs="Arial" w:hAnsi="Arial"/>
        </w:rPr>
        <w:t>therap</w:t>
      </w:r>
      <w:r>
        <w:rPr>
          <w:rFonts w:ascii="Arial" w:cs="Arial" w:hAnsi="Arial"/>
        </w:rPr>
        <w:t>ies</w:t>
      </w:r>
      <w:r>
        <w:rPr>
          <w:rFonts w:ascii="Arial" w:cs="Arial" w:hAnsi="Arial"/>
        </w:rPr>
        <w:t xml:space="preserve">, </w:t>
      </w:r>
      <w:r>
        <w:rPr>
          <w:rFonts w:ascii="Arial" w:cs="Arial" w:hAnsi="Arial"/>
        </w:rPr>
        <w:t>S</w:t>
      </w:r>
      <w:r>
        <w:rPr>
          <w:rFonts w:ascii="Arial" w:cs="Arial" w:hAnsi="Arial"/>
        </w:rPr>
        <w:t xml:space="preserve">ensory </w:t>
      </w:r>
      <w:r>
        <w:rPr>
          <w:rFonts w:ascii="Arial" w:cs="Arial" w:hAnsi="Arial"/>
        </w:rPr>
        <w:t>P</w:t>
      </w:r>
      <w:r>
        <w:rPr>
          <w:rFonts w:ascii="Arial" w:cs="Arial" w:hAnsi="Arial"/>
        </w:rPr>
        <w:t>rofil</w:t>
      </w:r>
      <w:r>
        <w:rPr>
          <w:rFonts w:ascii="Arial" w:cs="Arial" w:hAnsi="Arial"/>
        </w:rPr>
        <w:t>e (Dunn, 1999)</w:t>
      </w:r>
      <w:r>
        <w:rPr>
          <w:rFonts w:ascii="Arial" w:cs="Arial" w:hAnsi="Arial"/>
        </w:rPr>
        <w:t xml:space="preserve"> is crucial for identifying sensory processing difficulties that may affect motor coordination, attention, and behavior. Occupational therapy, sensory integration therapy, and physical therapy frequently address deficits in sensory-motor functioning. These intervention approaches support the child’s ability to regulate sensory input and produce coordinated motor responses, thereby improving functional participation in their daily life activities and learning environments.</w:t>
      </w:r>
    </w:p>
    <w:p>
      <w:pPr>
        <w:pStyle w:val="style0"/>
        <w:rPr>
          <w:rFonts w:ascii="Arial" w:cs="Arial" w:hAnsi="Arial"/>
        </w:rPr>
      </w:pPr>
    </w:p>
    <w:p>
      <w:pPr>
        <w:pStyle w:val="style0"/>
        <w:jc w:val="both"/>
        <w:rPr>
          <w:rFonts w:ascii="Arial" w:cs="Arial" w:hAnsi="Arial"/>
        </w:rPr>
      </w:pPr>
      <w:r>
        <w:rPr>
          <w:rFonts w:ascii="Arial" w:cs="Arial" w:hAnsi="Arial"/>
        </w:rPr>
        <w:t xml:space="preserve">The third block (B3: </w:t>
      </w:r>
      <w:r>
        <w:rPr>
          <w:rFonts w:ascii="Arial" w:cs="Arial" w:hAnsi="Arial"/>
        </w:rPr>
        <w:t>A</w:t>
      </w:r>
      <w:r>
        <w:rPr>
          <w:rFonts w:ascii="Arial" w:cs="Arial" w:hAnsi="Arial"/>
        </w:rPr>
        <w:t xml:space="preserve">daptive behavioral scale rating) assesses a child’s functional independence in the daily life. The adaptive behavior includes communication, self-care, social engagement, and practical life skills required for functioning in everyday contexts (Saulnier &amp; </w:t>
      </w:r>
      <w:r>
        <w:rPr>
          <w:rFonts w:ascii="Arial" w:cs="Arial" w:hAnsi="Arial"/>
        </w:rPr>
        <w:t>Klaiman</w:t>
      </w:r>
      <w:r>
        <w:rPr>
          <w:rFonts w:ascii="Arial" w:cs="Arial" w:hAnsi="Arial"/>
        </w:rPr>
        <w:t>, 2024). In pediatric</w:t>
      </w:r>
      <w:r>
        <w:rPr>
          <w:rFonts w:ascii="Arial" w:cs="Arial" w:hAnsi="Arial"/>
        </w:rPr>
        <w:t xml:space="preserve"> and educational</w:t>
      </w:r>
      <w:r>
        <w:rPr>
          <w:rFonts w:ascii="Arial" w:cs="Arial" w:hAnsi="Arial"/>
        </w:rPr>
        <w:t xml:space="preserve"> therap</w:t>
      </w:r>
      <w:r>
        <w:rPr>
          <w:rFonts w:ascii="Arial" w:cs="Arial" w:hAnsi="Arial"/>
        </w:rPr>
        <w:t>ies</w:t>
      </w:r>
      <w:r>
        <w:rPr>
          <w:rFonts w:ascii="Arial" w:cs="Arial" w:hAnsi="Arial"/>
        </w:rPr>
        <w:t xml:space="preserve">, adaptive functioning is frequently evaluated through standardized instruments such as adaptive behavior scales used by developmental pediatricians, </w:t>
      </w:r>
      <w:r>
        <w:rPr>
          <w:rFonts w:ascii="Arial" w:cs="Arial" w:hAnsi="Arial"/>
        </w:rPr>
        <w:t xml:space="preserve">clinical </w:t>
      </w:r>
      <w:r>
        <w:rPr>
          <w:rFonts w:ascii="Arial" w:cs="Arial" w:hAnsi="Arial"/>
        </w:rPr>
        <w:t xml:space="preserve">psychologists, and </w:t>
      </w:r>
      <w:r>
        <w:rPr>
          <w:rFonts w:ascii="Arial" w:cs="Arial" w:hAnsi="Arial"/>
        </w:rPr>
        <w:t xml:space="preserve">educational </w:t>
      </w:r>
      <w:r>
        <w:rPr>
          <w:rFonts w:ascii="Arial" w:cs="Arial" w:hAnsi="Arial"/>
        </w:rPr>
        <w:t xml:space="preserve">therapists (Paolo et al., 2023). Adaptive deficits may indicate broader developmental disorders or functional limitations that require intervention through applied behavior analysis, functional skill training, and family-based therapy. </w:t>
      </w:r>
      <w:r>
        <w:rPr>
          <w:rFonts w:ascii="Arial" w:cs="Arial" w:hAnsi="Arial"/>
        </w:rPr>
        <w:t>More i</w:t>
      </w:r>
      <w:r>
        <w:rPr>
          <w:rFonts w:ascii="Arial" w:cs="Arial" w:hAnsi="Arial"/>
        </w:rPr>
        <w:t>mportantly, promoting adaptive</w:t>
      </w:r>
      <w:r>
        <w:rPr>
          <w:rFonts w:ascii="Arial" w:cs="Arial" w:hAnsi="Arial"/>
        </w:rPr>
        <w:t xml:space="preserve"> behavior</w:t>
      </w:r>
      <w:r>
        <w:rPr>
          <w:rFonts w:ascii="Arial" w:cs="Arial" w:hAnsi="Arial"/>
        </w:rPr>
        <w:t xml:space="preserve"> functioning contributes to </w:t>
      </w:r>
      <w:r>
        <w:rPr>
          <w:rFonts w:ascii="Arial" w:cs="Arial" w:hAnsi="Arial"/>
        </w:rPr>
        <w:t xml:space="preserve">one’s </w:t>
      </w:r>
      <w:r>
        <w:rPr>
          <w:rFonts w:ascii="Arial" w:cs="Arial" w:hAnsi="Arial"/>
        </w:rPr>
        <w:t xml:space="preserve">sustainability by fostering long-term independence, reducing reliance on intensive support services, and enhancing an individual’s ability to participate meaningfully in their community. </w:t>
      </w:r>
      <w:r>
        <w:rPr>
          <w:rFonts w:ascii="Arial" w:cs="Arial" w:hAnsi="Arial"/>
        </w:rPr>
        <w:t>Therefore, B3 represents the functional performance domain, linking clinical assessment with real-life functioning.</w:t>
      </w:r>
      <w:r>
        <w:rPr>
          <w:rFonts w:ascii="Arial" w:cs="Arial" w:hAnsi="Arial"/>
        </w:rPr>
        <w:t xml:space="preserve"> </w:t>
      </w:r>
    </w:p>
    <w:p>
      <w:pPr>
        <w:pStyle w:val="style0"/>
        <w:jc w:val="both"/>
        <w:rPr>
          <w:rFonts w:ascii="Arial" w:cs="Arial" w:hAnsi="Arial"/>
        </w:rPr>
      </w:pPr>
    </w:p>
    <w:p>
      <w:pPr>
        <w:pStyle w:val="style0"/>
        <w:jc w:val="both"/>
        <w:rPr>
          <w:rFonts w:ascii="Arial" w:cs="Arial" w:hAnsi="Arial"/>
        </w:rPr>
      </w:pPr>
      <w:r>
        <w:rPr>
          <w:rFonts w:ascii="Arial" w:cs="Arial" w:hAnsi="Arial"/>
        </w:rPr>
        <w:t xml:space="preserve">The fourth block (B4: </w:t>
      </w:r>
      <w:r>
        <w:rPr>
          <w:rFonts w:ascii="Arial" w:cs="Arial" w:hAnsi="Arial"/>
        </w:rPr>
        <w:t>S</w:t>
      </w:r>
      <w:r>
        <w:rPr>
          <w:rFonts w:ascii="Arial" w:cs="Arial" w:hAnsi="Arial"/>
        </w:rPr>
        <w:t xml:space="preserve">ocial and emotional behavioral scale rating) concerns the affective domain in child development. It includes interpersonal skills, emotional regulation, self-concept, and social relationships. Social-emotional functioning plays a critical role in a child’s ability to engage in therapy, learning, and interpersonal interaction (Lin, Zhang, &amp; Kuo, 2024). In pediatric </w:t>
      </w:r>
      <w:r>
        <w:rPr>
          <w:rFonts w:ascii="Arial" w:cs="Arial" w:hAnsi="Arial"/>
        </w:rPr>
        <w:t xml:space="preserve">clinic/hospital </w:t>
      </w:r>
      <w:r>
        <w:rPr>
          <w:rFonts w:ascii="Arial" w:cs="Arial" w:hAnsi="Arial"/>
        </w:rPr>
        <w:t xml:space="preserve">settings, emotional and behavioral regulation is addressed through psychological therapy, play therapy, counseling, and social skills training (Hoffman et al., 2023; </w:t>
      </w:r>
      <w:r>
        <w:rPr>
          <w:rFonts w:ascii="Arial" w:cs="Arial" w:hAnsi="Arial"/>
        </w:rPr>
        <w:t>Sabounchi</w:t>
      </w:r>
      <w:r>
        <w:rPr>
          <w:rFonts w:ascii="Arial" w:cs="Arial" w:hAnsi="Arial"/>
        </w:rPr>
        <w:t xml:space="preserve">, </w:t>
      </w:r>
      <w:r>
        <w:rPr>
          <w:rFonts w:ascii="Arial" w:cs="Arial" w:hAnsi="Arial"/>
        </w:rPr>
        <w:t>Tarkhan</w:t>
      </w:r>
      <w:r>
        <w:rPr>
          <w:rFonts w:ascii="Arial" w:cs="Arial" w:hAnsi="Arial"/>
        </w:rPr>
        <w:t>, &amp; Sadeghi, 2025). For children with neurodevelopmental conditions such as ADHD or ASD, emotional regulation difficulties often coexist with cognitive and sensory challenges. Evaluating this domain allows pediatric</w:t>
      </w:r>
      <w:r>
        <w:rPr>
          <w:rFonts w:ascii="Arial" w:cs="Arial" w:hAnsi="Arial"/>
        </w:rPr>
        <w:t xml:space="preserve"> and educational</w:t>
      </w:r>
      <w:r>
        <w:rPr>
          <w:rFonts w:ascii="Arial" w:cs="Arial" w:hAnsi="Arial"/>
        </w:rPr>
        <w:t xml:space="preserve"> therapists to design appropriate intervention plans that can promote social competence, emotional resilience, and healthy interpersonal relationships.</w:t>
      </w:r>
    </w:p>
    <w:p>
      <w:pPr>
        <w:pStyle w:val="style0"/>
        <w:rPr>
          <w:rFonts w:ascii="Arial" w:cs="Arial" w:hAnsi="Arial"/>
        </w:rPr>
      </w:pPr>
    </w:p>
    <w:p>
      <w:pPr>
        <w:pStyle w:val="style0"/>
        <w:jc w:val="both"/>
        <w:rPr>
          <w:rFonts w:ascii="Arial" w:cs="Arial" w:hAnsi="Arial"/>
        </w:rPr>
      </w:pPr>
      <w:r>
        <w:rPr>
          <w:rFonts w:ascii="Arial" w:cs="Arial" w:hAnsi="Arial"/>
        </w:rPr>
        <w:t xml:space="preserve">The fifth block (B5: </w:t>
      </w:r>
      <w:r>
        <w:rPr>
          <w:rFonts w:ascii="Arial" w:cs="Arial" w:hAnsi="Arial"/>
        </w:rPr>
        <w:t>C</w:t>
      </w:r>
      <w:r>
        <w:rPr>
          <w:rFonts w:ascii="Arial" w:cs="Arial" w:hAnsi="Arial"/>
        </w:rPr>
        <w:t>ognitive abilities scale rating) corresponds to higher-level cognitive processing abilities, including attention, memory, reasoning, problem solving, and information processing. Cognitive processes enable children to interpret sensory input, integrate experiences, and apply learned knowledge in new situations (</w:t>
      </w:r>
      <w:r>
        <w:rPr>
          <w:rFonts w:ascii="Arial" w:cs="Arial" w:hAnsi="Arial"/>
        </w:rPr>
        <w:t>Cherukunnath</w:t>
      </w:r>
      <w:r>
        <w:rPr>
          <w:rFonts w:ascii="Arial" w:cs="Arial" w:hAnsi="Arial"/>
        </w:rPr>
        <w:t xml:space="preserve"> &amp; Singh, 2022; </w:t>
      </w:r>
      <w:r>
        <w:rPr>
          <w:rFonts w:ascii="Arial" w:cs="Arial" w:hAnsi="Arial"/>
        </w:rPr>
        <w:t xml:space="preserve">Chia &amp; Ng, 2021). In pediatric </w:t>
      </w:r>
      <w:r>
        <w:rPr>
          <w:rFonts w:ascii="Arial" w:cs="Arial" w:hAnsi="Arial"/>
        </w:rPr>
        <w:t xml:space="preserve">and educational </w:t>
      </w:r>
      <w:r>
        <w:rPr>
          <w:rFonts w:ascii="Arial" w:cs="Arial" w:hAnsi="Arial"/>
        </w:rPr>
        <w:t>therap</w:t>
      </w:r>
      <w:r>
        <w:rPr>
          <w:rFonts w:ascii="Arial" w:cs="Arial" w:hAnsi="Arial"/>
        </w:rPr>
        <w:t>ies</w:t>
      </w:r>
      <w:r>
        <w:rPr>
          <w:rFonts w:ascii="Arial" w:cs="Arial" w:hAnsi="Arial"/>
        </w:rPr>
        <w:t xml:space="preserve">, cognitive assessment is important for identifying those with learning difficulties, executive functioning deficits, and neuropsychological impairments. Intervention strategies for these children involve cognitive training, educational therapy, speech-language therapy, and neuropsychological rehabilitation. Therefore, this block represents the neurocognitive functioning level within pediatric </w:t>
      </w:r>
      <w:r>
        <w:rPr>
          <w:rFonts w:ascii="Arial" w:cs="Arial" w:hAnsi="Arial"/>
        </w:rPr>
        <w:t xml:space="preserve">and educational </w:t>
      </w:r>
      <w:r>
        <w:rPr>
          <w:rFonts w:ascii="Arial" w:cs="Arial" w:hAnsi="Arial"/>
        </w:rPr>
        <w:t>therapeutic practice.</w:t>
      </w:r>
    </w:p>
    <w:p>
      <w:pPr>
        <w:pStyle w:val="style0"/>
        <w:rPr>
          <w:rFonts w:ascii="Arial" w:cs="Arial" w:hAnsi="Arial"/>
        </w:rPr>
      </w:pPr>
    </w:p>
    <w:p>
      <w:pPr>
        <w:pStyle w:val="style0"/>
        <w:jc w:val="both"/>
        <w:rPr>
          <w:rFonts w:ascii="Arial" w:cs="Arial" w:hAnsi="Arial"/>
        </w:rPr>
      </w:pPr>
      <w:r>
        <w:rPr>
          <w:rFonts w:ascii="Arial" w:cs="Arial" w:hAnsi="Arial"/>
        </w:rPr>
        <w:t xml:space="preserve">The sixth block (B6: </w:t>
      </w:r>
      <w:r>
        <w:rPr>
          <w:rFonts w:ascii="Arial" w:cs="Arial" w:hAnsi="Arial"/>
        </w:rPr>
        <w:t>M</w:t>
      </w:r>
      <w:r>
        <w:rPr>
          <w:rFonts w:ascii="Arial" w:cs="Arial" w:hAnsi="Arial"/>
        </w:rPr>
        <w:t>etacognitive</w:t>
      </w:r>
      <w:r>
        <w:rPr>
          <w:rFonts w:ascii="Arial" w:cs="Arial" w:hAnsi="Arial"/>
        </w:rPr>
        <w:t>-instructional</w:t>
      </w:r>
      <w:r>
        <w:rPr>
          <w:rFonts w:ascii="Arial" w:cs="Arial" w:hAnsi="Arial"/>
        </w:rPr>
        <w:t xml:space="preserve"> abilities scale rating) reflects the highest level of functioning in the hierarchy: Metacognition, i.e., the child’s awareness and regulation of their own thinking and learning processes. Metacognitive</w:t>
      </w:r>
      <w:r>
        <w:rPr>
          <w:rFonts w:ascii="Arial" w:cs="Arial" w:hAnsi="Arial"/>
        </w:rPr>
        <w:t>-instructional</w:t>
      </w:r>
      <w:r>
        <w:rPr>
          <w:rFonts w:ascii="Arial" w:cs="Arial" w:hAnsi="Arial"/>
        </w:rPr>
        <w:t xml:space="preserve"> skills involve planning, monitoring, and evaluating one’s own performance in learning or solving a problem (</w:t>
      </w:r>
      <w:r>
        <w:rPr>
          <w:rFonts w:ascii="Arial" w:cs="Arial" w:hAnsi="Arial"/>
        </w:rPr>
        <w:t>Ambaryani</w:t>
      </w:r>
      <w:r>
        <w:rPr>
          <w:rFonts w:ascii="Arial" w:cs="Arial" w:hAnsi="Arial"/>
        </w:rPr>
        <w:t xml:space="preserve"> &amp; </w:t>
      </w:r>
      <w:r>
        <w:rPr>
          <w:rFonts w:ascii="Arial" w:cs="Arial" w:hAnsi="Arial"/>
        </w:rPr>
        <w:t>Putranta</w:t>
      </w:r>
      <w:r>
        <w:rPr>
          <w:rFonts w:ascii="Arial" w:cs="Arial" w:hAnsi="Arial"/>
        </w:rPr>
        <w:t>, 2022). These skills allow children to develop self-regulated learning and adaptive coping strategies (</w:t>
      </w:r>
      <w:r>
        <w:rPr>
          <w:rFonts w:ascii="Arial" w:cs="Arial" w:hAnsi="Arial"/>
        </w:rPr>
        <w:t>Narengaowa</w:t>
      </w:r>
      <w:r>
        <w:rPr>
          <w:rFonts w:ascii="Arial" w:cs="Arial" w:hAnsi="Arial"/>
        </w:rPr>
        <w:t xml:space="preserve"> &amp; </w:t>
      </w:r>
      <w:r>
        <w:rPr>
          <w:rFonts w:ascii="Arial" w:cs="Arial" w:hAnsi="Arial"/>
        </w:rPr>
        <w:t>Tungalag</w:t>
      </w:r>
      <w:r>
        <w:rPr>
          <w:rFonts w:ascii="Arial" w:cs="Arial" w:hAnsi="Arial"/>
        </w:rPr>
        <w:t>, 2024). In pediatric</w:t>
      </w:r>
      <w:r>
        <w:rPr>
          <w:rFonts w:ascii="Arial" w:cs="Arial" w:hAnsi="Arial"/>
        </w:rPr>
        <w:t xml:space="preserve"> and educational</w:t>
      </w:r>
      <w:r>
        <w:rPr>
          <w:rFonts w:ascii="Arial" w:cs="Arial" w:hAnsi="Arial"/>
        </w:rPr>
        <w:t xml:space="preserve"> therap</w:t>
      </w:r>
      <w:r>
        <w:rPr>
          <w:rFonts w:ascii="Arial" w:cs="Arial" w:hAnsi="Arial"/>
        </w:rPr>
        <w:t>ies</w:t>
      </w:r>
      <w:r>
        <w:rPr>
          <w:rFonts w:ascii="Arial" w:cs="Arial" w:hAnsi="Arial"/>
        </w:rPr>
        <w:t xml:space="preserve">, metacognitive development is particularly relevant for children with executive function deficits or chronic neurological conditions (Macoun et al., 2022). Interventions may include cognitive-behavioral therapy, executive function coaching, and metacognitive strategy training to improve self-monitoring, </w:t>
      </w:r>
      <w:r>
        <w:rPr>
          <w:rFonts w:ascii="Arial" w:cs="Arial" w:hAnsi="Arial"/>
        </w:rPr>
        <w:t xml:space="preserve">better </w:t>
      </w:r>
      <w:r>
        <w:rPr>
          <w:rFonts w:ascii="Arial" w:cs="Arial" w:hAnsi="Arial"/>
        </w:rPr>
        <w:t xml:space="preserve">planning, and </w:t>
      </w:r>
      <w:r>
        <w:rPr>
          <w:rFonts w:ascii="Arial" w:cs="Arial" w:hAnsi="Arial"/>
        </w:rPr>
        <w:t xml:space="preserve">sustainable </w:t>
      </w:r>
      <w:r>
        <w:rPr>
          <w:rFonts w:ascii="Arial" w:cs="Arial" w:hAnsi="Arial"/>
        </w:rPr>
        <w:t>adaptive learning behaviors.</w:t>
      </w:r>
    </w:p>
    <w:p>
      <w:pPr>
        <w:pStyle w:val="style0"/>
        <w:rPr>
          <w:rFonts w:ascii="Arial" w:cs="Arial" w:hAnsi="Arial"/>
        </w:rPr>
      </w:pPr>
    </w:p>
    <w:p>
      <w:pPr>
        <w:pStyle w:val="style179"/>
        <w:numPr>
          <w:ilvl w:val="0"/>
          <w:numId w:val="34"/>
        </w:numPr>
        <w:rPr>
          <w:rFonts w:ascii="Arial" w:cs="Arial" w:hAnsi="Arial"/>
          <w:b/>
          <w:bCs/>
          <w:sz w:val="22"/>
          <w:szCs w:val="22"/>
        </w:rPr>
      </w:pPr>
      <w:r>
        <w:rPr>
          <w:rFonts w:ascii="Arial" w:cs="Arial" w:hAnsi="Arial"/>
          <w:b/>
          <w:bCs/>
          <w:sz w:val="22"/>
          <w:szCs w:val="22"/>
        </w:rPr>
        <w:t>T</w:t>
      </w:r>
      <w:r>
        <w:rPr>
          <w:rFonts w:ascii="Arial" w:cs="Arial" w:hAnsi="Arial"/>
          <w:b/>
          <w:bCs/>
          <w:sz w:val="22"/>
          <w:szCs w:val="22"/>
        </w:rPr>
        <w:t>HE INTEGRATED PEDIATRIC</w:t>
      </w:r>
      <w:r>
        <w:rPr>
          <w:rFonts w:ascii="Arial" w:cs="Arial" w:hAnsi="Arial"/>
          <w:b/>
          <w:bCs/>
          <w:sz w:val="22"/>
          <w:szCs w:val="22"/>
        </w:rPr>
        <w:t xml:space="preserve"> </w:t>
      </w:r>
      <w:r>
        <w:rPr>
          <w:rFonts w:ascii="Arial" w:cs="Arial" w:hAnsi="Arial"/>
          <w:b/>
          <w:bCs/>
          <w:sz w:val="22"/>
          <w:szCs w:val="22"/>
        </w:rPr>
        <w:t>AND EDUCATIOANL</w:t>
      </w:r>
      <w:r>
        <w:rPr>
          <w:rFonts w:ascii="Arial" w:cs="Arial" w:hAnsi="Arial"/>
          <w:b/>
          <w:bCs/>
          <w:sz w:val="22"/>
          <w:szCs w:val="22"/>
        </w:rPr>
        <w:t xml:space="preserve"> THERAP</w:t>
      </w:r>
      <w:r>
        <w:rPr>
          <w:rFonts w:ascii="Arial" w:cs="Arial" w:hAnsi="Arial"/>
          <w:b/>
          <w:bCs/>
          <w:sz w:val="22"/>
          <w:szCs w:val="22"/>
        </w:rPr>
        <w:t>I</w:t>
      </w:r>
      <w:r>
        <w:rPr>
          <w:rFonts w:ascii="Arial" w:cs="Arial" w:hAnsi="Arial"/>
          <w:b/>
          <w:bCs/>
          <w:sz w:val="22"/>
          <w:szCs w:val="22"/>
        </w:rPr>
        <w:t>E</w:t>
      </w:r>
      <w:r>
        <w:rPr>
          <w:rFonts w:ascii="Arial" w:cs="Arial" w:hAnsi="Arial"/>
          <w:b/>
          <w:bCs/>
          <w:sz w:val="22"/>
          <w:szCs w:val="22"/>
        </w:rPr>
        <w:t>S</w:t>
      </w:r>
      <w:r>
        <w:rPr>
          <w:rFonts w:ascii="Arial" w:cs="Arial" w:hAnsi="Arial"/>
          <w:b/>
          <w:bCs/>
          <w:sz w:val="22"/>
          <w:szCs w:val="22"/>
        </w:rPr>
        <w:t xml:space="preserve"> </w:t>
      </w:r>
      <w:r>
        <w:rPr>
          <w:rFonts w:ascii="Arial" w:cs="Arial" w:hAnsi="Arial"/>
          <w:b/>
          <w:bCs/>
          <w:sz w:val="22"/>
          <w:szCs w:val="22"/>
        </w:rPr>
        <w:t>(IP</w:t>
      </w:r>
      <w:r>
        <w:rPr>
          <w:rFonts w:ascii="Arial" w:cs="Arial" w:hAnsi="Arial"/>
          <w:b/>
          <w:bCs/>
          <w:sz w:val="22"/>
          <w:szCs w:val="22"/>
        </w:rPr>
        <w:t>E</w:t>
      </w:r>
      <w:r>
        <w:rPr>
          <w:rFonts w:ascii="Arial" w:cs="Arial" w:hAnsi="Arial"/>
          <w:b/>
          <w:bCs/>
          <w:sz w:val="22"/>
          <w:szCs w:val="22"/>
        </w:rPr>
        <w:t>T</w:t>
      </w:r>
      <w:r>
        <w:rPr>
          <w:rFonts w:ascii="Arial" w:cs="Arial" w:hAnsi="Arial"/>
          <w:b/>
          <w:bCs/>
          <w:sz w:val="22"/>
          <w:szCs w:val="22"/>
        </w:rPr>
        <w:t>) M</w:t>
      </w:r>
      <w:r>
        <w:rPr>
          <w:rFonts w:ascii="Arial" w:cs="Arial" w:hAnsi="Arial"/>
          <w:b/>
          <w:bCs/>
          <w:sz w:val="22"/>
          <w:szCs w:val="22"/>
        </w:rPr>
        <w:t>ODEL</w:t>
      </w:r>
    </w:p>
    <w:p>
      <w:pPr>
        <w:pStyle w:val="style0"/>
        <w:rPr>
          <w:rFonts w:ascii="Arial" w:cs="Arial" w:hAnsi="Arial"/>
          <w:lang w:val="en-SG"/>
        </w:rPr>
      </w:pPr>
    </w:p>
    <w:p>
      <w:pPr>
        <w:pStyle w:val="style0"/>
        <w:jc w:val="both"/>
        <w:rPr>
          <w:rFonts w:ascii="Arial" w:cs="Arial" w:hAnsi="Arial"/>
          <w:lang w:val="en-SG"/>
        </w:rPr>
      </w:pPr>
      <w:r>
        <w:rPr>
          <w:rFonts w:ascii="Arial" w:cs="Arial" w:hAnsi="Arial"/>
          <w:lang w:val="en-SG"/>
        </w:rPr>
        <w:t xml:space="preserve">Based on the integration of the six blocks of abilities, the authors have proposed the following new </w:t>
      </w:r>
      <w:r>
        <w:rPr>
          <w:rFonts w:ascii="Arial" w:cs="Arial" w:hAnsi="Arial"/>
          <w:lang w:val="en-SG"/>
        </w:rPr>
        <w:t xml:space="preserve">framework for </w:t>
      </w:r>
      <w:r>
        <w:rPr>
          <w:rFonts w:ascii="Arial" w:cs="Arial" w:hAnsi="Arial"/>
          <w:lang w:val="en-SG"/>
        </w:rPr>
        <w:t>pediatric</w:t>
      </w:r>
      <w:r>
        <w:rPr>
          <w:rFonts w:ascii="Arial" w:cs="Arial" w:hAnsi="Arial"/>
          <w:lang w:val="en-SG"/>
        </w:rPr>
        <w:t xml:space="preserve"> and educational</w:t>
      </w:r>
      <w:r>
        <w:rPr>
          <w:rFonts w:ascii="Arial" w:cs="Arial" w:hAnsi="Arial"/>
          <w:lang w:val="en-SG"/>
        </w:rPr>
        <w:t xml:space="preserve"> therap</w:t>
      </w:r>
      <w:r>
        <w:rPr>
          <w:rFonts w:ascii="Arial" w:cs="Arial" w:hAnsi="Arial"/>
          <w:lang w:val="en-SG"/>
        </w:rPr>
        <w:t>ies</w:t>
      </w:r>
      <w:r>
        <w:rPr>
          <w:rFonts w:ascii="Arial" w:cs="Arial" w:hAnsi="Arial"/>
          <w:lang w:val="en-SG"/>
        </w:rPr>
        <w:t xml:space="preserve">: the Integrated Pediatric </w:t>
      </w:r>
      <w:r>
        <w:rPr>
          <w:rFonts w:ascii="Arial" w:cs="Arial" w:hAnsi="Arial"/>
          <w:lang w:val="en-SG"/>
        </w:rPr>
        <w:t>and Educational Therapies</w:t>
      </w:r>
      <w:r>
        <w:rPr>
          <w:rFonts w:ascii="Arial" w:cs="Arial" w:hAnsi="Arial"/>
          <w:lang w:val="en-SG"/>
        </w:rPr>
        <w:t xml:space="preserve"> (IP</w:t>
      </w:r>
      <w:r>
        <w:rPr>
          <w:rFonts w:ascii="Arial" w:cs="Arial" w:hAnsi="Arial"/>
          <w:lang w:val="en-SG"/>
        </w:rPr>
        <w:t>E</w:t>
      </w:r>
      <w:r>
        <w:rPr>
          <w:rFonts w:ascii="Arial" w:cs="Arial" w:hAnsi="Arial"/>
          <w:lang w:val="en-SG"/>
        </w:rPr>
        <w:t>T)</w:t>
      </w:r>
      <w:r>
        <w:rPr>
          <w:rFonts w:ascii="Arial" w:cs="Arial" w:hAnsi="Arial"/>
          <w:lang w:val="en-SG"/>
        </w:rPr>
        <w:t xml:space="preserve"> framework</w:t>
      </w:r>
      <w:r>
        <w:rPr>
          <w:rFonts w:ascii="Arial" w:cs="Arial" w:hAnsi="Arial"/>
          <w:lang w:val="en-SG"/>
        </w:rPr>
        <w:t xml:space="preserve"> (see Fig. 5).</w:t>
      </w:r>
    </w:p>
    <w:p>
      <w:pPr>
        <w:pStyle w:val="style0"/>
        <w:jc w:val="both"/>
        <w:rPr>
          <w:rFonts w:ascii="Arial" w:cs="Arial" w:hAnsi="Arial"/>
          <w:lang w:val="en-SG"/>
        </w:rPr>
      </w:pPr>
    </w:p>
    <w:p>
      <w:pPr>
        <w:pStyle w:val="style0"/>
        <w:rPr>
          <w:rFonts w:ascii="Arial" w:cs="Arial" w:hAnsi="Arial"/>
        </w:rPr>
      </w:pPr>
    </w:p>
    <w:p>
      <w:pPr>
        <w:pStyle w:val="style0"/>
        <w:jc w:val="center"/>
        <w:rPr>
          <w:rFonts w:ascii="Arial" w:cs="Arial" w:hAnsi="Arial"/>
        </w:rPr>
      </w:pPr>
      <w:r>
        <w:rPr>
          <w:rFonts w:ascii="Arial" w:cs="Arial" w:hAnsi="Arial"/>
          <w:noProof/>
        </w:rPr>
        <w:drawing>
          <wp:inline distL="0" distT="0" distB="0" distR="0">
            <wp:extent cx="2954215" cy="2776963"/>
            <wp:effectExtent l="0" t="0" r="0" b="4445"/>
            <wp:docPr id="1032"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Picture 1"/>
                    <pic:cNvPicPr/>
                  </pic:nvPicPr>
                  <pic:blipFill>
                    <a:blip r:embed="rId13" cstate="print"/>
                    <a:srcRect l="0" t="0" r="0" b="0"/>
                    <a:stretch/>
                  </pic:blipFill>
                  <pic:spPr>
                    <a:xfrm rot="0">
                      <a:off x="0" y="0"/>
                      <a:ext cx="2954215" cy="2776963"/>
                    </a:xfrm>
                    <a:prstGeom prst="rect"/>
                  </pic:spPr>
                </pic:pic>
              </a:graphicData>
            </a:graphic>
          </wp:inline>
        </w:drawing>
      </w:r>
    </w:p>
    <w:p>
      <w:pPr>
        <w:pStyle w:val="style0"/>
        <w:jc w:val="center"/>
        <w:rPr>
          <w:rFonts w:ascii="Arial" w:cs="Arial" w:hAnsi="Arial"/>
          <w:b/>
          <w:bCs/>
        </w:rPr>
      </w:pPr>
      <w:r>
        <w:rPr>
          <w:rFonts w:ascii="Arial" w:cs="Arial" w:hAnsi="Arial"/>
          <w:b/>
          <w:bCs/>
        </w:rPr>
        <w:t>Fig. 5. The IP</w:t>
      </w:r>
      <w:r>
        <w:rPr>
          <w:rFonts w:ascii="Arial" w:cs="Arial" w:hAnsi="Arial"/>
          <w:b/>
          <w:bCs/>
        </w:rPr>
        <w:t>E</w:t>
      </w:r>
      <w:r>
        <w:rPr>
          <w:rFonts w:ascii="Arial" w:cs="Arial" w:hAnsi="Arial"/>
          <w:b/>
          <w:bCs/>
        </w:rPr>
        <w:t>T Model</w:t>
      </w:r>
    </w:p>
    <w:p>
      <w:pPr>
        <w:pStyle w:val="style0"/>
        <w:rPr>
          <w:rFonts w:ascii="Arial" w:cs="Arial" w:hAnsi="Arial"/>
        </w:rPr>
      </w:pPr>
    </w:p>
    <w:p>
      <w:pPr>
        <w:pStyle w:val="style0"/>
        <w:jc w:val="both"/>
        <w:contextualSpacing/>
        <w:rPr>
          <w:rFonts w:ascii="Arial" w:cs="Arial" w:hAnsi="Arial"/>
        </w:rPr>
      </w:pPr>
      <w:r>
        <w:rPr>
          <w:rFonts w:ascii="Arial" w:cs="Arial" w:hAnsi="Arial"/>
        </w:rPr>
        <w:t xml:space="preserve">This </w:t>
      </w:r>
      <w:r>
        <w:rPr>
          <w:rFonts w:ascii="Arial" w:cs="Arial" w:hAnsi="Arial"/>
        </w:rPr>
        <w:t>model</w:t>
      </w:r>
      <w:r>
        <w:rPr>
          <w:rFonts w:ascii="Arial" w:cs="Arial" w:hAnsi="Arial"/>
        </w:rPr>
        <w:t xml:space="preserve"> adapts the HAS framework into a medical-therapeutic </w:t>
      </w:r>
      <w:r>
        <w:rPr>
          <w:rFonts w:ascii="Arial" w:cs="Arial" w:hAnsi="Arial"/>
        </w:rPr>
        <w:t xml:space="preserve">with educational therapeutic </w:t>
      </w:r>
      <w:r>
        <w:rPr>
          <w:rFonts w:ascii="Arial" w:cs="Arial" w:hAnsi="Arial"/>
        </w:rPr>
        <w:t xml:space="preserve">context by organizing assessment and intervention across six interconnected domains, which include both abilities and skills, instead of either of them: (1) Biomedical and neurological foundations (genetic and neurological status), (2) Sensory-motor integration, (3) Adaptive functioning, (4) Socio-emotional and behavioral regulation, (5) Neurocognitive processes, and </w:t>
      </w:r>
      <w:r>
        <w:rPr>
          <w:rFonts w:ascii="Arial" w:cs="Arial" w:hAnsi="Arial"/>
        </w:rPr>
        <w:t>(6) Metacognitive and self-regulation. The IP</w:t>
      </w:r>
      <w:r>
        <w:rPr>
          <w:rFonts w:ascii="Arial" w:cs="Arial" w:hAnsi="Arial"/>
        </w:rPr>
        <w:t>E</w:t>
      </w:r>
      <w:r>
        <w:rPr>
          <w:rFonts w:ascii="Arial" w:cs="Arial" w:hAnsi="Arial"/>
        </w:rPr>
        <w:t xml:space="preserve">T model emphasizes interdisciplinary collaboration among pediatricians, </w:t>
      </w:r>
      <w:r>
        <w:rPr>
          <w:rFonts w:ascii="Arial" w:cs="Arial" w:hAnsi="Arial"/>
        </w:rPr>
        <w:t xml:space="preserve">pediatric </w:t>
      </w:r>
      <w:r>
        <w:rPr>
          <w:rFonts w:ascii="Arial" w:cs="Arial" w:hAnsi="Arial"/>
        </w:rPr>
        <w:t xml:space="preserve">neurologists, </w:t>
      </w:r>
      <w:r>
        <w:rPr>
          <w:rFonts w:ascii="Arial" w:cs="Arial" w:hAnsi="Arial"/>
        </w:rPr>
        <w:t xml:space="preserve">clinical </w:t>
      </w:r>
      <w:r>
        <w:rPr>
          <w:rFonts w:ascii="Arial" w:cs="Arial" w:hAnsi="Arial"/>
        </w:rPr>
        <w:t xml:space="preserve">psychologists, occupational therapists, speech therapists, and educational therapists. Such integration reflects the principle that no single institution or discipline can fully address the needs of a child; rather, collaborative systems are necessary to support holistic development (Castro-Kemp &amp; Samuels, 2022; Fu, Wu, &amp; </w:t>
      </w:r>
      <w:r>
        <w:rPr>
          <w:rFonts w:ascii="Arial" w:cs="Arial" w:hAnsi="Arial"/>
        </w:rPr>
        <w:t>Zhuo</w:t>
      </w:r>
      <w:r>
        <w:rPr>
          <w:rFonts w:ascii="Arial" w:cs="Arial" w:hAnsi="Arial"/>
        </w:rPr>
        <w:t xml:space="preserve">, 2024; </w:t>
      </w:r>
      <w:r>
        <w:rPr>
          <w:rFonts w:ascii="Arial" w:cs="Arial" w:hAnsi="Arial"/>
        </w:rPr>
        <w:t>Noddings</w:t>
      </w:r>
      <w:r>
        <w:rPr>
          <w:rFonts w:ascii="Arial" w:cs="Arial" w:hAnsi="Arial"/>
        </w:rPr>
        <w:t>, 2005).</w:t>
      </w:r>
    </w:p>
    <w:p>
      <w:pPr>
        <w:pStyle w:val="style0"/>
        <w:contextualSpacing/>
        <w:rPr>
          <w:rFonts w:ascii="Arial" w:cs="Arial" w:hAnsi="Arial"/>
        </w:rPr>
      </w:pPr>
    </w:p>
    <w:p>
      <w:pPr>
        <w:pStyle w:val="style94"/>
        <w:spacing w:before="0" w:beforeAutospacing="false" w:after="0" w:afterAutospacing="false"/>
        <w:jc w:val="both"/>
        <w:contextualSpacing/>
        <w:rPr>
          <w:rFonts w:ascii="Arial" w:cs="Arial" w:hAnsi="Arial"/>
          <w:sz w:val="20"/>
          <w:szCs w:val="20"/>
        </w:rPr>
      </w:pPr>
      <w:r>
        <w:rPr>
          <w:rFonts w:ascii="Arial" w:cs="Arial" w:hAnsi="Arial"/>
          <w:sz w:val="20"/>
          <w:szCs w:val="20"/>
        </w:rPr>
        <w:t>The justification for the IP</w:t>
      </w:r>
      <w:r>
        <w:rPr>
          <w:rFonts w:ascii="Arial" w:cs="Arial" w:hAnsi="Arial"/>
          <w:sz w:val="20"/>
          <w:szCs w:val="20"/>
        </w:rPr>
        <w:t>E</w:t>
      </w:r>
      <w:r>
        <w:rPr>
          <w:rFonts w:ascii="Arial" w:cs="Arial" w:hAnsi="Arial"/>
          <w:sz w:val="20"/>
          <w:szCs w:val="20"/>
        </w:rPr>
        <w:t xml:space="preserve">T model lies in the hierarchical nature of development. Deficits or early adversities happening at lower levels, which include sensory processing or adaptive behavior, can significantly affect higher-level cognitive and academic functioning as well as future academic achievement (Huang, Jordan, &amp; Zhang, 2023). According to </w:t>
      </w:r>
      <w:r>
        <w:rPr>
          <w:rFonts w:ascii="Arial" w:cs="Arial" w:hAnsi="Arial"/>
          <w:sz w:val="20"/>
          <w:szCs w:val="20"/>
        </w:rPr>
        <w:t>Ntlhare</w:t>
      </w:r>
      <w:r>
        <w:rPr>
          <w:rFonts w:ascii="Arial" w:cs="Arial" w:hAnsi="Arial"/>
          <w:sz w:val="20"/>
          <w:szCs w:val="20"/>
        </w:rPr>
        <w:t xml:space="preserve"> (2022), research on learning development indicates that weaknesses in foundational skills can lead to difficulties in subsequent stages of learning and behavior. This is the </w:t>
      </w:r>
      <w:r>
        <w:rPr>
          <w:rStyle w:val="style87"/>
          <w:rFonts w:ascii="Arial" w:cs="Arial" w:eastAsia="宋体" w:hAnsi="Arial"/>
          <w:b w:val="false"/>
          <w:bCs w:val="false"/>
          <w:sz w:val="20"/>
          <w:szCs w:val="20"/>
        </w:rPr>
        <w:t>butterfly effect</w:t>
      </w:r>
      <w:r>
        <w:rPr>
          <w:rFonts w:ascii="Arial" w:cs="Arial" w:hAnsi="Arial"/>
          <w:sz w:val="20"/>
          <w:szCs w:val="20"/>
        </w:rPr>
        <w:t xml:space="preserve"> where small changes or actions in a complex system can lead to significant and unpredictable consequences over time (Vogelsang et al., 2024). Hence, in pediatric </w:t>
      </w:r>
      <w:r>
        <w:rPr>
          <w:rFonts w:ascii="Arial" w:cs="Arial" w:hAnsi="Arial"/>
          <w:sz w:val="20"/>
          <w:szCs w:val="20"/>
        </w:rPr>
        <w:t xml:space="preserve">and educational </w:t>
      </w:r>
      <w:r>
        <w:rPr>
          <w:rFonts w:ascii="Arial" w:cs="Arial" w:hAnsi="Arial"/>
          <w:sz w:val="20"/>
          <w:szCs w:val="20"/>
        </w:rPr>
        <w:t>therap</w:t>
      </w:r>
      <w:r>
        <w:rPr>
          <w:rFonts w:ascii="Arial" w:cs="Arial" w:hAnsi="Arial"/>
          <w:sz w:val="20"/>
          <w:szCs w:val="20"/>
        </w:rPr>
        <w:t>ies</w:t>
      </w:r>
      <w:r>
        <w:rPr>
          <w:rFonts w:ascii="Arial" w:cs="Arial" w:hAnsi="Arial"/>
          <w:sz w:val="20"/>
          <w:szCs w:val="20"/>
        </w:rPr>
        <w:t>, addressing these foundational domains through early assessment and targeted intervention can prevent cascading developmental challenges (</w:t>
      </w:r>
      <w:r>
        <w:rPr>
          <w:rFonts w:ascii="Arial" w:cs="Arial" w:hAnsi="Arial"/>
          <w:sz w:val="20"/>
          <w:szCs w:val="20"/>
          <w:lang w:val="en-US"/>
        </w:rPr>
        <w:t>Smythe</w:t>
      </w:r>
      <w:r>
        <w:rPr>
          <w:rFonts w:ascii="Arial" w:cs="Arial" w:hAnsi="Arial"/>
          <w:sz w:val="20"/>
          <w:szCs w:val="20"/>
        </w:rPr>
        <w:t xml:space="preserve"> et al., 2024). By integrating educational, psychological, and medical perspectives, the IP</w:t>
      </w:r>
      <w:r>
        <w:rPr>
          <w:rFonts w:ascii="Arial" w:cs="Arial" w:hAnsi="Arial"/>
          <w:sz w:val="20"/>
          <w:szCs w:val="20"/>
        </w:rPr>
        <w:t>E</w:t>
      </w:r>
      <w:r>
        <w:rPr>
          <w:rFonts w:ascii="Arial" w:cs="Arial" w:hAnsi="Arial"/>
          <w:sz w:val="20"/>
          <w:szCs w:val="20"/>
        </w:rPr>
        <w:t>T model provides a comprehensive framework for early assessment and intervention for children with special needs within pediatric healthcare settings.</w:t>
      </w:r>
    </w:p>
    <w:p>
      <w:pPr>
        <w:pStyle w:val="style94"/>
        <w:spacing w:before="0" w:beforeAutospacing="false" w:after="0" w:afterAutospacing="false"/>
        <w:jc w:val="both"/>
        <w:contextualSpacing/>
        <w:rPr>
          <w:rFonts w:ascii="Arial" w:cs="Arial" w:hAnsi="Arial"/>
          <w:sz w:val="20"/>
          <w:szCs w:val="20"/>
        </w:rPr>
      </w:pPr>
    </w:p>
    <w:p>
      <w:pPr>
        <w:pStyle w:val="style0"/>
        <w:rPr>
          <w:rFonts w:ascii="Arial" w:cs="Arial" w:hAnsi="Arial"/>
        </w:rPr>
      </w:pPr>
      <w:r>
        <w:rPr>
          <w:rFonts w:ascii="Arial" w:cs="Arial" w:hAnsi="Arial"/>
        </w:rPr>
        <w:t xml:space="preserve">Below is the model of the Integrated Pediatric </w:t>
      </w:r>
      <w:r>
        <w:rPr>
          <w:rFonts w:ascii="Arial" w:cs="Arial" w:hAnsi="Arial"/>
        </w:rPr>
        <w:t>and Educational Therapies</w:t>
      </w:r>
      <w:r>
        <w:rPr>
          <w:rFonts w:ascii="Arial" w:cs="Arial" w:hAnsi="Arial"/>
        </w:rPr>
        <w:t xml:space="preserve"> (IP</w:t>
      </w:r>
      <w:r>
        <w:rPr>
          <w:rFonts w:ascii="Arial" w:cs="Arial" w:hAnsi="Arial"/>
        </w:rPr>
        <w:t>E</w:t>
      </w:r>
      <w:r>
        <w:rPr>
          <w:rFonts w:ascii="Arial" w:cs="Arial" w:hAnsi="Arial"/>
        </w:rPr>
        <w:t>T)</w:t>
      </w:r>
      <w:r>
        <w:rPr>
          <w:rFonts w:ascii="Arial" w:cs="Arial" w:hAnsi="Arial"/>
        </w:rPr>
        <w:t xml:space="preserve"> model</w:t>
      </w:r>
      <w:r>
        <w:rPr>
          <w:rFonts w:ascii="Arial" w:cs="Arial" w:hAnsi="Arial"/>
        </w:rPr>
        <w:t xml:space="preserve"> (see Fig. 6) with a step-by-step explanatory narrative grounded in recent evidence.</w:t>
      </w:r>
    </w:p>
    <w:p>
      <w:pPr>
        <w:pStyle w:val="style0"/>
        <w:rPr>
          <w:rFonts w:ascii="Arial" w:cs="Arial" w:hAnsi="Arial"/>
        </w:rPr>
      </w:pPr>
    </w:p>
    <w:p>
      <w:pPr>
        <w:pStyle w:val="style0"/>
        <w:jc w:val="center"/>
        <w:rPr>
          <w:rFonts w:ascii="Arial" w:cs="Arial" w:hAnsi="Arial"/>
          <w:lang w:val="en-SG"/>
        </w:rPr>
      </w:pPr>
      <w:r>
        <w:rPr>
          <w:rFonts w:ascii="Arial" w:cs="Arial" w:hAnsi="Arial"/>
          <w:noProof/>
        </w:rPr>
        <w:drawing>
          <wp:inline distL="0" distT="0" distB="0" distR="0">
            <wp:extent cx="2198077" cy="2996261"/>
            <wp:effectExtent l="0" t="0" r="0" b="0"/>
            <wp:docPr id="1033"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 name="Picture 1"/>
                    <pic:cNvPicPr/>
                  </pic:nvPicPr>
                  <pic:blipFill>
                    <a:blip r:embed="rId14" cstate="print"/>
                    <a:srcRect l="0" t="0" r="0" b="0"/>
                    <a:stretch/>
                  </pic:blipFill>
                  <pic:spPr>
                    <a:xfrm rot="0">
                      <a:off x="0" y="0"/>
                      <a:ext cx="2198077" cy="2996261"/>
                    </a:xfrm>
                    <a:prstGeom prst="rect"/>
                  </pic:spPr>
                </pic:pic>
              </a:graphicData>
            </a:graphic>
          </wp:inline>
        </w:drawing>
      </w:r>
    </w:p>
    <w:p>
      <w:pPr>
        <w:pStyle w:val="style0"/>
        <w:jc w:val="center"/>
        <w:rPr>
          <w:rFonts w:ascii="Arial" w:cs="Arial" w:hAnsi="Arial"/>
        </w:rPr>
      </w:pPr>
    </w:p>
    <w:p>
      <w:pPr>
        <w:pStyle w:val="style0"/>
        <w:jc w:val="center"/>
        <w:rPr>
          <w:rFonts w:ascii="Arial" w:cs="Arial" w:hAnsi="Arial"/>
          <w:b/>
          <w:bCs/>
        </w:rPr>
      </w:pPr>
      <w:r>
        <w:rPr>
          <w:rFonts w:ascii="Arial" w:cs="Arial" w:hAnsi="Arial"/>
          <w:b/>
          <w:bCs/>
        </w:rPr>
        <w:t xml:space="preserve">Fig. 6. </w:t>
      </w:r>
      <w:r>
        <w:rPr>
          <w:rFonts w:ascii="Arial" w:cs="Arial" w:hAnsi="Arial"/>
          <w:b/>
          <w:bCs/>
        </w:rPr>
        <w:t xml:space="preserve">The </w:t>
      </w:r>
      <w:r>
        <w:rPr>
          <w:rFonts w:ascii="Arial" w:cs="Arial" w:hAnsi="Arial"/>
          <w:b/>
          <w:bCs/>
        </w:rPr>
        <w:t>Model</w:t>
      </w:r>
      <w:r>
        <w:rPr>
          <w:rFonts w:ascii="Arial" w:cs="Arial" w:hAnsi="Arial"/>
          <w:b/>
          <w:bCs/>
        </w:rPr>
        <w:t xml:space="preserve"> of</w:t>
      </w:r>
      <w:r>
        <w:rPr>
          <w:rFonts w:ascii="Arial" w:cs="Arial" w:hAnsi="Arial"/>
          <w:b/>
          <w:bCs/>
        </w:rPr>
        <w:t xml:space="preserve"> Integrated Pediatric</w:t>
      </w:r>
      <w:r>
        <w:rPr>
          <w:rFonts w:ascii="Arial" w:cs="Arial" w:hAnsi="Arial"/>
          <w:b/>
          <w:bCs/>
        </w:rPr>
        <w:t xml:space="preserve"> and Educational Therapies</w:t>
      </w:r>
      <w:r>
        <w:rPr>
          <w:rFonts w:ascii="Arial" w:cs="Arial" w:hAnsi="Arial"/>
          <w:b/>
          <w:bCs/>
        </w:rPr>
        <w:t xml:space="preserve"> (IP</w:t>
      </w:r>
      <w:r>
        <w:rPr>
          <w:rFonts w:ascii="Arial" w:cs="Arial" w:hAnsi="Arial"/>
          <w:b/>
          <w:bCs/>
        </w:rPr>
        <w:t>E</w:t>
      </w:r>
      <w:r>
        <w:rPr>
          <w:rFonts w:ascii="Arial" w:cs="Arial" w:hAnsi="Arial"/>
          <w:b/>
          <w:bCs/>
        </w:rPr>
        <w:t xml:space="preserve">T)  </w:t>
      </w:r>
    </w:p>
    <w:p>
      <w:pPr>
        <w:pStyle w:val="style0"/>
        <w:rPr>
          <w:rFonts w:ascii="Arial" w:cs="Arial" w:hAnsi="Arial"/>
        </w:rPr>
      </w:pPr>
      <w:r>
        <w:rPr>
          <w:rFonts w:ascii="Arial" w:cs="Arial" w:hAnsi="Arial"/>
        </w:rPr>
        <w:t xml:space="preserve">         Key: ↑ EXECUTION FLOW: Bottom-up assessment → top-down integration</w:t>
      </w:r>
    </w:p>
    <w:p>
      <w:pPr>
        <w:pStyle w:val="style0"/>
        <w:rPr>
          <w:rFonts w:ascii="Arial" w:cs="Arial" w:hAnsi="Arial"/>
        </w:rPr>
      </w:pPr>
      <w:r>
        <w:rPr>
          <w:rFonts w:ascii="Arial" w:cs="Arial" w:hAnsi="Arial"/>
        </w:rPr>
        <w:t xml:space="preserve">        </w:t>
      </w:r>
      <w:r>
        <w:rPr>
          <w:rFonts w:ascii="Arial" w:cs="Arial" w:hAnsi="Arial"/>
        </w:rPr>
        <w:tab/>
      </w:r>
      <w:r>
        <w:rPr>
          <w:rFonts w:ascii="Arial" w:cs="Arial" w:hAnsi="Arial"/>
        </w:rPr>
        <w:t xml:space="preserve">    </w:t>
      </w:r>
      <w:r>
        <w:rPr>
          <w:rFonts w:ascii="Cambria Math" w:cs="Cambria Math" w:hAnsi="Cambria Math"/>
        </w:rPr>
        <w:t>↺</w:t>
      </w:r>
      <w:r>
        <w:rPr>
          <w:rFonts w:ascii="Arial" w:cs="Arial" w:hAnsi="Arial"/>
        </w:rPr>
        <w:t xml:space="preserve"> FEEDBACK LOOP: Continuous reassessment across all levels</w:t>
      </w:r>
    </w:p>
    <w:p>
      <w:pPr>
        <w:pStyle w:val="style0"/>
        <w:rPr>
          <w:rFonts w:ascii="Arial" w:cs="Arial" w:hAnsi="Arial"/>
        </w:rPr>
      </w:pPr>
    </w:p>
    <w:p>
      <w:pPr>
        <w:pStyle w:val="style0"/>
        <w:jc w:val="both"/>
        <w:rPr>
          <w:rFonts w:ascii="Arial" w:cs="Arial" w:hAnsi="Arial"/>
        </w:rPr>
      </w:pPr>
      <w:r>
        <w:rPr>
          <w:rFonts w:ascii="Arial" w:cs="Arial" w:hAnsi="Arial"/>
        </w:rPr>
        <w:t>The authors proposed the IP</w:t>
      </w:r>
      <w:r>
        <w:rPr>
          <w:rFonts w:ascii="Arial" w:cs="Arial" w:hAnsi="Arial"/>
        </w:rPr>
        <w:t>E</w:t>
      </w:r>
      <w:r>
        <w:rPr>
          <w:rFonts w:ascii="Arial" w:cs="Arial" w:hAnsi="Arial"/>
        </w:rPr>
        <w:t>T model to replace the HAS model. The structured framework of IP</w:t>
      </w:r>
      <w:r>
        <w:rPr>
          <w:rFonts w:ascii="Arial" w:cs="Arial" w:hAnsi="Arial"/>
        </w:rPr>
        <w:t>E</w:t>
      </w:r>
      <w:r>
        <w:rPr>
          <w:rFonts w:ascii="Arial" w:cs="Arial" w:hAnsi="Arial"/>
        </w:rPr>
        <w:t>T integrates developmental theory with pediatric</w:t>
      </w:r>
      <w:r>
        <w:rPr>
          <w:rFonts w:ascii="Arial" w:cs="Arial" w:hAnsi="Arial"/>
        </w:rPr>
        <w:t xml:space="preserve"> and educational</w:t>
      </w:r>
      <w:r>
        <w:rPr>
          <w:rFonts w:ascii="Arial" w:cs="Arial" w:hAnsi="Arial"/>
        </w:rPr>
        <w:t xml:space="preserve"> therapeutic practice. Though previous research has emphasized the multidimensional nature of child development (Beyers, Soenens, &amp; Vansteenkiste, 2025; Christensen et al., 2022), many clinical and </w:t>
      </w:r>
      <w:r>
        <w:rPr>
          <w:rFonts w:ascii="Arial" w:cs="Arial" w:hAnsi="Arial"/>
        </w:rPr>
        <w:t>educational assessments remain fragmented across disciplines such as medicine, psychology, and education (Brown, 2022; Stodden et al., 2023). The IP</w:t>
      </w:r>
      <w:r>
        <w:rPr>
          <w:rFonts w:ascii="Arial" w:cs="Arial" w:hAnsi="Arial"/>
        </w:rPr>
        <w:t>E</w:t>
      </w:r>
      <w:r>
        <w:rPr>
          <w:rFonts w:ascii="Arial" w:cs="Arial" w:hAnsi="Arial"/>
        </w:rPr>
        <w:t>T model addresses this gap by organizing assessment and intervention across six interrelated domains: B1-Biomedical base (genetic, neurological and developmental status), B2-Sensory-motor integration (sensory processing, modulation, responding, motor coordination), B3-Adaptive functioning (daily living skills, communication conceptual knowledge), B4-Socio-emotional regulation (behavior, affect, relationships), B5-Neurocognitive processing (attention, memory, reasoning), and B6-Metacognitive self-regulation (self-monitoring, insight). By extending the HAS model into pediatric healthcare contexts</w:t>
      </w:r>
      <w:r>
        <w:rPr>
          <w:rFonts w:ascii="Arial" w:cs="Arial" w:hAnsi="Arial"/>
        </w:rPr>
        <w:t xml:space="preserve"> incorporating educational therapy</w:t>
      </w:r>
      <w:r>
        <w:rPr>
          <w:rFonts w:ascii="Arial" w:cs="Arial" w:hAnsi="Arial"/>
        </w:rPr>
        <w:t>, the authors of this paper have provided a conceptual bridge between educational therapy and multidisciplinary pediatric intervention. The framework contributes to the literature by offering a coherent hierarchical structure that explains how foundational biological and sensory processes influence higher-order cognitive and behavioral outcomes, thereby supporting a more holistic understanding of developmental functioning in children with special needs.</w:t>
      </w:r>
    </w:p>
    <w:p>
      <w:pPr>
        <w:pStyle w:val="style0"/>
        <w:rPr>
          <w:rFonts w:ascii="Arial" w:cs="Arial" w:hAnsi="Arial"/>
        </w:rPr>
      </w:pPr>
    </w:p>
    <w:p>
      <w:pPr>
        <w:pStyle w:val="style0"/>
        <w:jc w:val="both"/>
        <w:rPr>
          <w:rFonts w:ascii="Arial" w:cs="Arial" w:hAnsi="Arial"/>
        </w:rPr>
      </w:pPr>
      <w:r>
        <w:rPr>
          <w:rFonts w:ascii="Arial" w:cs="Arial" w:hAnsi="Arial"/>
        </w:rPr>
        <w:t xml:space="preserve">As shown in Figure 6, the hierarchical process is executed through a bottom-up, developmentally aligned assessment-to-intervention pathway, followed by continuous feedback loops across all the six domains at their respective levels. The first step begins at B1-Biomedical </w:t>
      </w:r>
      <w:r>
        <w:rPr>
          <w:rFonts w:ascii="Arial" w:cs="Arial" w:hAnsi="Arial"/>
        </w:rPr>
        <w:t>b</w:t>
      </w:r>
      <w:r>
        <w:rPr>
          <w:rFonts w:ascii="Arial" w:cs="Arial" w:hAnsi="Arial"/>
        </w:rPr>
        <w:t>ase, where clinical assessors conduct genetic, neurological, and developmental assessments to establish baseline functioning and identify underlying etiologies. Contemporary pediatric research emphasizes that early, comprehensive intervention based on neurodevelopmental profiles significantly improves long-term outcomes in children with conditions such as ASD and ADHD (Machado Cruz, 2024; Shin, Park, &amp; Lee, 2025). This foundational stage ensures that therapy is biologically informed rather than purely behavioral.</w:t>
      </w:r>
    </w:p>
    <w:p>
      <w:pPr>
        <w:pStyle w:val="style0"/>
        <w:rPr>
          <w:rFonts w:ascii="Arial" w:cs="Arial" w:hAnsi="Arial"/>
        </w:rPr>
      </w:pPr>
    </w:p>
    <w:p>
      <w:pPr>
        <w:pStyle w:val="style0"/>
        <w:jc w:val="both"/>
        <w:rPr>
          <w:rFonts w:ascii="Arial" w:cs="Arial" w:hAnsi="Arial"/>
        </w:rPr>
      </w:pPr>
      <w:r>
        <w:rPr>
          <w:rFonts w:ascii="Arial" w:cs="Arial" w:hAnsi="Arial"/>
        </w:rPr>
        <w:t>Following this, clinical assessors proceed to</w:t>
      </w:r>
      <w:r>
        <w:rPr>
          <w:rFonts w:ascii="Arial" w:cs="Arial" w:hAnsi="Arial"/>
        </w:rPr>
        <w:t xml:space="preserve"> the </w:t>
      </w:r>
      <w:r>
        <w:rPr>
          <w:rFonts w:ascii="Arial" w:cs="Arial" w:hAnsi="Arial"/>
        </w:rPr>
        <w:t>second step, i.e.,</w:t>
      </w:r>
      <w:r>
        <w:rPr>
          <w:rFonts w:ascii="Arial" w:cs="Arial" w:hAnsi="Arial"/>
        </w:rPr>
        <w:t xml:space="preserve"> B2 (Sensory-</w:t>
      </w:r>
      <w:r>
        <w:rPr>
          <w:rFonts w:ascii="Arial" w:cs="Arial" w:hAnsi="Arial"/>
        </w:rPr>
        <w:t>m</w:t>
      </w:r>
      <w:r>
        <w:rPr>
          <w:rFonts w:ascii="Arial" w:cs="Arial" w:hAnsi="Arial"/>
        </w:rPr>
        <w:t xml:space="preserve">otor </w:t>
      </w:r>
      <w:r>
        <w:rPr>
          <w:rFonts w:ascii="Arial" w:cs="Arial" w:hAnsi="Arial"/>
        </w:rPr>
        <w:t>i</w:t>
      </w:r>
      <w:r>
        <w:rPr>
          <w:rFonts w:ascii="Arial" w:cs="Arial" w:hAnsi="Arial"/>
        </w:rPr>
        <w:t>ntegration), where sensory profiling and motor assessments are conducted to determine</w:t>
      </w:r>
      <w:r>
        <w:rPr>
          <w:rFonts w:ascii="Arial" w:cs="Arial" w:hAnsi="Arial"/>
        </w:rPr>
        <w:t xml:space="preserve"> </w:t>
      </w:r>
      <w:r>
        <w:rPr>
          <w:rFonts w:ascii="Arial" w:cs="Arial" w:hAnsi="Arial"/>
        </w:rPr>
        <w:t>how the child processes and responds to environmental stimuli (Liu &amp; Xie, 2023). Evidence from recent systematic reviews shows that sensory integration therapy plays a critical role in improving children’s interaction with their environment and supports broader developmental outcomes (Camino-Alarcón et al., 2024; Piller et al., 2025). Importantly, deficits at this level can restrict participation in daily activities and interfere with higher-order development, reinforcing the need to address sensory-motor issues early in pediatric therapy.</w:t>
      </w:r>
    </w:p>
    <w:p>
      <w:pPr>
        <w:pStyle w:val="style0"/>
        <w:rPr>
          <w:rFonts w:ascii="Arial" w:cs="Arial" w:hAnsi="Arial"/>
        </w:rPr>
      </w:pPr>
    </w:p>
    <w:p>
      <w:pPr>
        <w:pStyle w:val="style0"/>
        <w:jc w:val="both"/>
        <w:rPr>
          <w:rFonts w:ascii="Arial" w:cs="Arial" w:hAnsi="Arial"/>
        </w:rPr>
      </w:pPr>
      <w:r>
        <w:rPr>
          <w:rFonts w:ascii="Arial" w:cs="Arial" w:hAnsi="Arial"/>
        </w:rPr>
        <w:t xml:space="preserve">The third step, B3 (Adaptive </w:t>
      </w:r>
      <w:r>
        <w:rPr>
          <w:rFonts w:ascii="Arial" w:cs="Arial" w:hAnsi="Arial"/>
        </w:rPr>
        <w:t>f</w:t>
      </w:r>
      <w:r>
        <w:rPr>
          <w:rFonts w:ascii="Arial" w:cs="Arial" w:hAnsi="Arial"/>
        </w:rPr>
        <w:t>unction)</w:t>
      </w:r>
      <w:r>
        <w:rPr>
          <w:rFonts w:ascii="Arial" w:cs="Arial" w:hAnsi="Arial"/>
        </w:rPr>
        <w:t>,</w:t>
      </w:r>
      <w:r>
        <w:rPr>
          <w:rFonts w:ascii="Arial" w:cs="Arial" w:hAnsi="Arial"/>
        </w:rPr>
        <w:t xml:space="preserve"> focuses on evaluating and enhancing activities of daily living, social interaction, and functional independence. Adaptive functioning reflects how effectively a child applies skills in real-life contexts, and it is a key outcome measure in pediatric rehabilitation. Evidence indicates that integrated interventions combining behavioral therapy, cognitive training, and family involvement significantly improve adaptive and functional outcomes, e.g., for those with brain injury (Davies et al., 2024) and ASD (Hajri et al., 2022). Thus, interventions at this level bridge clinical treatment with real-world functioning.</w:t>
      </w:r>
    </w:p>
    <w:p>
      <w:pPr>
        <w:pStyle w:val="style0"/>
        <w:rPr>
          <w:rFonts w:ascii="Arial" w:cs="Arial" w:hAnsi="Arial"/>
        </w:rPr>
      </w:pPr>
    </w:p>
    <w:p>
      <w:pPr>
        <w:pStyle w:val="style0"/>
        <w:jc w:val="both"/>
        <w:rPr>
          <w:rFonts w:ascii="Arial" w:cs="Arial" w:hAnsi="Arial"/>
        </w:rPr>
      </w:pPr>
      <w:r>
        <w:rPr>
          <w:rFonts w:ascii="Arial" w:cs="Arial" w:hAnsi="Arial"/>
          <w:lang w:val="en-SG"/>
        </w:rPr>
        <w:t>In the fourth step, B4 (Socio-</w:t>
      </w:r>
      <w:r>
        <w:rPr>
          <w:rFonts w:ascii="Arial" w:cs="Arial" w:hAnsi="Arial"/>
          <w:lang w:val="en-SG"/>
        </w:rPr>
        <w:t>e</w:t>
      </w:r>
      <w:r>
        <w:rPr>
          <w:rFonts w:ascii="Arial" w:cs="Arial" w:hAnsi="Arial"/>
          <w:lang w:val="en-SG"/>
        </w:rPr>
        <w:t xml:space="preserve">motional </w:t>
      </w:r>
      <w:r>
        <w:rPr>
          <w:rFonts w:ascii="Arial" w:cs="Arial" w:hAnsi="Arial"/>
          <w:lang w:val="en-SG"/>
        </w:rPr>
        <w:t>r</w:t>
      </w:r>
      <w:r>
        <w:rPr>
          <w:rFonts w:ascii="Arial" w:cs="Arial" w:hAnsi="Arial"/>
          <w:lang w:val="en-SG"/>
        </w:rPr>
        <w:t>egulation) focuses on emotional regulation, social interaction, and behavioral adjustment.</w:t>
      </w:r>
      <w:r>
        <w:rPr>
          <w:rFonts w:ascii="Arial" w:cs="Arial" w:hAnsi="Arial"/>
          <w:lang w:val="en-SG"/>
        </w:rPr>
        <w:t xml:space="preserve"> </w:t>
      </w:r>
      <w:r>
        <w:rPr>
          <w:rFonts w:ascii="Arial" w:cs="Arial" w:hAnsi="Arial"/>
        </w:rPr>
        <w:t>This stage is critical because emotional and social competencies strongly influence engagement in therapy and learning. Research shows that motor and sensory-based interventions can also positively impact social and communication domains, highlighting the interdependence of developmental levels (Rosales et al., 2025). Additionally, affective and relational development forms the foundation for therapeutic alliance and responsiveness to intervention.</w:t>
      </w:r>
    </w:p>
    <w:p>
      <w:pPr>
        <w:pStyle w:val="style0"/>
        <w:rPr>
          <w:rFonts w:ascii="Arial" w:cs="Arial" w:hAnsi="Arial"/>
        </w:rPr>
      </w:pPr>
    </w:p>
    <w:p>
      <w:pPr>
        <w:pStyle w:val="style0"/>
        <w:jc w:val="both"/>
        <w:rPr>
          <w:rFonts w:ascii="Arial" w:cs="Arial" w:hAnsi="Arial"/>
        </w:rPr>
      </w:pPr>
      <w:r>
        <w:rPr>
          <w:rFonts w:ascii="Arial" w:cs="Arial" w:hAnsi="Arial"/>
        </w:rPr>
        <w:t>The fifth st</w:t>
      </w:r>
      <w:r>
        <w:rPr>
          <w:rFonts w:ascii="Arial" w:cs="Arial" w:hAnsi="Arial"/>
        </w:rPr>
        <w:t>ep</w:t>
      </w:r>
      <w:r>
        <w:rPr>
          <w:rFonts w:ascii="Arial" w:cs="Arial" w:hAnsi="Arial"/>
        </w:rPr>
        <w:t xml:space="preserve">, B5 (Neurocognitive </w:t>
      </w:r>
      <w:r>
        <w:rPr>
          <w:rFonts w:ascii="Arial" w:cs="Arial" w:hAnsi="Arial"/>
        </w:rPr>
        <w:t>p</w:t>
      </w:r>
      <w:r>
        <w:rPr>
          <w:rFonts w:ascii="Arial" w:cs="Arial" w:hAnsi="Arial"/>
        </w:rPr>
        <w:t>rocessing)</w:t>
      </w:r>
      <w:r>
        <w:rPr>
          <w:rFonts w:ascii="Arial" w:cs="Arial" w:hAnsi="Arial"/>
        </w:rPr>
        <w:t>,</w:t>
      </w:r>
      <w:r>
        <w:rPr>
          <w:rFonts w:ascii="Arial" w:cs="Arial" w:hAnsi="Arial"/>
        </w:rPr>
        <w:t xml:space="preserve"> involves the assessment and remediation of cognitive processes such as attention, memory, and executive functioning. Cognitive </w:t>
      </w:r>
      <w:r>
        <w:rPr>
          <w:rFonts w:ascii="Arial" w:cs="Arial" w:hAnsi="Arial"/>
        </w:rPr>
        <w:t>development is not isolated but emerges from earlier sensory, adaptive, and socio-emotional processes. Contemporary intervention models emphasize neuroplasticity, demonstrating that targeted cognitive and behavioral interventions can significantly enhance neuropsychological functioning in children (Zerva, 2026). Therefore, interventions at this level are tailored to strengthen processing efficiency and learning capacity.</w:t>
      </w:r>
    </w:p>
    <w:p>
      <w:pPr>
        <w:pStyle w:val="style0"/>
        <w:rPr>
          <w:rFonts w:ascii="Arial" w:cs="Arial" w:hAnsi="Arial"/>
        </w:rPr>
      </w:pPr>
    </w:p>
    <w:p>
      <w:pPr>
        <w:pStyle w:val="style0"/>
        <w:jc w:val="both"/>
        <w:rPr>
          <w:rFonts w:ascii="Arial" w:cs="Arial" w:hAnsi="Arial"/>
        </w:rPr>
      </w:pPr>
      <w:r>
        <w:rPr>
          <w:rFonts w:ascii="Arial" w:cs="Arial" w:hAnsi="Arial"/>
        </w:rPr>
        <w:t xml:space="preserve">Finally, </w:t>
      </w:r>
      <w:r>
        <w:rPr>
          <w:rFonts w:ascii="Arial" w:cs="Arial" w:hAnsi="Arial"/>
        </w:rPr>
        <w:t xml:space="preserve">in the sixth and last step, </w:t>
      </w:r>
      <w:r>
        <w:rPr>
          <w:rFonts w:ascii="Arial" w:cs="Arial" w:hAnsi="Arial"/>
        </w:rPr>
        <w:t xml:space="preserve">B6 (Metacognitive </w:t>
      </w:r>
      <w:r>
        <w:rPr>
          <w:rFonts w:ascii="Arial" w:cs="Arial" w:hAnsi="Arial"/>
        </w:rPr>
        <w:t>r</w:t>
      </w:r>
      <w:r>
        <w:rPr>
          <w:rFonts w:ascii="Arial" w:cs="Arial" w:hAnsi="Arial"/>
        </w:rPr>
        <w:t xml:space="preserve">egulation) represents the highest level of the hierarchy, focusing on self-awareness, self-monitoring, and self-regulated learning. Recent studies highlight that metacognitive interventions significantly improve children’s self-regulation and learning outcomes (Chen et al., 2024; </w:t>
      </w:r>
      <w:r>
        <w:rPr>
          <w:rFonts w:ascii="Arial" w:cs="Arial" w:hAnsi="Arial"/>
        </w:rPr>
        <w:t>Narengaowa</w:t>
      </w:r>
      <w:r>
        <w:rPr>
          <w:rFonts w:ascii="Arial" w:cs="Arial" w:hAnsi="Arial"/>
        </w:rPr>
        <w:t xml:space="preserve"> &amp; </w:t>
      </w:r>
      <w:r>
        <w:rPr>
          <w:rFonts w:ascii="Arial" w:cs="Arial" w:hAnsi="Arial"/>
        </w:rPr>
        <w:t>Tungalag</w:t>
      </w:r>
      <w:r>
        <w:rPr>
          <w:rFonts w:ascii="Arial" w:cs="Arial" w:hAnsi="Arial"/>
        </w:rPr>
        <w:t>, 2024)  , and clinical trials further demonstrate that metacognitive therapy can substantially reduce psychological symptoms in children and adolescents (Normann &amp; Morina, 2018). This stage is particularly important for promoting independence and long-term adaptation, especially in children with chronic neurodevelopmental conditions.</w:t>
      </w:r>
    </w:p>
    <w:p>
      <w:pPr>
        <w:pStyle w:val="style0"/>
        <w:rPr>
          <w:rFonts w:ascii="Arial" w:cs="Arial" w:hAnsi="Arial"/>
        </w:rPr>
      </w:pPr>
    </w:p>
    <w:p>
      <w:pPr>
        <w:pStyle w:val="style0"/>
        <w:jc w:val="both"/>
        <w:rPr>
          <w:rFonts w:ascii="Arial" w:cs="Arial" w:hAnsi="Arial"/>
        </w:rPr>
      </w:pPr>
      <w:r>
        <w:rPr>
          <w:rFonts w:ascii="Arial" w:cs="Arial" w:hAnsi="Arial"/>
        </w:rPr>
        <w:t>A key feature of the IP</w:t>
      </w:r>
      <w:r>
        <w:rPr>
          <w:rFonts w:ascii="Arial" w:cs="Arial" w:hAnsi="Arial"/>
        </w:rPr>
        <w:t>E</w:t>
      </w:r>
      <w:r>
        <w:rPr>
          <w:rFonts w:ascii="Arial" w:cs="Arial" w:hAnsi="Arial"/>
        </w:rPr>
        <w:t>T model is its dynamic feedback loop, where progress at higher levels (e.g., cognitive or metacognitive gains) informs re-evaluation of lower levels (e.g., sensory or adaptive functioning). This reflects current evidence that child development is non-linear and interdependent, with improvements in one domain influencing others. For example, sensory processing is closely linked to participation in daily activities and social functioning, indicating that therapeutic gains must be monitored holistically rather than in isolation (Grist et al., 2024)</w:t>
      </w:r>
      <w:r>
        <w:rPr>
          <w:rFonts w:ascii="Arial" w:cs="Arial" w:hAnsi="Arial"/>
        </w:rPr>
        <w:t>.</w:t>
      </w:r>
      <w:r>
        <w:rPr>
          <w:rFonts w:ascii="Arial" w:cs="Arial" w:hAnsi="Arial"/>
        </w:rPr>
        <w:t xml:space="preserve">  </w:t>
      </w:r>
    </w:p>
    <w:p>
      <w:pPr>
        <w:pStyle w:val="style0"/>
        <w:rPr>
          <w:rFonts w:ascii="Arial" w:cs="Arial" w:hAnsi="Arial"/>
        </w:rPr>
      </w:pPr>
    </w:p>
    <w:p>
      <w:pPr>
        <w:pStyle w:val="style0"/>
        <w:jc w:val="both"/>
        <w:rPr>
          <w:rFonts w:ascii="Arial" w:cs="Arial" w:hAnsi="Arial"/>
        </w:rPr>
      </w:pPr>
      <w:r>
        <w:rPr>
          <w:rFonts w:ascii="Arial" w:cs="Arial" w:hAnsi="Arial"/>
        </w:rPr>
        <w:t>In summary, the IP</w:t>
      </w:r>
      <w:r>
        <w:rPr>
          <w:rFonts w:ascii="Arial" w:cs="Arial" w:hAnsi="Arial"/>
        </w:rPr>
        <w:t>ET</w:t>
      </w:r>
      <w:r>
        <w:rPr>
          <w:rFonts w:ascii="Arial" w:cs="Arial" w:hAnsi="Arial"/>
        </w:rPr>
        <w:t xml:space="preserve"> model operationalizes pediatric</w:t>
      </w:r>
      <w:r>
        <w:rPr>
          <w:rFonts w:ascii="Arial" w:cs="Arial" w:hAnsi="Arial"/>
        </w:rPr>
        <w:t xml:space="preserve"> and educatio</w:t>
      </w:r>
      <w:r>
        <w:rPr>
          <w:rFonts w:ascii="Arial" w:cs="Arial" w:hAnsi="Arial"/>
        </w:rPr>
        <w:t>nal</w:t>
      </w:r>
      <w:r>
        <w:rPr>
          <w:rFonts w:ascii="Arial" w:cs="Arial" w:hAnsi="Arial"/>
        </w:rPr>
        <w:t xml:space="preserve"> therap</w:t>
      </w:r>
      <w:r>
        <w:rPr>
          <w:rFonts w:ascii="Arial" w:cs="Arial" w:hAnsi="Arial"/>
        </w:rPr>
        <w:t>ies</w:t>
      </w:r>
      <w:r>
        <w:rPr>
          <w:rFonts w:ascii="Arial" w:cs="Arial" w:hAnsi="Arial"/>
        </w:rPr>
        <w:t xml:space="preserve"> as a hierarchical yet integrative system, where clinicians sequentially assess and intervene from biological foundations to metacognitive self-regulation while continuously adjusting interventions across domains. This approach is strongly supported by recent interdisciplinary research emphasizing early intervention, sensory integration, adaptive functioning, and metacognitive development as core components of effective pediatric</w:t>
      </w:r>
      <w:r>
        <w:rPr>
          <w:rFonts w:ascii="Arial" w:cs="Arial" w:hAnsi="Arial"/>
        </w:rPr>
        <w:t xml:space="preserve"> and educational</w:t>
      </w:r>
      <w:r>
        <w:rPr>
          <w:rFonts w:ascii="Arial" w:cs="Arial" w:hAnsi="Arial"/>
        </w:rPr>
        <w:t xml:space="preserve"> therap</w:t>
      </w:r>
      <w:r>
        <w:rPr>
          <w:rFonts w:ascii="Arial" w:cs="Arial" w:hAnsi="Arial"/>
        </w:rPr>
        <w:t>ies</w:t>
      </w:r>
      <w:r>
        <w:rPr>
          <w:rFonts w:ascii="Arial" w:cs="Arial" w:hAnsi="Arial"/>
        </w:rPr>
        <w:t>.</w:t>
      </w:r>
    </w:p>
    <w:p>
      <w:pPr>
        <w:pStyle w:val="style0"/>
        <w:rPr>
          <w:rFonts w:ascii="Arial" w:cs="Arial" w:hAnsi="Arial"/>
          <w:b/>
          <w:bCs/>
        </w:rPr>
      </w:pPr>
    </w:p>
    <w:p>
      <w:pPr>
        <w:pStyle w:val="style179"/>
        <w:numPr>
          <w:ilvl w:val="1"/>
          <w:numId w:val="34"/>
        </w:numPr>
        <w:rPr>
          <w:rFonts w:ascii="Arial" w:cs="Arial" w:hAnsi="Arial"/>
          <w:b/>
          <w:bCs/>
          <w:sz w:val="22"/>
          <w:szCs w:val="22"/>
        </w:rPr>
      </w:pPr>
      <w:r>
        <w:rPr>
          <w:rFonts w:ascii="Arial" w:cs="Arial" w:hAnsi="Arial"/>
          <w:b/>
          <w:bCs/>
          <w:sz w:val="22"/>
          <w:szCs w:val="22"/>
        </w:rPr>
        <w:t>T</w:t>
      </w:r>
      <w:r>
        <w:rPr>
          <w:rFonts w:ascii="Arial" w:cs="Arial" w:hAnsi="Arial"/>
          <w:b/>
          <w:bCs/>
          <w:sz w:val="22"/>
          <w:szCs w:val="22"/>
        </w:rPr>
        <w:t>he Inclusion of Neurological Screening in the IP</w:t>
      </w:r>
      <w:r>
        <w:rPr>
          <w:rFonts w:ascii="Arial" w:cs="Arial" w:hAnsi="Arial"/>
          <w:b/>
          <w:bCs/>
          <w:sz w:val="22"/>
          <w:szCs w:val="22"/>
        </w:rPr>
        <w:t>E</w:t>
      </w:r>
      <w:r>
        <w:rPr>
          <w:rFonts w:ascii="Arial" w:cs="Arial" w:hAnsi="Arial"/>
          <w:b/>
          <w:bCs/>
          <w:sz w:val="22"/>
          <w:szCs w:val="22"/>
        </w:rPr>
        <w:t>T Model</w:t>
      </w:r>
    </w:p>
    <w:p>
      <w:pPr>
        <w:pStyle w:val="style0"/>
        <w:rPr>
          <w:rFonts w:ascii="Arial" w:cs="Arial" w:hAnsi="Arial"/>
          <w:sz w:val="22"/>
          <w:szCs w:val="22"/>
        </w:rPr>
      </w:pPr>
    </w:p>
    <w:p>
      <w:pPr>
        <w:pStyle w:val="style0"/>
        <w:jc w:val="both"/>
        <w:rPr>
          <w:rFonts w:ascii="Arial" w:cs="Arial" w:hAnsi="Arial"/>
        </w:rPr>
      </w:pPr>
      <w:r>
        <w:rPr>
          <w:rFonts w:ascii="Arial" w:cs="Arial" w:hAnsi="Arial"/>
        </w:rPr>
        <w:t xml:space="preserve">In the earlier HAS model, neurological screening was not included. </w:t>
      </w:r>
      <w:r>
        <w:rPr>
          <w:rFonts w:ascii="Arial" w:cs="Arial" w:hAnsi="Arial"/>
        </w:rPr>
        <w:t>However, i</w:t>
      </w:r>
      <w:r>
        <w:rPr>
          <w:rFonts w:ascii="Arial" w:cs="Arial" w:hAnsi="Arial"/>
        </w:rPr>
        <w:t>n this proposed IP</w:t>
      </w:r>
      <w:r>
        <w:rPr>
          <w:rFonts w:ascii="Arial" w:cs="Arial" w:hAnsi="Arial"/>
        </w:rPr>
        <w:t>E</w:t>
      </w:r>
      <w:r>
        <w:rPr>
          <w:rFonts w:ascii="Arial" w:cs="Arial" w:hAnsi="Arial"/>
        </w:rPr>
        <w:t xml:space="preserve">T model, the authors have noted the importance of including neurological screening under B1-Biomedical base, because this block represents the biological and neurodevelopmental foundation upon which all subsequent abilities and skills develop. In other words, B1 concerns the child’s innate or biologically determined capacities, including genetic predispositions, brain structure and function, and baseline intellectual potential. Neurological screening, such as electroencephalography (EEG), neuroimaging, and neurological examinations, serves to identify the underlying brain-based traits that may influence cognitive functioning, sensory processing, and behavioral regulation. Since these neurological factors can directly affect the child’s developmental ceiling and learning capacity, they logically fall within the foundational level of the hierarchy. </w:t>
      </w:r>
      <w:r>
        <w:rPr>
          <w:rFonts w:ascii="Arial" w:cs="Arial" w:hAnsi="Arial"/>
        </w:rPr>
        <w:t>Research in c</w:t>
      </w:r>
      <w:r>
        <w:rPr>
          <w:rFonts w:ascii="Arial" w:cs="Arial" w:hAnsi="Arial"/>
        </w:rPr>
        <w:t>ontemporary developmental neuroscience (</w:t>
      </w:r>
      <w:r>
        <w:rPr>
          <w:rFonts w:ascii="Arial" w:cs="Arial" w:hAnsi="Arial"/>
        </w:rPr>
        <w:t xml:space="preserve">e.g., </w:t>
      </w:r>
      <w:r>
        <w:rPr>
          <w:rFonts w:ascii="Arial" w:cs="Arial" w:hAnsi="Arial"/>
        </w:rPr>
        <w:t xml:space="preserve">de </w:t>
      </w:r>
      <w:r>
        <w:rPr>
          <w:rFonts w:ascii="Arial" w:cs="Arial" w:hAnsi="Arial"/>
        </w:rPr>
        <w:t>Haan</w:t>
      </w:r>
      <w:r>
        <w:rPr>
          <w:rFonts w:ascii="Arial" w:cs="Arial" w:hAnsi="Arial"/>
        </w:rPr>
        <w:t xml:space="preserve">, </w:t>
      </w:r>
      <w:r>
        <w:rPr>
          <w:rFonts w:ascii="Arial" w:cs="Arial" w:hAnsi="Arial"/>
        </w:rPr>
        <w:t>Dumontheil</w:t>
      </w:r>
      <w:r>
        <w:rPr>
          <w:rFonts w:ascii="Arial" w:cs="Arial" w:hAnsi="Arial"/>
        </w:rPr>
        <w:t>, &amp; Johnson, 2023; Mohammadi et al., 2024; Nelson, Sullivan, &amp; Engelstad, 2024) supports the view that neurobiological factors shape early cognitive and behavioral trajectories, making neurological assessment an essential first step in understanding developmental disorders and planning intervention.</w:t>
      </w:r>
    </w:p>
    <w:p>
      <w:pPr>
        <w:pStyle w:val="style0"/>
        <w:rPr>
          <w:rFonts w:ascii="Arial" w:cs="Arial" w:hAnsi="Arial"/>
        </w:rPr>
      </w:pPr>
    </w:p>
    <w:p>
      <w:pPr>
        <w:pStyle w:val="style0"/>
        <w:jc w:val="both"/>
        <w:rPr>
          <w:rFonts w:ascii="Arial" w:cs="Arial" w:hAnsi="Arial"/>
        </w:rPr>
      </w:pPr>
      <w:r>
        <w:rPr>
          <w:rFonts w:ascii="Arial" w:cs="Arial" w:hAnsi="Arial"/>
        </w:rPr>
        <w:t>Positioning neurological screening in B1-Biomedical base is also consistent with the hierarchical nature of the original HAS model, where higher-level skills depend on the integrity of lower-level systems</w:t>
      </w:r>
      <w:r>
        <w:rPr>
          <w:rFonts w:ascii="Arial" w:cs="Arial" w:hAnsi="Arial"/>
        </w:rPr>
        <w:t xml:space="preserve"> </w:t>
      </w:r>
      <w:r>
        <w:rPr>
          <w:rFonts w:ascii="Arial" w:cs="Arial" w:hAnsi="Arial"/>
        </w:rPr>
        <w:t>(</w:t>
      </w:r>
      <w:r>
        <w:rPr>
          <w:rFonts w:ascii="Arial" w:cs="Arial" w:hAnsi="Arial"/>
        </w:rPr>
        <w:t xml:space="preserve">e.g., </w:t>
      </w:r>
      <w:r>
        <w:t xml:space="preserve">Blair, </w:t>
      </w:r>
      <w:commentRangeStart w:id="1"/>
      <w:r>
        <w:t>C</w:t>
      </w:r>
      <w:commentRangeEnd w:id="1"/>
      <w:r>
        <w:rPr/>
        <w:commentReference w:id="1"/>
      </w:r>
      <w:r>
        <w:t>., &amp; Ku,</w:t>
      </w:r>
      <w:r>
        <w:t xml:space="preserve"> 2022)</w:t>
      </w:r>
      <w:r>
        <w:rPr>
          <w:rFonts w:ascii="Arial" w:cs="Arial" w:hAnsi="Arial"/>
        </w:rPr>
        <w:t xml:space="preserve">. Neurological functioning influences B2-Sensory integration, B3-Adaptive behavior, B4-Socio-emotional regulation, and B5-Cognitive processes (B5). For instance, abnormalities in neural networks involved in attention, executive </w:t>
      </w:r>
      <w:r>
        <w:rPr>
          <w:rFonts w:ascii="Arial" w:cs="Arial" w:hAnsi="Arial"/>
        </w:rPr>
        <w:t>functioning, or emotional regulation may manifest as learning difficulties or behavioral challenges in school-aged children. Research (e.g., Faraone et al., 2021; Lord et al., 2022) in neurodevelopmental disorders demonstrates that disruptions in brain circuitry are associated with downstream impairments in adaptive functioning, emotional regulation, and academic performance. Therefore, identifying neurological conditions early allows clinicians and educators to interpret difficulties at later levels of the hierarchy within an appropriate biomedical context.</w:t>
      </w:r>
    </w:p>
    <w:p>
      <w:pPr>
        <w:pStyle w:val="style0"/>
        <w:rPr>
          <w:rFonts w:ascii="Arial" w:cs="Arial" w:hAnsi="Arial"/>
        </w:rPr>
      </w:pPr>
    </w:p>
    <w:p>
      <w:pPr>
        <w:pStyle w:val="style0"/>
        <w:jc w:val="both"/>
        <w:rPr>
          <w:rFonts w:ascii="Arial" w:cs="Arial" w:hAnsi="Arial"/>
        </w:rPr>
      </w:pPr>
      <w:r>
        <w:rPr>
          <w:rFonts w:ascii="Arial" w:cs="Arial" w:hAnsi="Arial"/>
        </w:rPr>
        <w:t xml:space="preserve">Furthermore, neurological screening within B1-Biomedical base supports early detection and targeted intervention. This has been widely recognized as a critical factor in improving developmental outcomes. Pediatric clinical guidelines emphasize that early neurodevelopmental screening enables professionals to detect atypical brain development and initiate therapies before secondary difficulties emerge in sensory processing, social interaction, or learning (Zablotsky et al., 2023). By situating neurological screening at the foundational level of the </w:t>
      </w:r>
      <w:r>
        <w:rPr>
          <w:rFonts w:ascii="Arial" w:cs="Arial" w:hAnsi="Arial"/>
        </w:rPr>
        <w:t>IP</w:t>
      </w:r>
      <w:r>
        <w:rPr>
          <w:rFonts w:ascii="Arial" w:cs="Arial" w:hAnsi="Arial"/>
        </w:rPr>
        <w:t>E</w:t>
      </w:r>
      <w:r>
        <w:rPr>
          <w:rFonts w:ascii="Arial" w:cs="Arial" w:hAnsi="Arial"/>
        </w:rPr>
        <w:t>T</w:t>
      </w:r>
      <w:r>
        <w:rPr>
          <w:rFonts w:ascii="Arial" w:cs="Arial" w:hAnsi="Arial"/>
        </w:rPr>
        <w:t xml:space="preserve"> model, practitioners can integrate medical diagnostics with educational and therapeutic planning. This approach ensures that interventions at higher blocks (e.g., neurocognitive training) are informed by the child’s neurological profile.</w:t>
      </w:r>
    </w:p>
    <w:p>
      <w:pPr>
        <w:pStyle w:val="style0"/>
        <w:rPr>
          <w:rFonts w:ascii="Arial" w:cs="Arial" w:hAnsi="Arial"/>
        </w:rPr>
      </w:pPr>
    </w:p>
    <w:p>
      <w:pPr>
        <w:pStyle w:val="style0"/>
        <w:jc w:val="both"/>
        <w:rPr>
          <w:rFonts w:ascii="Arial" w:cs="Arial" w:hAnsi="Arial"/>
        </w:rPr>
      </w:pPr>
      <w:r>
        <w:rPr>
          <w:rFonts w:ascii="Arial" w:cs="Arial" w:hAnsi="Arial"/>
        </w:rPr>
        <w:t xml:space="preserve">In summary, neurological screening belongs in Block 1 (B1) of the </w:t>
      </w:r>
      <w:r>
        <w:rPr>
          <w:rFonts w:ascii="Arial" w:cs="Arial" w:hAnsi="Arial"/>
        </w:rPr>
        <w:t>IP</w:t>
      </w:r>
      <w:r>
        <w:rPr>
          <w:rFonts w:ascii="Arial" w:cs="Arial" w:hAnsi="Arial"/>
        </w:rPr>
        <w:t>E</w:t>
      </w:r>
      <w:r>
        <w:rPr>
          <w:rFonts w:ascii="Arial" w:cs="Arial" w:hAnsi="Arial"/>
        </w:rPr>
        <w:t>T</w:t>
      </w:r>
      <w:r>
        <w:rPr>
          <w:rFonts w:ascii="Arial" w:cs="Arial" w:hAnsi="Arial"/>
        </w:rPr>
        <w:t xml:space="preserve"> model because it evaluates the biological and neurodevelopmental foundations of learning and behavior. As the neurological functioning underlies the development of sensory, adaptive, emotional, and cognitive abilities and skills, assessing it at the foundational stage allows for a more accurate interpretation of a child’s abilities and needs across the hierarchy of different levels/domains. Integrating the neurological screening within B1-Biomedical base certainly aligns with contemporary neurodevelopmental research emphasizing the central role of brain-based factors in shaping developmental outcomes and guiding effective early intervention (Goldberg, 2022).</w:t>
      </w:r>
    </w:p>
    <w:p>
      <w:pPr>
        <w:pStyle w:val="style0"/>
        <w:rPr>
          <w:rFonts w:ascii="Arial" w:cs="Arial" w:hAnsi="Arial"/>
        </w:rPr>
      </w:pPr>
    </w:p>
    <w:p>
      <w:pPr>
        <w:pStyle w:val="style179"/>
        <w:numPr>
          <w:ilvl w:val="1"/>
          <w:numId w:val="34"/>
        </w:numPr>
        <w:rPr>
          <w:rFonts w:ascii="Arial" w:cs="Arial" w:hAnsi="Arial"/>
          <w:b/>
          <w:bCs/>
          <w:sz w:val="22"/>
          <w:szCs w:val="22"/>
        </w:rPr>
      </w:pPr>
      <w:r>
        <w:rPr>
          <w:rFonts w:ascii="Arial" w:cs="Arial" w:hAnsi="Arial"/>
          <w:b/>
          <w:bCs/>
          <w:sz w:val="22"/>
          <w:szCs w:val="22"/>
        </w:rPr>
        <w:t>Implications</w:t>
      </w:r>
      <w:r>
        <w:rPr>
          <w:rFonts w:ascii="Arial" w:cs="Arial" w:hAnsi="Arial"/>
          <w:b/>
          <w:bCs/>
          <w:sz w:val="22"/>
          <w:szCs w:val="22"/>
        </w:rPr>
        <w:t xml:space="preserve"> of the IP</w:t>
      </w:r>
      <w:r>
        <w:rPr>
          <w:rFonts w:ascii="Arial" w:cs="Arial" w:hAnsi="Arial"/>
          <w:b/>
          <w:bCs/>
          <w:sz w:val="22"/>
          <w:szCs w:val="22"/>
        </w:rPr>
        <w:t>E</w:t>
      </w:r>
      <w:r>
        <w:rPr>
          <w:rFonts w:ascii="Arial" w:cs="Arial" w:hAnsi="Arial"/>
          <w:b/>
          <w:bCs/>
          <w:sz w:val="22"/>
          <w:szCs w:val="22"/>
        </w:rPr>
        <w:t>T Model</w:t>
      </w:r>
      <w:r>
        <w:rPr>
          <w:rFonts w:ascii="Arial" w:cs="Arial" w:hAnsi="Arial"/>
          <w:b/>
          <w:bCs/>
          <w:sz w:val="22"/>
          <w:szCs w:val="22"/>
        </w:rPr>
        <w:t xml:space="preserve"> for Pediatric Practice</w:t>
      </w:r>
    </w:p>
    <w:p>
      <w:pPr>
        <w:pStyle w:val="style0"/>
        <w:rPr>
          <w:rFonts w:ascii="Arial" w:cs="Arial" w:hAnsi="Arial"/>
        </w:rPr>
      </w:pPr>
    </w:p>
    <w:p>
      <w:pPr>
        <w:pStyle w:val="style0"/>
        <w:jc w:val="both"/>
        <w:rPr>
          <w:rFonts w:ascii="Arial" w:cs="Arial" w:hAnsi="Arial"/>
        </w:rPr>
      </w:pPr>
      <w:r>
        <w:rPr>
          <w:rFonts w:ascii="Arial" w:cs="Arial" w:hAnsi="Arial"/>
        </w:rPr>
        <w:t>The IP</w:t>
      </w:r>
      <w:r>
        <w:rPr>
          <w:rFonts w:ascii="Arial" w:cs="Arial" w:hAnsi="Arial"/>
        </w:rPr>
        <w:t>E</w:t>
      </w:r>
      <w:r>
        <w:rPr>
          <w:rFonts w:ascii="Arial" w:cs="Arial" w:hAnsi="Arial"/>
        </w:rPr>
        <w:t xml:space="preserve">T model has several practical implications for pediatric assessment and intervention. First, it encourages clinical assessors and </w:t>
      </w:r>
      <w:r>
        <w:rPr>
          <w:rFonts w:ascii="Arial" w:cs="Arial" w:hAnsi="Arial"/>
        </w:rPr>
        <w:t xml:space="preserve">educational </w:t>
      </w:r>
      <w:r>
        <w:rPr>
          <w:rFonts w:ascii="Arial" w:cs="Arial" w:hAnsi="Arial"/>
        </w:rPr>
        <w:t>therapists to adopt a systematic bottom-up approach in evaluating developmental difficulties, beginning with B1-Biomedical and neurological foundations before progressing to higher-level B5-Cognitive processes and B6-Metacognitive processes. Such an approach can assist practitioners identify underlying causes of learning and behavioral difficulties rather than focusing solely on observable symptoms. Second, the IP</w:t>
      </w:r>
      <w:r>
        <w:rPr>
          <w:rFonts w:ascii="Arial" w:cs="Arial" w:hAnsi="Arial"/>
        </w:rPr>
        <w:t>E</w:t>
      </w:r>
      <w:r>
        <w:rPr>
          <w:rFonts w:ascii="Arial" w:cs="Arial" w:hAnsi="Arial"/>
        </w:rPr>
        <w:t>T model promotes inter- or multi-disciplinary collaboration among pediatricians, neurologists, psychologists, and allied therapists (e.g., educational therapists, occupational therapists, and speech-language therapists) operating as a well-coordinated team. By providing a shared hierarchical model of development, the IP</w:t>
      </w:r>
      <w:r>
        <w:rPr>
          <w:rFonts w:ascii="Arial" w:cs="Arial" w:hAnsi="Arial"/>
        </w:rPr>
        <w:t>E</w:t>
      </w:r>
      <w:r>
        <w:rPr>
          <w:rFonts w:ascii="Arial" w:cs="Arial" w:hAnsi="Arial"/>
        </w:rPr>
        <w:t>T framework helps to facilitate coordinated intervention planning and communication across different professional domains. Third, the IP</w:t>
      </w:r>
      <w:r>
        <w:rPr>
          <w:rFonts w:ascii="Arial" w:cs="Arial" w:hAnsi="Arial"/>
        </w:rPr>
        <w:t>E</w:t>
      </w:r>
      <w:r>
        <w:rPr>
          <w:rFonts w:ascii="Arial" w:cs="Arial" w:hAnsi="Arial"/>
        </w:rPr>
        <w:t>T model highlights the importance of early neurological and sensory screening, in order to guide targeted intervention planning, and potentially to prevent cascading developmental challenges. In clinical settings, the IP</w:t>
      </w:r>
      <w:r>
        <w:rPr>
          <w:rFonts w:ascii="Arial" w:cs="Arial" w:hAnsi="Arial"/>
        </w:rPr>
        <w:t>E</w:t>
      </w:r>
      <w:r>
        <w:rPr>
          <w:rFonts w:ascii="Arial" w:cs="Arial" w:hAnsi="Arial"/>
        </w:rPr>
        <w:t>T model can thus serve as a useful practical guide for organizing assessment data, prioritizing therapeutic goals, and monitoring developmental progress.</w:t>
      </w:r>
    </w:p>
    <w:p>
      <w:pPr>
        <w:pStyle w:val="style0"/>
        <w:rPr>
          <w:rFonts w:ascii="Arial" w:cs="Arial" w:hAnsi="Arial"/>
        </w:rPr>
      </w:pPr>
    </w:p>
    <w:p>
      <w:pPr>
        <w:pStyle w:val="style179"/>
        <w:numPr>
          <w:ilvl w:val="1"/>
          <w:numId w:val="34"/>
        </w:numPr>
        <w:rPr>
          <w:rFonts w:ascii="Arial" w:cs="Arial" w:hAnsi="Arial"/>
          <w:b/>
          <w:bCs/>
          <w:sz w:val="22"/>
          <w:szCs w:val="22"/>
        </w:rPr>
      </w:pPr>
      <w:r>
        <w:rPr>
          <w:rFonts w:ascii="Arial" w:cs="Arial" w:hAnsi="Arial"/>
          <w:b/>
          <w:bCs/>
          <w:sz w:val="22"/>
          <w:szCs w:val="22"/>
        </w:rPr>
        <w:t>Limitations of the IP</w:t>
      </w:r>
      <w:r>
        <w:rPr>
          <w:rFonts w:ascii="Arial" w:cs="Arial" w:hAnsi="Arial"/>
          <w:b/>
          <w:bCs/>
          <w:sz w:val="22"/>
          <w:szCs w:val="22"/>
        </w:rPr>
        <w:t>E</w:t>
      </w:r>
      <w:r>
        <w:rPr>
          <w:rFonts w:ascii="Arial" w:cs="Arial" w:hAnsi="Arial"/>
          <w:b/>
          <w:bCs/>
          <w:sz w:val="22"/>
          <w:szCs w:val="22"/>
        </w:rPr>
        <w:t>T Model</w:t>
      </w:r>
    </w:p>
    <w:p>
      <w:pPr>
        <w:pStyle w:val="style0"/>
        <w:rPr>
          <w:rFonts w:ascii="Arial" w:cs="Arial" w:hAnsi="Arial"/>
          <w:sz w:val="22"/>
          <w:szCs w:val="22"/>
        </w:rPr>
      </w:pPr>
    </w:p>
    <w:p>
      <w:pPr>
        <w:pStyle w:val="style0"/>
        <w:jc w:val="both"/>
        <w:rPr>
          <w:rFonts w:ascii="Arial" w:cs="Arial" w:hAnsi="Arial"/>
        </w:rPr>
      </w:pPr>
      <w:r>
        <w:rPr>
          <w:rFonts w:ascii="Arial" w:cs="Arial" w:hAnsi="Arial"/>
        </w:rPr>
        <w:t>Despite its potential to provide a comprehensive framework for pediatric therapeutic assessment and intervention, the authors have also acknowledged the limitations of the IP</w:t>
      </w:r>
      <w:r>
        <w:rPr>
          <w:rFonts w:ascii="Arial" w:cs="Arial" w:hAnsi="Arial"/>
        </w:rPr>
        <w:t>E</w:t>
      </w:r>
      <w:r>
        <w:rPr>
          <w:rFonts w:ascii="Arial" w:cs="Arial" w:hAnsi="Arial"/>
        </w:rPr>
        <w:t>T model. Recognizing these limitations is important for guiding future refinement of the framework and informing empirical research that may validate its clinical applicability.</w:t>
      </w:r>
    </w:p>
    <w:p>
      <w:pPr>
        <w:pStyle w:val="style0"/>
        <w:rPr>
          <w:rFonts w:ascii="Arial" w:cs="Arial" w:hAnsi="Arial"/>
        </w:rPr>
      </w:pPr>
    </w:p>
    <w:p>
      <w:pPr>
        <w:pStyle w:val="style0"/>
        <w:jc w:val="both"/>
        <w:rPr>
          <w:rFonts w:ascii="Arial" w:cs="Arial" w:hAnsi="Arial"/>
        </w:rPr>
      </w:pPr>
      <w:r>
        <w:rPr>
          <w:rFonts w:ascii="Arial" w:cs="Arial" w:hAnsi="Arial"/>
        </w:rPr>
        <w:t>First, the IP</w:t>
      </w:r>
      <w:r>
        <w:rPr>
          <w:rFonts w:ascii="Arial" w:cs="Arial" w:hAnsi="Arial"/>
        </w:rPr>
        <w:t>E</w:t>
      </w:r>
      <w:r>
        <w:rPr>
          <w:rFonts w:ascii="Arial" w:cs="Arial" w:hAnsi="Arial"/>
        </w:rPr>
        <w:t xml:space="preserve">T model is primarily conceptual and theoretical in nature, and it has not yet been empirically validated through systematic clinical studies. Although the framework draws on recent interdisciplinary research in neurodevelopment, sensory integration, adaptive functioning, and metacognitive learning, the hierarchical relationships proposed within the model remain largely theoretical. Conceptual models in developmental science (Johnson, Jones, &amp; Gliga, 2015; Ram &amp; </w:t>
      </w:r>
      <w:r>
        <w:rPr>
          <w:rFonts w:ascii="Arial" w:cs="Arial" w:hAnsi="Arial"/>
        </w:rPr>
        <w:t>Gerstorf</w:t>
      </w:r>
      <w:r>
        <w:rPr>
          <w:rFonts w:ascii="Arial" w:cs="Arial" w:hAnsi="Arial"/>
        </w:rPr>
        <w:t>, 2009; Thapar, Cooper, &amp; Rutter, 2017) often require empirical testing through longitudinal and intervention-based research to determine their practical effectiveness and predictive validity. The authors are acutely aware, and their future studies include investigation into whether pediatric interventions guided by the IP</w:t>
      </w:r>
      <w:r>
        <w:rPr>
          <w:rFonts w:ascii="Arial" w:cs="Arial" w:hAnsi="Arial"/>
        </w:rPr>
        <w:t>E</w:t>
      </w:r>
      <w:r>
        <w:rPr>
          <w:rFonts w:ascii="Arial" w:cs="Arial" w:hAnsi="Arial"/>
        </w:rPr>
        <w:t>T framework produce improved developmental outcomes compared with existing multidisciplinary assessment models.</w:t>
      </w:r>
    </w:p>
    <w:p>
      <w:pPr>
        <w:pStyle w:val="style0"/>
        <w:rPr>
          <w:rFonts w:ascii="Arial" w:cs="Arial" w:hAnsi="Arial"/>
        </w:rPr>
      </w:pPr>
    </w:p>
    <w:p>
      <w:pPr>
        <w:pStyle w:val="style0"/>
        <w:jc w:val="both"/>
        <w:rPr>
          <w:rFonts w:ascii="Arial" w:cs="Arial" w:hAnsi="Arial"/>
        </w:rPr>
      </w:pPr>
      <w:r>
        <w:rPr>
          <w:rFonts w:ascii="Arial" w:cs="Arial" w:hAnsi="Arial"/>
        </w:rPr>
        <w:t>Second, although the IP</w:t>
      </w:r>
      <w:r>
        <w:rPr>
          <w:rFonts w:ascii="Arial" w:cs="Arial" w:hAnsi="Arial"/>
        </w:rPr>
        <w:t>E</w:t>
      </w:r>
      <w:r>
        <w:rPr>
          <w:rFonts w:ascii="Arial" w:cs="Arial" w:hAnsi="Arial"/>
        </w:rPr>
        <w:t>T model has helped to organize development into a hierarchical progression from B1-Biomedical foundations to B6-Metacognitive regulation, child development is generally considered  as dynamic, interactive, and non-linear. Developmental domains mentioned in the IP</w:t>
      </w:r>
      <w:r>
        <w:rPr>
          <w:rFonts w:ascii="Arial" w:cs="Arial" w:hAnsi="Arial"/>
        </w:rPr>
        <w:t>E</w:t>
      </w:r>
      <w:r>
        <w:rPr>
          <w:rFonts w:ascii="Arial" w:cs="Arial" w:hAnsi="Arial"/>
        </w:rPr>
        <w:t>T model frequently influence each other reciprocally rather than strictly following a sequential pathway. For example, B4-Socio-emotional (affective) development can influence B5-Cognitive engagement and learning motivation, while cognitive processes (e.g., attention and executive functioning) may simultaneously shape emotional regulation and social behavior. Contemporary developmental neuroscience emphasizes that brain development and learning occur through complex interactions among biological, environmental, and experiential factors (Goldberg, 2022; Leisman, 2022;  Mohammadi et al., 2024;). While the IP</w:t>
      </w:r>
      <w:r>
        <w:rPr>
          <w:rFonts w:ascii="Arial" w:cs="Arial" w:hAnsi="Arial"/>
        </w:rPr>
        <w:t>E</w:t>
      </w:r>
      <w:r>
        <w:rPr>
          <w:rFonts w:ascii="Arial" w:cs="Arial" w:hAnsi="Arial"/>
        </w:rPr>
        <w:t>T model incorporates feedback loops to reflect these interactions, the hierarchical structure may still oversimplify the multidirectional nature of developmental processes.</w:t>
      </w:r>
    </w:p>
    <w:p>
      <w:pPr>
        <w:pStyle w:val="style0"/>
        <w:rPr>
          <w:rFonts w:ascii="Arial" w:cs="Arial" w:hAnsi="Arial"/>
        </w:rPr>
      </w:pPr>
    </w:p>
    <w:p>
      <w:pPr>
        <w:pStyle w:val="style0"/>
        <w:jc w:val="both"/>
        <w:rPr>
          <w:rFonts w:ascii="Arial" w:cs="Arial" w:hAnsi="Arial"/>
        </w:rPr>
      </w:pPr>
      <w:r>
        <w:rPr>
          <w:rFonts w:ascii="Arial" w:cs="Arial" w:hAnsi="Arial"/>
        </w:rPr>
        <w:t>Third, the effective implementation of the IP</w:t>
      </w:r>
      <w:r>
        <w:rPr>
          <w:rFonts w:ascii="Arial" w:cs="Arial" w:hAnsi="Arial"/>
        </w:rPr>
        <w:t>E</w:t>
      </w:r>
      <w:r>
        <w:rPr>
          <w:rFonts w:ascii="Arial" w:cs="Arial" w:hAnsi="Arial"/>
        </w:rPr>
        <w:t xml:space="preserve">T framework depends significantly on interdisciplinary collaboration among the different professionals (e.g., educational therapists, neurologists, occupational therapists, pediatricians, psychologists, and speech-language therapists). However, to achieve such a level of integrated collaboration can be very challenging in many healthcare and medico-educational systems, especially when considering the institutional barriers, differences in professional training, or limitations in resources. </w:t>
      </w:r>
      <w:commentRangeStart w:id="2"/>
      <w:r>
        <w:rPr>
          <w:rFonts w:ascii="Arial" w:cs="Arial" w:hAnsi="Arial"/>
        </w:rPr>
        <w:t>Research (e.g., Faraone et al., 2021; Kuruvilla, Rajan, &amp; Joseph,  2024; Lord et al., 2022) on multidisciplinary care services for children with neurodevelopmental conditions highlights that fragmented services remain a common challenge in pediatric healthcare systems worldwide. Therefore, it is not surprising if the practical application of the IP</w:t>
      </w:r>
      <w:r>
        <w:rPr>
          <w:rFonts w:ascii="Arial" w:cs="Arial" w:hAnsi="Arial"/>
        </w:rPr>
        <w:t>E</w:t>
      </w:r>
      <w:r>
        <w:rPr>
          <w:rFonts w:ascii="Arial" w:cs="Arial" w:hAnsi="Arial"/>
        </w:rPr>
        <w:t>T model varies across contexts, depending on the availability of integrated services and collaborative care structures.</w:t>
      </w:r>
    </w:p>
    <w:commentRangeEnd w:id="2"/>
    <w:p>
      <w:pPr>
        <w:pStyle w:val="style0"/>
        <w:rPr>
          <w:rFonts w:ascii="Arial" w:cs="Arial" w:hAnsi="Arial"/>
        </w:rPr>
      </w:pPr>
      <w:r>
        <w:rPr/>
        <w:commentReference w:id="2"/>
      </w:r>
    </w:p>
    <w:p>
      <w:pPr>
        <w:pStyle w:val="style0"/>
        <w:jc w:val="both"/>
        <w:rPr>
          <w:rFonts w:ascii="Arial" w:cs="Arial" w:hAnsi="Arial"/>
        </w:rPr>
      </w:pPr>
      <w:r>
        <w:rPr>
          <w:rFonts w:ascii="Arial" w:cs="Arial" w:hAnsi="Arial"/>
        </w:rPr>
        <w:t>Fourth, the present formulation of the IP</w:t>
      </w:r>
      <w:r>
        <w:rPr>
          <w:rFonts w:ascii="Arial" w:cs="Arial" w:hAnsi="Arial"/>
        </w:rPr>
        <w:t>E</w:t>
      </w:r>
      <w:r>
        <w:rPr>
          <w:rFonts w:ascii="Arial" w:cs="Arial" w:hAnsi="Arial"/>
        </w:rPr>
        <w:t xml:space="preserve">T model has not yet specified the standardized assessment tools or operational protocols </w:t>
      </w:r>
      <w:r>
        <w:rPr>
          <w:rFonts w:ascii="Arial" w:cs="Arial" w:hAnsi="Arial"/>
        </w:rPr>
        <w:t xml:space="preserve">based on respondent experience </w:t>
      </w:r>
      <w:r>
        <w:rPr>
          <w:rFonts w:ascii="Arial" w:cs="Arial" w:hAnsi="Arial"/>
        </w:rPr>
        <w:t>(</w:t>
      </w:r>
      <w:r>
        <w:rPr>
          <w:rFonts w:ascii="Arial" w:cs="Arial" w:hAnsi="Arial"/>
        </w:rPr>
        <w:t xml:space="preserve">RX; </w:t>
      </w:r>
      <w:r>
        <w:rPr>
          <w:rFonts w:ascii="Arial" w:cs="Arial" w:hAnsi="Arial"/>
        </w:rPr>
        <w:t xml:space="preserve">e.g., </w:t>
      </w:r>
      <w:r>
        <w:t>Deltomme</w:t>
      </w:r>
      <w:r>
        <w:t xml:space="preserve">, </w:t>
      </w:r>
      <w:r>
        <w:t>Gorissen</w:t>
      </w:r>
      <w:r>
        <w:t>,</w:t>
      </w:r>
      <w:r>
        <w:t xml:space="preserve"> </w:t>
      </w:r>
      <w:r>
        <w:t xml:space="preserve">&amp; </w:t>
      </w:r>
      <w:r>
        <w:t>Weijters</w:t>
      </w:r>
      <w:r>
        <w:t xml:space="preserve">, </w:t>
      </w:r>
      <w:r>
        <w:t>2023</w:t>
      </w:r>
      <w:r>
        <w:t>; Deng et al., 2026</w:t>
      </w:r>
      <w:r>
        <w:t xml:space="preserve">) </w:t>
      </w:r>
      <w:r>
        <w:rPr>
          <w:rFonts w:ascii="Arial" w:cs="Arial" w:hAnsi="Arial"/>
        </w:rPr>
        <w:t xml:space="preserve">for evaluating each of the six developmental domains within the hierarchy. While the framework identifies key domains of functioning, clinical assessors and </w:t>
      </w:r>
      <w:r>
        <w:rPr>
          <w:rFonts w:ascii="Arial" w:cs="Arial" w:hAnsi="Arial"/>
        </w:rPr>
        <w:t xml:space="preserve">educational </w:t>
      </w:r>
      <w:r>
        <w:rPr>
          <w:rFonts w:ascii="Arial" w:cs="Arial" w:hAnsi="Arial"/>
        </w:rPr>
        <w:t>therapists must continue to rely on existing assessment instruments and professional judgment to evaluate these areas. The absence of standardized guidelines may result in variability in how the IP</w:t>
      </w:r>
      <w:r>
        <w:rPr>
          <w:rFonts w:ascii="Arial" w:cs="Arial" w:hAnsi="Arial"/>
        </w:rPr>
        <w:t>E</w:t>
      </w:r>
      <w:r>
        <w:rPr>
          <w:rFonts w:ascii="Arial" w:cs="Arial" w:hAnsi="Arial"/>
        </w:rPr>
        <w:t>T model is applied across different clinical or medico-educational settings.</w:t>
      </w:r>
    </w:p>
    <w:p>
      <w:pPr>
        <w:pStyle w:val="style0"/>
        <w:rPr>
          <w:rFonts w:ascii="Arial" w:cs="Arial" w:hAnsi="Arial"/>
        </w:rPr>
      </w:pPr>
    </w:p>
    <w:p>
      <w:pPr>
        <w:pStyle w:val="style179"/>
        <w:numPr>
          <w:ilvl w:val="1"/>
          <w:numId w:val="34"/>
        </w:numPr>
        <w:rPr>
          <w:rFonts w:ascii="Arial" w:cs="Arial" w:hAnsi="Arial"/>
          <w:b/>
          <w:bCs/>
          <w:sz w:val="22"/>
          <w:szCs w:val="22"/>
        </w:rPr>
      </w:pPr>
      <w:r>
        <w:rPr>
          <w:rFonts w:ascii="Arial" w:cs="Arial" w:hAnsi="Arial"/>
          <w:b/>
          <w:bCs/>
          <w:sz w:val="22"/>
          <w:szCs w:val="22"/>
        </w:rPr>
        <w:t>Future Research Directions</w:t>
      </w:r>
    </w:p>
    <w:p>
      <w:pPr>
        <w:pStyle w:val="style0"/>
        <w:rPr>
          <w:rFonts w:ascii="Arial" w:cs="Arial" w:hAnsi="Arial"/>
        </w:rPr>
      </w:pPr>
    </w:p>
    <w:p>
      <w:pPr>
        <w:pStyle w:val="style0"/>
        <w:jc w:val="both"/>
        <w:rPr>
          <w:rFonts w:ascii="Arial" w:cs="Arial" w:hAnsi="Arial"/>
        </w:rPr>
      </w:pPr>
      <w:r>
        <w:rPr>
          <w:rFonts w:ascii="Arial" w:cs="Arial" w:hAnsi="Arial"/>
        </w:rPr>
        <w:t>Although the IP</w:t>
      </w:r>
      <w:r>
        <w:rPr>
          <w:rFonts w:ascii="Arial" w:cs="Arial" w:hAnsi="Arial"/>
        </w:rPr>
        <w:t>E</w:t>
      </w:r>
      <w:r>
        <w:rPr>
          <w:rFonts w:ascii="Arial" w:cs="Arial" w:hAnsi="Arial"/>
        </w:rPr>
        <w:t>T model offers a theoretically grounded framework for pediatric</w:t>
      </w:r>
      <w:r>
        <w:rPr>
          <w:rFonts w:ascii="Arial" w:cs="Arial" w:hAnsi="Arial"/>
        </w:rPr>
        <w:t xml:space="preserve"> and educational</w:t>
      </w:r>
      <w:r>
        <w:rPr>
          <w:rFonts w:ascii="Arial" w:cs="Arial" w:hAnsi="Arial"/>
        </w:rPr>
        <w:t xml:space="preserve"> therapeutic practice, further empirical research is necessary to evaluate its effectiveness and practical implementation. Future studies need to examine the clinical validity </w:t>
      </w:r>
      <w:r>
        <w:rPr>
          <w:rFonts w:ascii="Arial" w:cs="Arial" w:hAnsi="Arial"/>
        </w:rPr>
        <w:t>of the model by investigating whether interventions guided by the IP</w:t>
      </w:r>
      <w:r>
        <w:rPr>
          <w:rFonts w:ascii="Arial" w:cs="Arial" w:hAnsi="Arial"/>
        </w:rPr>
        <w:t>E</w:t>
      </w:r>
      <w:r>
        <w:rPr>
          <w:rFonts w:ascii="Arial" w:cs="Arial" w:hAnsi="Arial"/>
        </w:rPr>
        <w:t>T framework leads to improved developmental outcomes compared with conventional assessment approaches. Moreover, longitudinal research is also required to explore how developmental changes across the six hierarchical domains interact over time and how early interventions at foundational levels influence later cognitive and socio-emotional functioning. Additionally, future research should also develop standardized assessment protocols or clinical guidelines aligned with the IP</w:t>
      </w:r>
      <w:r>
        <w:rPr>
          <w:rFonts w:ascii="Arial" w:cs="Arial" w:hAnsi="Arial"/>
        </w:rPr>
        <w:t>E</w:t>
      </w:r>
      <w:r>
        <w:rPr>
          <w:rFonts w:ascii="Arial" w:cs="Arial" w:hAnsi="Arial"/>
        </w:rPr>
        <w:t>T model to support its application in pediatric healthcare, rehabilitation, and educational therapy settings. Transdisciplinary studies involving healthcare professionals, educators, and psychologists as well as clients and their primary caregivers could further strengthen the applicability of the IP</w:t>
      </w:r>
      <w:r>
        <w:rPr>
          <w:rFonts w:ascii="Arial" w:cs="Arial" w:hAnsi="Arial"/>
        </w:rPr>
        <w:t>E</w:t>
      </w:r>
      <w:r>
        <w:rPr>
          <w:rFonts w:ascii="Arial" w:cs="Arial" w:hAnsi="Arial"/>
        </w:rPr>
        <w:t>T model, and contribute to the development of better integrated care systems for children with special needs or neurodevelopmental conditions.</w:t>
      </w:r>
    </w:p>
    <w:p>
      <w:pPr>
        <w:pStyle w:val="style0"/>
        <w:rPr>
          <w:rFonts w:ascii="Arial" w:cs="Arial" w:hAnsi="Arial"/>
          <w:b/>
          <w:bCs/>
        </w:rPr>
      </w:pPr>
    </w:p>
    <w:p>
      <w:pPr>
        <w:pStyle w:val="style179"/>
        <w:numPr>
          <w:ilvl w:val="0"/>
          <w:numId w:val="34"/>
        </w:numPr>
        <w:rPr>
          <w:rFonts w:ascii="Arial" w:cs="Arial" w:hAnsi="Arial"/>
          <w:b/>
          <w:bCs/>
          <w:sz w:val="22"/>
          <w:szCs w:val="22"/>
        </w:rPr>
      </w:pPr>
      <w:r>
        <w:rPr>
          <w:rFonts w:ascii="Arial" w:cs="Arial" w:hAnsi="Arial"/>
          <w:b/>
          <w:bCs/>
          <w:sz w:val="22"/>
          <w:szCs w:val="22"/>
        </w:rPr>
        <w:t>CONCLUSION</w:t>
      </w:r>
    </w:p>
    <w:p>
      <w:pPr>
        <w:pStyle w:val="style0"/>
        <w:rPr>
          <w:rFonts w:ascii="Arial" w:cs="Arial" w:hAnsi="Arial"/>
        </w:rPr>
      </w:pPr>
    </w:p>
    <w:p>
      <w:pPr>
        <w:pStyle w:val="style0"/>
        <w:jc w:val="both"/>
        <w:rPr>
          <w:rFonts w:ascii="Arial" w:cs="Arial" w:hAnsi="Arial"/>
        </w:rPr>
      </w:pPr>
      <w:r>
        <w:rPr>
          <w:rFonts w:ascii="Arial" w:cs="Arial" w:hAnsi="Arial"/>
        </w:rPr>
        <w:t>The IP</w:t>
      </w:r>
      <w:r>
        <w:rPr>
          <w:rFonts w:ascii="Arial" w:cs="Arial" w:hAnsi="Arial"/>
        </w:rPr>
        <w:t>E</w:t>
      </w:r>
      <w:r>
        <w:rPr>
          <w:rFonts w:ascii="Arial" w:cs="Arial" w:hAnsi="Arial"/>
        </w:rPr>
        <w:t>T model provides a comprehensive framework for better understanding and proper addressing of the multidimensional nature of child development within pediatric therapeutic contexts. By extending the HAS model into pediatric healthcare, the IP</w:t>
      </w:r>
      <w:r>
        <w:rPr>
          <w:rFonts w:ascii="Arial" w:cs="Arial" w:hAnsi="Arial"/>
        </w:rPr>
        <w:t>E</w:t>
      </w:r>
      <w:r>
        <w:rPr>
          <w:rFonts w:ascii="Arial" w:cs="Arial" w:hAnsi="Arial"/>
        </w:rPr>
        <w:t xml:space="preserve">T framework organizes assessment and treatment across six interconnected domains, beginning with B1-Biomedical foundations and progressing toward B6-Metacognitive self-regulation. This hierarchical structure reflects current developmental science (Blair &amp; Ku, 2022; Stodden et al., 2023; Wei et al., 2024), which emphasizes that higher-level cognitive and behavioral outcomes are closely linked to foundational biological, sensory, and adaptive processes. </w:t>
      </w:r>
    </w:p>
    <w:p>
      <w:pPr>
        <w:pStyle w:val="style0"/>
        <w:rPr>
          <w:rFonts w:ascii="Arial" w:cs="Arial" w:hAnsi="Arial"/>
        </w:rPr>
      </w:pPr>
    </w:p>
    <w:p>
      <w:pPr>
        <w:pStyle w:val="style0"/>
        <w:jc w:val="both"/>
        <w:rPr>
          <w:rFonts w:ascii="Arial" w:cs="Arial" w:hAnsi="Arial"/>
        </w:rPr>
      </w:pPr>
      <w:r>
        <w:rPr>
          <w:rFonts w:ascii="Arial" w:cs="Arial" w:hAnsi="Arial"/>
        </w:rPr>
        <w:t>One major strength of the IP</w:t>
      </w:r>
      <w:r>
        <w:rPr>
          <w:rFonts w:ascii="Arial" w:cs="Arial" w:hAnsi="Arial"/>
        </w:rPr>
        <w:t>E</w:t>
      </w:r>
      <w:r>
        <w:rPr>
          <w:rFonts w:ascii="Arial" w:cs="Arial" w:hAnsi="Arial"/>
        </w:rPr>
        <w:t xml:space="preserve">T model lies in its emphasis on interdisciplinary collaboration. For instance, children with neurodevelopmental conditions often require coordinated care from a multidisciplinary team of medical, </w:t>
      </w:r>
      <w:r>
        <w:rPr>
          <w:rFonts w:ascii="Arial" w:cs="Arial" w:hAnsi="Arial"/>
        </w:rPr>
        <w:t xml:space="preserve">neurological, </w:t>
      </w:r>
      <w:r>
        <w:rPr>
          <w:rFonts w:ascii="Arial" w:cs="Arial" w:hAnsi="Arial"/>
        </w:rPr>
        <w:t>psychological, and educational professionals. The hierarchical framework of IP</w:t>
      </w:r>
      <w:r>
        <w:rPr>
          <w:rFonts w:ascii="Arial" w:cs="Arial" w:hAnsi="Arial"/>
        </w:rPr>
        <w:t>E</w:t>
      </w:r>
      <w:r>
        <w:rPr>
          <w:rFonts w:ascii="Arial" w:cs="Arial" w:hAnsi="Arial"/>
        </w:rPr>
        <w:t>T provides a shared conceptual structure for integrating these perspectives. Early identification of neurological-developmental conditions through biomedical and neurological screening enables clinical assessors and</w:t>
      </w:r>
      <w:r>
        <w:rPr>
          <w:rFonts w:ascii="Arial" w:cs="Arial" w:hAnsi="Arial"/>
        </w:rPr>
        <w:t xml:space="preserve"> educational</w:t>
      </w:r>
      <w:r>
        <w:rPr>
          <w:rFonts w:ascii="Arial" w:cs="Arial" w:hAnsi="Arial"/>
        </w:rPr>
        <w:t xml:space="preserve"> therapists to design targeted intervention plans to address the difficulties in sensory processing, adaptive functioning, and socio-emotional regulation before they escalate into more complex cognitive or academic challenges (Faraone et al., 2021; </w:t>
      </w:r>
      <w:r>
        <w:rPr>
          <w:rFonts w:ascii="Arial" w:cs="Arial" w:hAnsi="Arial"/>
        </w:rPr>
        <w:t>Zablotsky</w:t>
      </w:r>
      <w:r>
        <w:rPr>
          <w:rFonts w:ascii="Arial" w:cs="Arial" w:hAnsi="Arial"/>
        </w:rPr>
        <w:t xml:space="preserve"> et al., 2023).</w:t>
      </w:r>
    </w:p>
    <w:p>
      <w:pPr>
        <w:pStyle w:val="style0"/>
        <w:rPr>
          <w:rFonts w:ascii="Arial" w:cs="Arial" w:hAnsi="Arial"/>
        </w:rPr>
      </w:pPr>
    </w:p>
    <w:p>
      <w:pPr>
        <w:pStyle w:val="style0"/>
        <w:jc w:val="both"/>
        <w:rPr>
          <w:rFonts w:ascii="Arial" w:cs="Arial" w:hAnsi="Arial"/>
        </w:rPr>
      </w:pPr>
      <w:r>
        <w:rPr>
          <w:rFonts w:ascii="Arial" w:cs="Arial" w:hAnsi="Arial"/>
        </w:rPr>
        <w:t>Furthermore, the IP</w:t>
      </w:r>
      <w:r>
        <w:rPr>
          <w:rFonts w:ascii="Arial" w:cs="Arial" w:hAnsi="Arial"/>
        </w:rPr>
        <w:t>E</w:t>
      </w:r>
      <w:r>
        <w:rPr>
          <w:rFonts w:ascii="Arial" w:cs="Arial" w:hAnsi="Arial"/>
        </w:rPr>
        <w:t xml:space="preserve">T model also highlights the dynamic nature of development through continuous feedback loops across levels of functioning. Progress in higher-order domains (e.g., B5-Cognitive processing or B6-Metacognitive awareness) may inform reassessment of earlier developmental domains, ensuring that therapeutic interventions remain currently responsive to the child’s evolving needs. Recent research (e.g., Camino-Alarcón et al., 2024; Chen et al., 2024; Grist et al., 2024) on sensory integration, adaptive functioning, and metacognitive interventions supports the importance of addressing development holistically rather than focusing on isolated symptoms. </w:t>
      </w:r>
    </w:p>
    <w:p>
      <w:pPr>
        <w:pStyle w:val="style0"/>
        <w:rPr>
          <w:rFonts w:ascii="Arial" w:cs="Arial" w:hAnsi="Arial"/>
        </w:rPr>
      </w:pPr>
    </w:p>
    <w:p>
      <w:pPr>
        <w:pStyle w:val="style0"/>
        <w:jc w:val="both"/>
        <w:rPr>
          <w:rFonts w:ascii="Arial" w:cs="Arial" w:hAnsi="Arial"/>
        </w:rPr>
      </w:pPr>
      <w:r>
        <w:rPr>
          <w:rFonts w:ascii="Arial" w:cs="Arial" w:hAnsi="Arial"/>
        </w:rPr>
        <w:t>In conclusion, the IP</w:t>
      </w:r>
      <w:r>
        <w:rPr>
          <w:rFonts w:ascii="Arial" w:cs="Arial" w:hAnsi="Arial"/>
        </w:rPr>
        <w:t>E</w:t>
      </w:r>
      <w:r>
        <w:rPr>
          <w:rFonts w:ascii="Arial" w:cs="Arial" w:hAnsi="Arial"/>
        </w:rPr>
        <w:t>T model operationalizes pediatric therapy as a hierarchical yet integrative system, linking biological foundations with cognitive and metacognitive development. By providing a structured pathway for assessment, intervention, and interdisciplinary collaboration, the IP</w:t>
      </w:r>
      <w:r>
        <w:rPr>
          <w:rFonts w:ascii="Arial" w:cs="Arial" w:hAnsi="Arial"/>
        </w:rPr>
        <w:t>E</w:t>
      </w:r>
      <w:r>
        <w:rPr>
          <w:rFonts w:ascii="Arial" w:cs="Arial" w:hAnsi="Arial"/>
        </w:rPr>
        <w:t>T model can contribute to more coherent and effective therapeutic planning for children with special needs. Finally, future research may further validate the model through empirical studies examining its application across clinical, educational, and rehabilitation settings.</w:t>
      </w:r>
    </w:p>
    <w:p>
      <w:pPr>
        <w:pStyle w:val="style4099"/>
        <w:spacing w:after="0"/>
        <w:rPr>
          <w:rFonts w:ascii="Arial" w:cs="Arial" w:hAnsi="Arial"/>
        </w:rPr>
      </w:pPr>
    </w:p>
    <w:p>
      <w:pPr>
        <w:pStyle w:val="style4105"/>
        <w:spacing w:after="0"/>
        <w:jc w:val="both"/>
        <w:rPr>
          <w:rFonts w:ascii="Arial" w:cs="Arial" w:hAnsi="Arial"/>
          <w:b w:val="false"/>
          <w:caps w:val="false"/>
          <w:sz w:val="20"/>
        </w:rPr>
      </w:pPr>
    </w:p>
    <w:p>
      <w:pPr>
        <w:pStyle w:val="style4105"/>
        <w:spacing w:after="0"/>
        <w:jc w:val="both"/>
        <w:rPr>
          <w:rFonts w:ascii="Arial" w:cs="Arial" w:hAnsi="Arial"/>
          <w:b w:val="false"/>
          <w:caps w:val="false"/>
          <w:sz w:val="20"/>
        </w:rPr>
      </w:pPr>
    </w:p>
    <w:p>
      <w:pPr>
        <w:pStyle w:val="style4105"/>
        <w:spacing w:after="0"/>
        <w:jc w:val="both"/>
        <w:rPr>
          <w:rFonts w:ascii="Arial" w:cs="Arial" w:hAnsi="Arial"/>
          <w:b w:val="false"/>
          <w:caps w:val="false"/>
          <w:sz w:val="20"/>
        </w:rPr>
      </w:pPr>
    </w:p>
    <w:p>
      <w:pPr>
        <w:pStyle w:val="style4105"/>
        <w:spacing w:after="0"/>
        <w:jc w:val="both"/>
        <w:rPr>
          <w:rFonts w:ascii="Arial" w:cs="Arial" w:hAnsi="Arial"/>
          <w:b w:val="false"/>
          <w:caps w:val="false"/>
          <w:sz w:val="20"/>
        </w:rPr>
      </w:pPr>
    </w:p>
    <w:bookmarkStart w:id="0" w:name="_GoBack"/>
    <w:bookmarkEnd w:id="0"/>
    <w:p>
      <w:pPr>
        <w:pStyle w:val="style4105"/>
        <w:spacing w:after="0"/>
        <w:jc w:val="both"/>
        <w:rPr>
          <w:rFonts w:ascii="Arial" w:cs="Arial" w:hAnsi="Arial"/>
          <w:b w:val="false"/>
          <w:caps w:val="false"/>
          <w:sz w:val="20"/>
        </w:rPr>
      </w:pPr>
    </w:p>
    <w:p>
      <w:pPr>
        <w:pStyle w:val="style4099"/>
        <w:spacing w:after="0"/>
        <w:rPr>
          <w:rFonts w:ascii="Arial" w:cs="Arial" w:hAnsi="Arial"/>
          <w:b/>
          <w:bCs/>
          <w:iCs/>
          <w:sz w:val="22"/>
          <w:szCs w:val="22"/>
        </w:rPr>
      </w:pPr>
      <w:r>
        <w:rPr>
          <w:rFonts w:ascii="Arial" w:cs="Arial" w:hAnsi="Arial"/>
          <w:b/>
          <w:bCs/>
          <w:iCs/>
          <w:sz w:val="22"/>
          <w:szCs w:val="22"/>
        </w:rPr>
        <w:t>ABBREVIATION</w:t>
      </w:r>
    </w:p>
    <w:p>
      <w:pPr>
        <w:pStyle w:val="style4099"/>
        <w:spacing w:after="0"/>
        <w:rPr>
          <w:rFonts w:ascii="Arial" w:cs="Arial" w:hAnsi="Arial"/>
          <w:b/>
          <w:bCs/>
          <w:iCs/>
        </w:rPr>
      </w:pPr>
    </w:p>
    <w:p>
      <w:pPr>
        <w:pStyle w:val="style4099"/>
        <w:spacing w:after="0"/>
        <w:rPr>
          <w:rFonts w:ascii="Arial" w:cs="Arial" w:hAnsi="Arial"/>
          <w:i/>
        </w:rPr>
      </w:pPr>
      <w:r>
        <w:rPr>
          <w:rFonts w:ascii="Arial" w:cs="Arial" w:hAnsi="Arial"/>
          <w:i/>
        </w:rPr>
        <w:t>Terms</w:t>
      </w:r>
      <w:r>
        <w:rPr>
          <w:rFonts w:ascii="Arial" w:cs="Arial" w:hAnsi="Arial"/>
          <w:i/>
        </w:rPr>
        <w:tab/>
      </w:r>
      <w:r>
        <w:rPr>
          <w:rFonts w:ascii="Arial" w:cs="Arial" w:hAnsi="Arial"/>
          <w:i/>
        </w:rPr>
        <w:tab/>
      </w:r>
      <w:r>
        <w:rPr>
          <w:rFonts w:ascii="Arial" w:cs="Arial" w:hAnsi="Arial"/>
          <w:i/>
        </w:rPr>
        <w:t>: Explanation:</w:t>
      </w:r>
    </w:p>
    <w:p>
      <w:pPr>
        <w:pStyle w:val="style4099"/>
        <w:spacing w:after="0"/>
        <w:rPr>
          <w:rFonts w:ascii="Arial" w:cs="Arial" w:hAnsi="Arial"/>
          <w:i/>
        </w:rPr>
      </w:pPr>
      <w:r>
        <w:rPr>
          <w:rFonts w:ascii="Arial" w:cs="Arial" w:hAnsi="Arial"/>
          <w:i/>
        </w:rPr>
        <w:t>ADHD</w:t>
      </w:r>
      <w:r>
        <w:rPr>
          <w:rFonts w:ascii="Arial" w:cs="Arial" w:hAnsi="Arial"/>
          <w:i/>
        </w:rPr>
        <w:tab/>
      </w:r>
      <w:r>
        <w:rPr>
          <w:rFonts w:ascii="Arial" w:cs="Arial" w:hAnsi="Arial"/>
          <w:i/>
        </w:rPr>
        <w:tab/>
      </w:r>
      <w:r>
        <w:rPr>
          <w:rFonts w:ascii="Arial" w:cs="Arial" w:hAnsi="Arial"/>
          <w:i/>
        </w:rPr>
        <w:t>: Attention Deficit-Hyperactivity Disorder</w:t>
      </w:r>
    </w:p>
    <w:p>
      <w:pPr>
        <w:pStyle w:val="style4099"/>
        <w:spacing w:after="0"/>
        <w:rPr>
          <w:rFonts w:ascii="Arial" w:cs="Arial" w:hAnsi="Arial"/>
          <w:i/>
        </w:rPr>
      </w:pPr>
      <w:r>
        <w:rPr>
          <w:rFonts w:ascii="Arial" w:cs="Arial" w:hAnsi="Arial"/>
          <w:i/>
        </w:rPr>
        <w:t>ASD</w:t>
      </w:r>
      <w:r>
        <w:rPr>
          <w:rFonts w:ascii="Arial" w:cs="Arial" w:hAnsi="Arial"/>
          <w:i/>
        </w:rPr>
        <w:tab/>
      </w:r>
      <w:r>
        <w:rPr>
          <w:rFonts w:ascii="Arial" w:cs="Arial" w:hAnsi="Arial"/>
          <w:i/>
        </w:rPr>
        <w:tab/>
      </w:r>
      <w:r>
        <w:rPr>
          <w:rFonts w:ascii="Arial" w:cs="Arial" w:hAnsi="Arial"/>
          <w:i/>
        </w:rPr>
        <w:t>: Autism Spectrum Disorder</w:t>
      </w:r>
    </w:p>
    <w:p>
      <w:pPr>
        <w:pStyle w:val="style4099"/>
        <w:spacing w:after="0"/>
        <w:rPr>
          <w:rFonts w:ascii="Arial" w:cs="Arial" w:hAnsi="Arial"/>
          <w:i/>
        </w:rPr>
      </w:pPr>
      <w:r>
        <w:rPr>
          <w:rFonts w:ascii="Arial" w:cs="Arial" w:hAnsi="Arial"/>
          <w:i/>
        </w:rPr>
        <w:t>DNA</w:t>
      </w:r>
      <w:r>
        <w:rPr>
          <w:rFonts w:ascii="Arial" w:cs="Arial" w:hAnsi="Arial"/>
          <w:i/>
        </w:rPr>
        <w:tab/>
      </w:r>
      <w:r>
        <w:rPr>
          <w:rFonts w:ascii="Arial" w:cs="Arial" w:hAnsi="Arial"/>
          <w:i/>
        </w:rPr>
        <w:tab/>
      </w:r>
      <w:r>
        <w:rPr>
          <w:rFonts w:ascii="Arial" w:cs="Arial" w:hAnsi="Arial"/>
          <w:i/>
        </w:rPr>
        <w:t>: Deoxynucleic Acid</w:t>
      </w:r>
    </w:p>
    <w:p>
      <w:pPr>
        <w:pStyle w:val="style4099"/>
        <w:spacing w:after="0"/>
        <w:rPr>
          <w:rFonts w:ascii="Arial" w:cs="Arial" w:hAnsi="Arial"/>
          <w:i/>
          <w:iCs/>
        </w:rPr>
      </w:pPr>
      <w:r>
        <w:rPr>
          <w:rFonts w:ascii="Arial" w:cs="Arial" w:hAnsi="Arial"/>
          <w:i/>
        </w:rPr>
        <w:t>EEG</w:t>
      </w:r>
      <w:r>
        <w:rPr>
          <w:rFonts w:ascii="Arial" w:cs="Arial" w:hAnsi="Arial"/>
          <w:i/>
        </w:rPr>
        <w:tab/>
      </w:r>
      <w:r>
        <w:rPr>
          <w:rFonts w:ascii="Arial" w:cs="Arial" w:hAnsi="Arial"/>
          <w:i/>
        </w:rPr>
        <w:tab/>
      </w:r>
      <w:r>
        <w:rPr>
          <w:rFonts w:ascii="Arial" w:cs="Arial" w:hAnsi="Arial"/>
          <w:i/>
        </w:rPr>
        <w:t xml:space="preserve">: </w:t>
      </w:r>
      <w:r>
        <w:rPr>
          <w:rFonts w:ascii="Arial" w:cs="Arial" w:hAnsi="Arial"/>
          <w:i/>
          <w:iCs/>
        </w:rPr>
        <w:t>Electro</w:t>
      </w:r>
      <w:r>
        <w:rPr>
          <w:rFonts w:ascii="Arial" w:cs="Arial" w:hAnsi="Arial"/>
          <w:i/>
          <w:iCs/>
        </w:rPr>
        <w:t>e</w:t>
      </w:r>
      <w:r>
        <w:rPr>
          <w:rFonts w:ascii="Arial" w:cs="Arial" w:hAnsi="Arial"/>
          <w:i/>
          <w:iCs/>
        </w:rPr>
        <w:t>ncephalo</w:t>
      </w:r>
      <w:r>
        <w:rPr>
          <w:rFonts w:ascii="Arial" w:cs="Arial" w:hAnsi="Arial"/>
          <w:i/>
          <w:iCs/>
        </w:rPr>
        <w:t>g</w:t>
      </w:r>
      <w:r>
        <w:rPr>
          <w:rFonts w:ascii="Arial" w:cs="Arial" w:hAnsi="Arial"/>
          <w:i/>
          <w:iCs/>
        </w:rPr>
        <w:t xml:space="preserve">raphy </w:t>
      </w:r>
    </w:p>
    <w:p>
      <w:pPr>
        <w:pStyle w:val="style4099"/>
        <w:spacing w:after="0"/>
        <w:rPr>
          <w:rFonts w:ascii="Arial" w:cs="Arial" w:hAnsi="Arial"/>
          <w:i/>
          <w:iCs/>
        </w:rPr>
      </w:pPr>
      <w:r>
        <w:rPr>
          <w:rFonts w:ascii="Arial" w:cs="Arial" w:hAnsi="Arial"/>
          <w:i/>
          <w:iCs/>
        </w:rPr>
        <w:t>EIB</w:t>
      </w:r>
      <w:r>
        <w:rPr>
          <w:rFonts w:ascii="Arial" w:cs="Arial" w:hAnsi="Arial"/>
          <w:i/>
          <w:iCs/>
        </w:rPr>
        <w:tab/>
      </w:r>
      <w:r>
        <w:rPr>
          <w:rFonts w:ascii="Arial" w:cs="Arial" w:hAnsi="Arial"/>
          <w:i/>
          <w:iCs/>
        </w:rPr>
        <w:tab/>
      </w:r>
      <w:r>
        <w:rPr>
          <w:rFonts w:ascii="Arial" w:cs="Arial" w:hAnsi="Arial"/>
          <w:i/>
          <w:iCs/>
        </w:rPr>
        <w:t>: Excitatory-Inhibitory Balance</w:t>
      </w:r>
    </w:p>
    <w:p>
      <w:pPr>
        <w:pStyle w:val="style4099"/>
        <w:spacing w:after="0"/>
        <w:rPr>
          <w:rFonts w:ascii="Arial" w:cs="Arial" w:hAnsi="Arial"/>
          <w:i/>
        </w:rPr>
      </w:pPr>
      <w:r>
        <w:rPr>
          <w:rFonts w:ascii="Arial" w:cs="Arial" w:hAnsi="Arial"/>
          <w:i/>
        </w:rPr>
        <w:t>HAS</w:t>
      </w:r>
      <w:r>
        <w:rPr>
          <w:rFonts w:ascii="Arial" w:cs="Arial" w:hAnsi="Arial"/>
          <w:i/>
        </w:rPr>
        <w:tab/>
      </w:r>
      <w:r>
        <w:rPr>
          <w:rFonts w:ascii="Arial" w:cs="Arial" w:hAnsi="Arial"/>
          <w:i/>
        </w:rPr>
        <w:tab/>
      </w:r>
      <w:r>
        <w:rPr>
          <w:rFonts w:ascii="Arial" w:cs="Arial" w:hAnsi="Arial"/>
          <w:i/>
        </w:rPr>
        <w:t>:</w:t>
      </w:r>
      <w:r>
        <w:rPr>
          <w:rFonts w:ascii="Arial" w:cs="Arial" w:hAnsi="Arial"/>
          <w:i/>
        </w:rPr>
        <w:t xml:space="preserve"> Hierarchy of Abilities and Skills</w:t>
      </w:r>
    </w:p>
    <w:p>
      <w:pPr>
        <w:pStyle w:val="style4099"/>
        <w:spacing w:after="0"/>
        <w:rPr>
          <w:rFonts w:ascii="Arial" w:cs="Arial" w:hAnsi="Arial"/>
          <w:i/>
        </w:rPr>
      </w:pPr>
      <w:r>
        <w:rPr>
          <w:rFonts w:ascii="Arial" w:cs="Arial" w:hAnsi="Arial"/>
          <w:i/>
        </w:rPr>
        <w:t>ID</w:t>
      </w:r>
      <w:r>
        <w:rPr>
          <w:rFonts w:ascii="Arial" w:cs="Arial" w:hAnsi="Arial"/>
          <w:i/>
        </w:rPr>
        <w:tab/>
      </w:r>
      <w:r>
        <w:rPr>
          <w:rFonts w:ascii="Arial" w:cs="Arial" w:hAnsi="Arial"/>
          <w:i/>
        </w:rPr>
        <w:tab/>
      </w:r>
      <w:r>
        <w:rPr>
          <w:rFonts w:ascii="Arial" w:cs="Arial" w:hAnsi="Arial"/>
          <w:i/>
        </w:rPr>
        <w:t>: Intellectual Disability</w:t>
      </w:r>
    </w:p>
    <w:p>
      <w:pPr>
        <w:pStyle w:val="style4099"/>
        <w:spacing w:after="0"/>
        <w:rPr>
          <w:rFonts w:ascii="Arial" w:cs="Arial" w:hAnsi="Arial"/>
          <w:i/>
        </w:rPr>
      </w:pPr>
      <w:r>
        <w:rPr>
          <w:rFonts w:ascii="Arial" w:cs="Arial" w:hAnsi="Arial"/>
          <w:i/>
        </w:rPr>
        <w:t>IPET</w:t>
      </w:r>
      <w:r>
        <w:rPr>
          <w:rFonts w:ascii="Arial" w:cs="Arial" w:hAnsi="Arial"/>
          <w:i/>
        </w:rPr>
        <w:tab/>
      </w:r>
      <w:r>
        <w:rPr>
          <w:rFonts w:ascii="Arial" w:cs="Arial" w:hAnsi="Arial"/>
          <w:i/>
        </w:rPr>
        <w:tab/>
      </w:r>
      <w:r>
        <w:rPr>
          <w:rFonts w:ascii="Arial" w:cs="Arial" w:hAnsi="Arial"/>
          <w:i/>
        </w:rPr>
        <w:t>: Integrated Pediatric and Educational Therapies</w:t>
      </w:r>
    </w:p>
    <w:p>
      <w:pPr>
        <w:pStyle w:val="style4099"/>
        <w:spacing w:after="0"/>
        <w:rPr>
          <w:rFonts w:ascii="Arial" w:cs="Arial" w:hAnsi="Arial"/>
          <w:i/>
        </w:rPr>
      </w:pPr>
      <w:r>
        <w:rPr>
          <w:rFonts w:ascii="Arial" w:cs="Arial" w:hAnsi="Arial"/>
          <w:i/>
        </w:rPr>
        <w:t>IQ</w:t>
      </w:r>
      <w:r>
        <w:rPr>
          <w:rFonts w:ascii="Arial" w:cs="Arial" w:hAnsi="Arial"/>
          <w:i/>
        </w:rPr>
        <w:tab/>
      </w:r>
      <w:r>
        <w:rPr>
          <w:rFonts w:ascii="Arial" w:cs="Arial" w:hAnsi="Arial"/>
          <w:i/>
        </w:rPr>
        <w:tab/>
      </w:r>
      <w:r>
        <w:rPr>
          <w:rFonts w:ascii="Arial" w:cs="Arial" w:hAnsi="Arial"/>
          <w:i/>
        </w:rPr>
        <w:t>: Intelligence Quotient</w:t>
      </w:r>
    </w:p>
    <w:p>
      <w:pPr>
        <w:pStyle w:val="style4099"/>
        <w:spacing w:after="0"/>
        <w:rPr>
          <w:rFonts w:ascii="Arial" w:cs="Arial" w:hAnsi="Arial"/>
          <w:i/>
        </w:rPr>
      </w:pPr>
      <w:r>
        <w:rPr>
          <w:rFonts w:ascii="Arial" w:cs="Arial" w:hAnsi="Arial"/>
          <w:i/>
        </w:rPr>
        <w:t>SEN</w:t>
      </w:r>
      <w:r>
        <w:rPr>
          <w:rFonts w:ascii="Arial" w:cs="Arial" w:hAnsi="Arial"/>
          <w:i/>
        </w:rPr>
        <w:tab/>
      </w:r>
      <w:r>
        <w:rPr>
          <w:rFonts w:ascii="Arial" w:cs="Arial" w:hAnsi="Arial"/>
          <w:i/>
        </w:rPr>
        <w:tab/>
      </w:r>
      <w:r>
        <w:rPr>
          <w:rFonts w:ascii="Arial" w:cs="Arial" w:hAnsi="Arial"/>
          <w:i/>
        </w:rPr>
        <w:t>: Special Educational Needs</w:t>
      </w:r>
    </w:p>
    <w:p>
      <w:pPr>
        <w:pStyle w:val="style4099"/>
        <w:spacing w:after="0"/>
        <w:rPr>
          <w:rFonts w:ascii="Arial" w:cs="Arial" w:hAnsi="Arial"/>
          <w:i/>
        </w:rPr>
      </w:pPr>
      <w:r>
        <w:rPr>
          <w:rFonts w:ascii="Arial" w:cs="Arial" w:hAnsi="Arial"/>
          <w:i/>
        </w:rPr>
        <w:t>SPED</w:t>
      </w:r>
      <w:r>
        <w:rPr>
          <w:rFonts w:ascii="Arial" w:cs="Arial" w:hAnsi="Arial"/>
          <w:i/>
        </w:rPr>
        <w:tab/>
      </w:r>
      <w:r>
        <w:rPr>
          <w:rFonts w:ascii="Arial" w:cs="Arial" w:hAnsi="Arial"/>
          <w:i/>
        </w:rPr>
        <w:tab/>
      </w:r>
      <w:r>
        <w:rPr>
          <w:rFonts w:ascii="Arial" w:cs="Arial" w:hAnsi="Arial"/>
          <w:i/>
        </w:rPr>
        <w:t>: Special Education</w:t>
      </w:r>
    </w:p>
    <w:p>
      <w:pPr>
        <w:pStyle w:val="style4105"/>
        <w:spacing w:after="0"/>
        <w:jc w:val="both"/>
        <w:rPr>
          <w:rFonts w:ascii="Arial" w:cs="Arial" w:hAnsi="Arial"/>
          <w:b w:val="false"/>
          <w:caps w:val="false"/>
          <w:sz w:val="20"/>
        </w:rPr>
      </w:pPr>
    </w:p>
    <w:p>
      <w:pPr>
        <w:pStyle w:val="style4105"/>
        <w:jc w:val="both"/>
        <w:rPr>
          <w:rFonts w:ascii="Arial" w:cs="Arial" w:hAnsi="Arial"/>
          <w:b w:val="false"/>
          <w:caps w:val="false"/>
          <w:sz w:val="20"/>
        </w:rPr>
      </w:pPr>
      <w:r>
        <w:rPr>
          <w:rFonts w:ascii="Arial" w:cs="Arial" w:hAnsi="Arial"/>
          <w:b w:val="false"/>
          <w:caps w:val="false"/>
          <w:sz w:val="20"/>
        </w:rPr>
        <w:t>COMPETING INTERESTS DISCLAIMER:</w:t>
      </w:r>
    </w:p>
    <w:p>
      <w:pPr>
        <w:pStyle w:val="style4105"/>
        <w:jc w:val="both"/>
        <w:rPr>
          <w:rFonts w:ascii="Arial" w:cs="Arial" w:hAnsi="Arial"/>
          <w:b w:val="false"/>
          <w:caps w:val="false"/>
          <w:sz w:val="20"/>
        </w:rPr>
      </w:pPr>
      <w:r>
        <w:rPr>
          <w:rFonts w:ascii="Arial" w:cs="Arial" w:hAnsi="Arial"/>
          <w:b w:val="false"/>
          <w:caps w:val="false"/>
          <w:sz w:val="20"/>
        </w:rPr>
        <w:t>Authors have declared that they have no known competing financial interests OR non-financial interests OR personal relationships that could have appeared to influence the work reported in this paper.</w:t>
      </w:r>
    </w:p>
    <w:p>
      <w:pPr>
        <w:pStyle w:val="style4105"/>
        <w:jc w:val="both"/>
        <w:rPr>
          <w:rFonts w:ascii="Arial" w:cs="Arial" w:hAnsi="Arial"/>
          <w:b w:val="false"/>
          <w:caps w:val="false"/>
          <w:sz w:val="20"/>
        </w:rPr>
      </w:pPr>
    </w:p>
    <w:p>
      <w:pPr>
        <w:pStyle w:val="style4105"/>
        <w:spacing w:after="0"/>
        <w:jc w:val="both"/>
        <w:rPr>
          <w:rFonts w:ascii="Arial" w:cs="Arial" w:hAnsi="Arial"/>
          <w:b w:val="false"/>
          <w:caps w:val="false"/>
          <w:sz w:val="20"/>
        </w:rPr>
      </w:pPr>
    </w:p>
    <w:p>
      <w:pPr>
        <w:pStyle w:val="style4105"/>
        <w:spacing w:after="0"/>
        <w:jc w:val="both"/>
        <w:rPr>
          <w:rFonts w:ascii="Arial" w:cs="Arial" w:hAnsi="Arial"/>
        </w:rPr>
      </w:pPr>
      <w:r>
        <w:rPr>
          <w:rFonts w:ascii="Arial" w:cs="Arial" w:hAnsi="Arial"/>
        </w:rPr>
        <w:t>References</w:t>
      </w:r>
    </w:p>
    <w:p>
      <w:pPr>
        <w:pStyle w:val="style4105"/>
        <w:spacing w:after="0"/>
        <w:jc w:val="both"/>
        <w:rPr>
          <w:rFonts w:ascii="Arial" w:cs="Arial" w:hAnsi="Arial"/>
          <w:sz w:val="20"/>
        </w:rPr>
      </w:pPr>
    </w:p>
    <w:p>
      <w:pPr>
        <w:pStyle w:val="style0"/>
        <w:ind w:left="567" w:hanging="567"/>
        <w:rPr/>
      </w:pPr>
      <w:r>
        <w:t>Aghaziarati</w:t>
      </w:r>
      <w:r>
        <w:t xml:space="preserve">, A., &amp; </w:t>
      </w:r>
      <w:r>
        <w:t>Nejatifar</w:t>
      </w:r>
      <w:r>
        <w:t>, S. (2023). Emotional development and regulation in children: A review of recent advances. </w:t>
      </w:r>
      <w:r>
        <w:rPr>
          <w:i/>
          <w:iCs/>
        </w:rPr>
        <w:t>KMAN Counseling &amp; Psychology Nexus</w:t>
      </w:r>
      <w:r>
        <w:t>, </w:t>
      </w:r>
      <w:r>
        <w:rPr>
          <w:i/>
          <w:iCs/>
        </w:rPr>
        <w:t>1</w:t>
      </w:r>
      <w:r>
        <w:t xml:space="preserve">(1), 118-25. </w:t>
      </w:r>
      <w:r>
        <w:t>http://doi.org/10.61838/kman.psynexus.1.1.14</w:t>
      </w:r>
    </w:p>
    <w:p>
      <w:pPr>
        <w:pStyle w:val="style0"/>
        <w:ind w:left="567" w:hanging="567"/>
        <w:jc w:val="both"/>
        <w:rPr>
          <w:rFonts w:ascii="Arial" w:cs="Arial" w:hAnsi="Arial"/>
        </w:rPr>
      </w:pPr>
      <w:r>
        <w:rPr>
          <w:rFonts w:ascii="Arial" w:cs="Arial" w:hAnsi="Arial"/>
        </w:rPr>
        <w:t>Ambaryani</w:t>
      </w:r>
      <w:r>
        <w:rPr>
          <w:rFonts w:ascii="Arial" w:cs="Arial" w:hAnsi="Arial"/>
        </w:rPr>
        <w:t xml:space="preserve">, S. E., &amp; </w:t>
      </w:r>
      <w:r>
        <w:rPr>
          <w:rFonts w:ascii="Arial" w:cs="Arial" w:hAnsi="Arial"/>
        </w:rPr>
        <w:t>Putranta</w:t>
      </w:r>
      <w:r>
        <w:rPr>
          <w:rFonts w:ascii="Arial" w:cs="Arial" w:hAnsi="Arial"/>
        </w:rPr>
        <w:t>, H. (2022). Improving learners’ metacognitive skills with self-regulated learning-based problem-solving. </w:t>
      </w:r>
      <w:r>
        <w:rPr>
          <w:rFonts w:ascii="Arial" w:cs="Arial" w:hAnsi="Arial"/>
          <w:i/>
          <w:iCs/>
        </w:rPr>
        <w:t>International Journal of Instruction</w:t>
      </w:r>
      <w:r>
        <w:rPr>
          <w:rFonts w:ascii="Arial" w:cs="Arial" w:hAnsi="Arial"/>
        </w:rPr>
        <w:t>, </w:t>
      </w:r>
      <w:r>
        <w:rPr>
          <w:rFonts w:ascii="Arial" w:cs="Arial" w:hAnsi="Arial"/>
          <w:i/>
          <w:iCs/>
        </w:rPr>
        <w:t>15</w:t>
      </w:r>
      <w:r>
        <w:rPr>
          <w:rFonts w:ascii="Arial" w:cs="Arial" w:hAnsi="Arial"/>
        </w:rPr>
        <w:t xml:space="preserve">(2), 139-154. </w:t>
      </w:r>
    </w:p>
    <w:p>
      <w:pPr>
        <w:pStyle w:val="style0"/>
        <w:ind w:left="567" w:hanging="567"/>
        <w:jc w:val="both"/>
        <w:rPr>
          <w:rFonts w:ascii="Arial" w:cs="Arial" w:hAnsi="Arial"/>
        </w:rPr>
      </w:pPr>
      <w:r>
        <w:rPr>
          <w:rFonts w:ascii="Arial" w:cs="Arial" w:hAnsi="Arial"/>
        </w:rPr>
        <w:t>Beyers, W., Soenens, B., &amp; Vansteenkiste, M. (2025). Autonomy in adolescence: a conceptual, developmental and cross-cultural perspective. </w:t>
      </w:r>
      <w:r>
        <w:rPr>
          <w:rFonts w:ascii="Arial" w:cs="Arial" w:hAnsi="Arial"/>
          <w:i/>
          <w:iCs/>
        </w:rPr>
        <w:t>European Journal of Developmental Psychology</w:t>
      </w:r>
      <w:r>
        <w:rPr>
          <w:rFonts w:ascii="Arial" w:cs="Arial" w:hAnsi="Arial"/>
        </w:rPr>
        <w:t>, </w:t>
      </w:r>
      <w:r>
        <w:rPr>
          <w:rFonts w:ascii="Arial" w:cs="Arial" w:hAnsi="Arial"/>
          <w:i/>
          <w:iCs/>
        </w:rPr>
        <w:t>22</w:t>
      </w:r>
      <w:r>
        <w:rPr>
          <w:rFonts w:ascii="Arial" w:cs="Arial" w:hAnsi="Arial"/>
        </w:rPr>
        <w:t xml:space="preserve">(2), 121-141. </w:t>
      </w:r>
      <w:r>
        <w:rPr/>
        <w:fldChar w:fldCharType="begin"/>
      </w:r>
      <w:r>
        <w:instrText xml:space="preserve"> HYPERLINK "https://doi.org/10.1080/17405629.2024.2330734" </w:instrText>
      </w:r>
      <w:r>
        <w:rPr/>
        <w:fldChar w:fldCharType="separate"/>
      </w:r>
      <w:r>
        <w:rPr>
          <w:rStyle w:val="style85"/>
          <w:rFonts w:ascii="Arial" w:cs="Arial" w:hAnsi="Arial"/>
          <w:color w:val="auto"/>
          <w:u w:val="none"/>
        </w:rPr>
        <w:t>https://doi.org/10.1080/17405629.2024.2330734</w:t>
      </w:r>
      <w:r>
        <w:rPr/>
        <w:fldChar w:fldCharType="end"/>
      </w:r>
      <w:r>
        <w:rPr>
          <w:rFonts w:ascii="Arial" w:cs="Arial" w:hAnsi="Arial"/>
        </w:rPr>
        <w:t xml:space="preserve">  </w:t>
      </w:r>
    </w:p>
    <w:p>
      <w:pPr>
        <w:pStyle w:val="style0"/>
        <w:ind w:left="567" w:hanging="567"/>
        <w:jc w:val="both"/>
        <w:rPr>
          <w:rFonts w:ascii="Arial" w:cs="Arial" w:hAnsi="Arial"/>
        </w:rPr>
      </w:pPr>
      <w:r>
        <w:rPr>
          <w:rFonts w:ascii="Arial" w:cs="Arial" w:hAnsi="Arial"/>
        </w:rPr>
        <w:t xml:space="preserve">Blair, C., &amp; Ku, S. (2022). A hierarchical integrated model of self-regulation. </w:t>
      </w:r>
      <w:r>
        <w:rPr>
          <w:rFonts w:ascii="Arial" w:cs="Arial" w:hAnsi="Arial"/>
          <w:i/>
          <w:iCs/>
        </w:rPr>
        <w:t>Frontiers in Psychology</w:t>
      </w:r>
      <w:r>
        <w:rPr>
          <w:rFonts w:ascii="Arial" w:cs="Arial" w:hAnsi="Arial"/>
        </w:rPr>
        <w:t xml:space="preserve">, </w:t>
      </w:r>
      <w:r>
        <w:rPr>
          <w:rFonts w:ascii="Arial" w:cs="Arial" w:hAnsi="Arial"/>
          <w:i/>
          <w:iCs/>
        </w:rPr>
        <w:t>13</w:t>
      </w:r>
      <w:r>
        <w:rPr>
          <w:rFonts w:ascii="Arial" w:cs="Arial" w:hAnsi="Arial"/>
        </w:rPr>
        <w:t xml:space="preserve">. Article ID:725828. </w:t>
      </w:r>
      <w:r>
        <w:rPr/>
        <w:fldChar w:fldCharType="begin"/>
      </w:r>
      <w:r>
        <w:instrText xml:space="preserve"> HYPERLINK "https://doi.org/10.3389/fpsyg.2022.725828" </w:instrText>
      </w:r>
      <w:r>
        <w:rPr/>
        <w:fldChar w:fldCharType="separate"/>
      </w:r>
      <w:r>
        <w:rPr>
          <w:rStyle w:val="style85"/>
          <w:rFonts w:ascii="Arial" w:cs="Arial" w:hAnsi="Arial"/>
          <w:color w:val="auto"/>
          <w:u w:val="none"/>
        </w:rPr>
        <w:t>https://doi.org/10.3389/fpsyg.2022.725828</w:t>
      </w:r>
      <w:r>
        <w:rPr/>
        <w:fldChar w:fldCharType="end"/>
      </w:r>
      <w:r>
        <w:rPr>
          <w:rFonts w:ascii="Arial" w:cs="Arial" w:hAnsi="Arial"/>
        </w:rPr>
        <w:t xml:space="preserve">   </w:t>
      </w:r>
    </w:p>
    <w:p>
      <w:pPr>
        <w:pStyle w:val="style0"/>
        <w:ind w:left="567" w:hanging="567"/>
        <w:jc w:val="both"/>
        <w:rPr>
          <w:rFonts w:ascii="Arial" w:cs="Arial" w:hAnsi="Arial"/>
        </w:rPr>
      </w:pPr>
      <w:r>
        <w:rPr>
          <w:rFonts w:ascii="Arial" w:cs="Arial" w:hAnsi="Arial"/>
        </w:rPr>
        <w:t xml:space="preserve">Brown, G. T. L. (2022). The past, present and future of educational assessment: A transdisciplinary perspective. </w:t>
      </w:r>
      <w:r>
        <w:rPr>
          <w:rFonts w:ascii="Arial" w:cs="Arial" w:hAnsi="Arial"/>
          <w:i/>
          <w:iCs/>
        </w:rPr>
        <w:t>Frontiers in Education</w:t>
      </w:r>
      <w:r>
        <w:rPr>
          <w:rFonts w:ascii="Arial" w:cs="Arial" w:hAnsi="Arial"/>
        </w:rPr>
        <w:t xml:space="preserve">, </w:t>
      </w:r>
      <w:r>
        <w:rPr>
          <w:rFonts w:ascii="Arial" w:cs="Arial" w:hAnsi="Arial"/>
          <w:i/>
          <w:iCs/>
        </w:rPr>
        <w:t>7</w:t>
      </w:r>
      <w:r>
        <w:rPr>
          <w:rFonts w:ascii="Arial" w:cs="Arial" w:hAnsi="Arial"/>
        </w:rPr>
        <w:t xml:space="preserve">. Article ID: 1060633. </w:t>
      </w:r>
      <w:r>
        <w:rPr/>
        <w:fldChar w:fldCharType="begin"/>
      </w:r>
      <w:r>
        <w:instrText xml:space="preserve"> HYPERLINK "https://doi.org/10.3389/feduc.2022.1060633" </w:instrText>
      </w:r>
      <w:r>
        <w:rPr/>
        <w:fldChar w:fldCharType="separate"/>
      </w:r>
      <w:r>
        <w:rPr>
          <w:rStyle w:val="style85"/>
          <w:rFonts w:ascii="Arial" w:cs="Arial" w:hAnsi="Arial"/>
          <w:color w:val="auto"/>
          <w:u w:val="none"/>
        </w:rPr>
        <w:t>https://doi.org/10.3389/feduc.2022.1060633</w:t>
      </w:r>
      <w:r>
        <w:rPr/>
        <w:fldChar w:fldCharType="end"/>
      </w:r>
      <w:r>
        <w:rPr>
          <w:rFonts w:ascii="Arial" w:cs="Arial" w:hAnsi="Arial"/>
        </w:rPr>
        <w:t xml:space="preserve">  </w:t>
      </w:r>
    </w:p>
    <w:p>
      <w:pPr>
        <w:pStyle w:val="style0"/>
        <w:ind w:left="567" w:hanging="567"/>
        <w:jc w:val="both"/>
        <w:rPr>
          <w:rFonts w:ascii="Arial" w:cs="Arial" w:hAnsi="Arial"/>
        </w:rPr>
      </w:pPr>
      <w:r>
        <w:rPr>
          <w:rFonts w:ascii="Arial" w:cs="Arial" w:hAnsi="Arial"/>
        </w:rPr>
        <w:t xml:space="preserve">Camino-Alarcón, J., Robles-Bello, M. A., Valencia-Naranjo, N., &amp; </w:t>
      </w:r>
      <w:r>
        <w:rPr>
          <w:rFonts w:ascii="Arial" w:cs="Arial" w:hAnsi="Arial"/>
        </w:rPr>
        <w:t>Sarhani</w:t>
      </w:r>
      <w:r>
        <w:rPr>
          <w:rFonts w:ascii="Arial" w:cs="Arial" w:hAnsi="Arial"/>
        </w:rPr>
        <w:t xml:space="preserve">-Robles, A. (2024). Sensory integration approaches in children with autism spectrum disorder: A systematic review. Children, 11(10), 1222. </w:t>
      </w:r>
      <w:r>
        <w:rPr/>
        <w:fldChar w:fldCharType="begin"/>
      </w:r>
      <w:r>
        <w:instrText xml:space="preserve"> HYPERLINK "https://doi.org/10.3390/children11101222" </w:instrText>
      </w:r>
      <w:r>
        <w:rPr/>
        <w:fldChar w:fldCharType="separate"/>
      </w:r>
      <w:r>
        <w:rPr>
          <w:rStyle w:val="style85"/>
          <w:rFonts w:ascii="Arial" w:cs="Arial" w:hAnsi="Arial"/>
          <w:color w:val="auto"/>
          <w:u w:val="none"/>
        </w:rPr>
        <w:t>https://doi.org/10.3390/children11101222</w:t>
      </w:r>
      <w:r>
        <w:rPr/>
        <w:fldChar w:fldCharType="end"/>
      </w:r>
      <w:r>
        <w:rPr>
          <w:rFonts w:ascii="Arial" w:cs="Arial" w:hAnsi="Arial"/>
        </w:rPr>
        <w:t xml:space="preserve"> </w:t>
      </w:r>
    </w:p>
    <w:p>
      <w:pPr>
        <w:pStyle w:val="style0"/>
        <w:ind w:left="567" w:hanging="567"/>
        <w:jc w:val="both"/>
        <w:rPr>
          <w:rFonts w:ascii="Arial" w:cs="Arial" w:hAnsi="Arial"/>
        </w:rPr>
      </w:pPr>
      <w:r>
        <w:rPr>
          <w:rFonts w:ascii="Arial" w:cs="Arial" w:hAnsi="Arial"/>
        </w:rPr>
        <w:t>Castro-Kemp, S., &amp; Samuels, A. (2022). Working together: A review of cross-sector collaborative practices in provision for children with special educational needs and disabilities. </w:t>
      </w:r>
      <w:r>
        <w:rPr>
          <w:rFonts w:ascii="Arial" w:cs="Arial" w:hAnsi="Arial"/>
          <w:i/>
          <w:iCs/>
        </w:rPr>
        <w:t>Research in Developmental Disabilities</w:t>
      </w:r>
      <w:r>
        <w:rPr>
          <w:rFonts w:ascii="Arial" w:cs="Arial" w:hAnsi="Arial"/>
        </w:rPr>
        <w:t>, </w:t>
      </w:r>
      <w:r>
        <w:rPr>
          <w:rFonts w:ascii="Arial" w:cs="Arial" w:hAnsi="Arial"/>
          <w:i/>
          <w:iCs/>
        </w:rPr>
        <w:t>120</w:t>
      </w:r>
      <w:r>
        <w:rPr>
          <w:rFonts w:ascii="Arial" w:cs="Arial" w:hAnsi="Arial"/>
        </w:rPr>
        <w:t xml:space="preserve">. Article ID: 104127. </w:t>
      </w:r>
      <w:r>
        <w:rPr/>
        <w:fldChar w:fldCharType="begin"/>
      </w:r>
      <w:r>
        <w:instrText xml:space="preserve"> HYPERLINK "https://doi.org/10.1016/j.ridd.2021.104127" \t "_blank" \o "Persistent link using digital object identifier" </w:instrText>
      </w:r>
      <w:r>
        <w:rPr/>
        <w:fldChar w:fldCharType="separate"/>
      </w:r>
      <w:r>
        <w:rPr>
          <w:rStyle w:val="style85"/>
          <w:rFonts w:ascii="Arial" w:cs="Arial" w:hAnsi="Arial"/>
          <w:color w:val="auto"/>
          <w:u w:val="none"/>
        </w:rPr>
        <w:t>https://doi.org/10.1016/j.ridd.2021.104127</w:t>
      </w:r>
      <w:r>
        <w:rPr/>
        <w:fldChar w:fldCharType="end"/>
      </w:r>
    </w:p>
    <w:p>
      <w:pPr>
        <w:pStyle w:val="style0"/>
        <w:ind w:left="567" w:hanging="567"/>
        <w:jc w:val="both"/>
        <w:rPr>
          <w:rFonts w:ascii="Arial" w:cs="Arial" w:hAnsi="Arial"/>
        </w:rPr>
      </w:pPr>
      <w:r>
        <w:rPr>
          <w:rFonts w:ascii="Arial" w:cs="Arial" w:hAnsi="Arial"/>
        </w:rPr>
        <w:t xml:space="preserve">Chen, S., Zhang, Y., Liu, H., &amp; Wang, L. (2024). Metacognition-driven interventions and self-regulated learning in young children. Education Sciences, 14(6), 565. </w:t>
      </w:r>
      <w:r>
        <w:rPr/>
        <w:fldChar w:fldCharType="begin"/>
      </w:r>
      <w:r>
        <w:instrText xml:space="preserve"> HYPERLINK "https://doi.org/10.3390/educsci14060565" </w:instrText>
      </w:r>
      <w:r>
        <w:rPr/>
        <w:fldChar w:fldCharType="separate"/>
      </w:r>
      <w:r>
        <w:rPr>
          <w:rStyle w:val="style85"/>
          <w:rFonts w:ascii="Arial" w:cs="Arial" w:hAnsi="Arial"/>
          <w:color w:val="auto"/>
          <w:u w:val="none"/>
        </w:rPr>
        <w:t>https://doi.org/10.3390/educsci14060565</w:t>
      </w:r>
      <w:r>
        <w:rPr/>
        <w:fldChar w:fldCharType="end"/>
      </w:r>
      <w:r>
        <w:rPr>
          <w:rFonts w:ascii="Arial" w:cs="Arial" w:hAnsi="Arial"/>
        </w:rPr>
        <w:t xml:space="preserve"> </w:t>
      </w:r>
    </w:p>
    <w:bookmarkStart w:id="1" w:name="_Hlk61254491"/>
    <w:p>
      <w:pPr>
        <w:pStyle w:val="style0"/>
        <w:ind w:left="567" w:hanging="567"/>
        <w:jc w:val="both"/>
        <w:rPr>
          <w:rFonts w:ascii="Arial" w:cs="Arial" w:hAnsi="Arial"/>
        </w:rPr>
      </w:pPr>
      <w:r>
        <w:rPr>
          <w:rFonts w:ascii="Arial" w:cs="Arial" w:hAnsi="Arial"/>
        </w:rPr>
        <w:t>Cherukunnath</w:t>
      </w:r>
      <w:r>
        <w:rPr>
          <w:rFonts w:ascii="Arial" w:cs="Arial" w:hAnsi="Arial"/>
        </w:rPr>
        <w:t xml:space="preserve">, D., &amp; Singh, A. P. (2022). Exploring cognitive processes of knowledge acquisition to upgrade academic practices. </w:t>
      </w:r>
      <w:r>
        <w:rPr>
          <w:rFonts w:ascii="Arial" w:cs="Arial" w:hAnsi="Arial"/>
          <w:i/>
          <w:iCs/>
        </w:rPr>
        <w:t>Frontiers in Psychology</w:t>
      </w:r>
      <w:r>
        <w:rPr>
          <w:rFonts w:ascii="Arial" w:cs="Arial" w:hAnsi="Arial"/>
        </w:rPr>
        <w:t xml:space="preserve">, </w:t>
      </w:r>
      <w:r>
        <w:rPr>
          <w:rFonts w:ascii="Arial" w:cs="Arial" w:hAnsi="Arial"/>
          <w:i/>
          <w:iCs/>
        </w:rPr>
        <w:t>13</w:t>
      </w:r>
      <w:r>
        <w:rPr>
          <w:rFonts w:ascii="Arial" w:cs="Arial" w:hAnsi="Arial"/>
        </w:rPr>
        <w:t xml:space="preserve">. Article ID: 682628. </w:t>
      </w:r>
      <w:r>
        <w:rPr/>
        <w:fldChar w:fldCharType="begin"/>
      </w:r>
      <w:r>
        <w:instrText xml:space="preserve"> HYPERLINK "https://doi.org/10.3389/fpsyg.2022.682628" </w:instrText>
      </w:r>
      <w:r>
        <w:rPr/>
        <w:fldChar w:fldCharType="separate"/>
      </w:r>
      <w:r>
        <w:rPr>
          <w:rStyle w:val="style85"/>
          <w:rFonts w:ascii="Arial" w:cs="Arial" w:hAnsi="Arial"/>
          <w:color w:val="auto"/>
          <w:u w:val="none"/>
        </w:rPr>
        <w:t>https://doi.org/10.3389/fpsyg.2022.682628</w:t>
      </w:r>
      <w:r>
        <w:rPr/>
        <w:fldChar w:fldCharType="end"/>
      </w:r>
      <w:r>
        <w:rPr>
          <w:rFonts w:ascii="Arial" w:cs="Arial" w:hAnsi="Arial"/>
        </w:rPr>
        <w:t xml:space="preserve">  </w:t>
      </w:r>
    </w:p>
    <w:p>
      <w:pPr>
        <w:pStyle w:val="style4141"/>
        <w:tabs>
          <w:tab w:val="left" w:leader="none" w:pos="-31680"/>
        </w:tabs>
        <w:ind w:left="567" w:hanging="567"/>
        <w:jc w:val="both"/>
        <w:rPr>
          <w:rFonts w:ascii="Arial" w:cs="Arial" w:hAnsi="Arial"/>
          <w:sz w:val="20"/>
          <w:szCs w:val="20"/>
        </w:rPr>
      </w:pPr>
      <w:r>
        <w:rPr>
          <w:rFonts w:ascii="Arial" w:cs="Arial" w:eastAsia="Times New Roman" w:hAnsi="Arial"/>
          <w:sz w:val="20"/>
          <w:szCs w:val="20"/>
          <w:lang w:eastAsia="en-US"/>
        </w:rPr>
        <w:t xml:space="preserve">Chia, K. H. (2008). </w:t>
      </w:r>
      <w:bookmarkStart w:id="2" w:name="_Hlk534884876"/>
      <w:r>
        <w:rPr>
          <w:rFonts w:ascii="Arial" w:cs="Arial" w:eastAsia="Times New Roman" w:hAnsi="Arial"/>
          <w:sz w:val="20"/>
          <w:szCs w:val="20"/>
          <w:lang w:eastAsia="en-US"/>
        </w:rPr>
        <w:t xml:space="preserve">Educating the whole child in a child with special needs: What we know and understand and what we can do. </w:t>
      </w:r>
      <w:r>
        <w:rPr>
          <w:rFonts w:ascii="Arial" w:cs="Arial" w:eastAsia="Times New Roman" w:hAnsi="Arial"/>
          <w:i/>
          <w:iCs/>
          <w:sz w:val="20"/>
          <w:szCs w:val="20"/>
          <w:lang w:eastAsia="en-US"/>
        </w:rPr>
        <w:t>ASCD Review, 14</w:t>
      </w:r>
      <w:r>
        <w:rPr>
          <w:rFonts w:ascii="Arial" w:cs="Arial" w:eastAsia="Times New Roman" w:hAnsi="Arial"/>
          <w:sz w:val="20"/>
          <w:szCs w:val="20"/>
          <w:lang w:eastAsia="en-US"/>
        </w:rPr>
        <w:t xml:space="preserve">, 25-31. </w:t>
      </w:r>
      <w:r>
        <w:rPr/>
        <w:fldChar w:fldCharType="begin"/>
      </w:r>
      <w:r>
        <w:instrText xml:space="preserve"> HYPERLINK "https://doi.org/10.5281/zenodo.15236419" </w:instrText>
      </w:r>
      <w:r>
        <w:rPr/>
        <w:fldChar w:fldCharType="separate"/>
      </w:r>
      <w:r>
        <w:rPr>
          <w:rStyle w:val="style85"/>
          <w:rFonts w:ascii="Arial" w:cs="Arial" w:eastAsia="Times New Roman" w:hAnsi="Arial"/>
          <w:color w:val="auto"/>
          <w:sz w:val="20"/>
          <w:szCs w:val="20"/>
          <w:u w:val="none"/>
          <w:lang w:eastAsia="en-US"/>
        </w:rPr>
        <w:t>https://doi.org/</w:t>
      </w:r>
      <w:r>
        <w:rPr>
          <w:rStyle w:val="style85"/>
          <w:rFonts w:ascii="Arial" w:cs="Arial" w:eastAsia="Times New Roman" w:hAnsi="Arial"/>
          <w:color w:val="auto"/>
          <w:sz w:val="20"/>
          <w:szCs w:val="20"/>
          <w:u w:val="none"/>
          <w:lang w:val="en-SG" w:eastAsia="en-US"/>
        </w:rPr>
        <w:t>10.5281/zenodo.15236419</w:t>
      </w:r>
      <w:r>
        <w:rPr/>
        <w:fldChar w:fldCharType="end"/>
      </w:r>
      <w:r>
        <w:rPr>
          <w:rFonts w:ascii="Arial" w:cs="Arial" w:eastAsia="Times New Roman" w:hAnsi="Arial"/>
          <w:sz w:val="20"/>
          <w:szCs w:val="20"/>
          <w:lang w:val="en-SG" w:eastAsia="en-US"/>
        </w:rPr>
        <w:t xml:space="preserve"> </w:t>
      </w:r>
      <w:r>
        <w:rPr>
          <w:rFonts w:ascii="Arial" w:cs="Arial" w:eastAsia="Times New Roman" w:hAnsi="Arial"/>
          <w:sz w:val="20"/>
          <w:szCs w:val="20"/>
          <w:shd w:val="clear" w:color="auto" w:fill="ffff00"/>
          <w:lang w:val="en-SG" w:eastAsia="en-US"/>
        </w:rPr>
        <w:t xml:space="preserve"> </w:t>
      </w:r>
      <w:bookmarkEnd w:id="1"/>
      <w:bookmarkEnd w:id="2"/>
    </w:p>
    <w:p>
      <w:pPr>
        <w:pStyle w:val="style0"/>
        <w:ind w:left="567" w:hanging="567"/>
        <w:jc w:val="both"/>
        <w:rPr/>
      </w:pPr>
      <w:r>
        <w:rPr>
          <w:rFonts w:ascii="Arial" w:cs="Arial" w:hAnsi="Arial"/>
        </w:rPr>
        <w:t>Chia, K. H. (2011</w:t>
      </w:r>
      <w:r>
        <w:rPr>
          <w:rFonts w:ascii="Arial" w:cs="Arial" w:hAnsi="Arial"/>
        </w:rPr>
        <w:t>a</w:t>
      </w:r>
      <w:r>
        <w:rPr>
          <w:rFonts w:ascii="Arial" w:cs="Arial" w:hAnsi="Arial"/>
        </w:rPr>
        <w:t xml:space="preserve">). </w:t>
      </w:r>
      <w:r>
        <w:rPr>
          <w:rFonts w:ascii="Arial" w:cs="Arial" w:hAnsi="Arial"/>
          <w:i/>
          <w:iCs/>
        </w:rPr>
        <w:t>Psychogogy</w:t>
      </w:r>
      <w:r>
        <w:rPr>
          <w:rFonts w:ascii="Arial" w:cs="Arial" w:hAnsi="Arial"/>
        </w:rPr>
        <w:t>. Singapore: Pearson</w:t>
      </w:r>
      <w:r>
        <w:rPr>
          <w:rFonts w:ascii="Arial" w:cs="Arial" w:hAnsi="Arial"/>
        </w:rPr>
        <w:t xml:space="preserve"> Education</w:t>
      </w:r>
      <w:r>
        <w:rPr>
          <w:rFonts w:ascii="Arial" w:cs="Arial" w:hAnsi="Arial"/>
        </w:rPr>
        <w:t xml:space="preserve">/Prentice-Hall. </w:t>
      </w:r>
      <w:r>
        <w:rPr/>
        <w:fldChar w:fldCharType="begin"/>
      </w:r>
      <w:r>
        <w:instrText xml:space="preserve"> HYPERLINK "https://doi.org/10.5281/zenodo.18686951" </w:instrText>
      </w:r>
      <w:r>
        <w:rPr/>
        <w:fldChar w:fldCharType="separate"/>
      </w:r>
      <w:r>
        <w:rPr>
          <w:rStyle w:val="style85"/>
          <w:rFonts w:ascii="Arial" w:cs="Arial" w:hAnsi="Arial"/>
          <w:color w:val="auto"/>
          <w:u w:val="none"/>
        </w:rPr>
        <w:t>https://doi.org/</w:t>
      </w:r>
      <w:r>
        <w:rPr>
          <w:rStyle w:val="style85"/>
          <w:rFonts w:ascii="Arial" w:cs="Arial" w:hAnsi="Arial"/>
          <w:color w:val="auto"/>
          <w:u w:val="none"/>
          <w:lang w:val="en-SG"/>
        </w:rPr>
        <w:t>10.5281/zenodo.18686951</w:t>
      </w:r>
      <w:r>
        <w:rPr/>
        <w:fldChar w:fldCharType="end"/>
      </w:r>
    </w:p>
    <w:p>
      <w:pPr>
        <w:pStyle w:val="style0"/>
        <w:ind w:left="567" w:hanging="567"/>
        <w:jc w:val="both"/>
        <w:rPr>
          <w:rFonts w:ascii="Arial" w:cs="Arial" w:hAnsi="Arial"/>
        </w:rPr>
      </w:pPr>
      <w:r>
        <w:rPr>
          <w:rFonts w:ascii="Arial" w:cs="Arial" w:hAnsi="Arial"/>
        </w:rPr>
        <w:t>Chia, K.</w:t>
      </w:r>
      <w:r>
        <w:rPr>
          <w:rFonts w:ascii="Arial" w:cs="Arial" w:hAnsi="Arial"/>
        </w:rPr>
        <w:t xml:space="preserve"> </w:t>
      </w:r>
      <w:r>
        <w:rPr>
          <w:rFonts w:ascii="Arial" w:cs="Arial" w:hAnsi="Arial"/>
        </w:rPr>
        <w:t>H. (2011</w:t>
      </w:r>
      <w:r>
        <w:rPr>
          <w:rFonts w:ascii="Arial" w:cs="Arial" w:hAnsi="Arial"/>
        </w:rPr>
        <w:t>b</w:t>
      </w:r>
      <w:r>
        <w:rPr>
          <w:rFonts w:ascii="Arial" w:cs="Arial" w:hAnsi="Arial"/>
        </w:rPr>
        <w:t xml:space="preserve">). </w:t>
      </w:r>
      <w:r>
        <w:rPr>
          <w:rFonts w:ascii="Arial" w:cs="Arial" w:hAnsi="Arial"/>
          <w:lang w:val="en-AU"/>
        </w:rPr>
        <w:t xml:space="preserve">A brief theoretical examination of the developmental process of continuous learning and teaching: From </w:t>
      </w:r>
      <w:r>
        <w:rPr>
          <w:rFonts w:ascii="Arial" w:cs="Arial" w:hAnsi="Arial"/>
          <w:lang w:val="en-AU"/>
        </w:rPr>
        <w:t>antegogy</w:t>
      </w:r>
      <w:r>
        <w:rPr>
          <w:rFonts w:ascii="Arial" w:cs="Arial" w:hAnsi="Arial"/>
          <w:lang w:val="en-AU"/>
        </w:rPr>
        <w:t xml:space="preserve"> to </w:t>
      </w:r>
      <w:r>
        <w:rPr>
          <w:rFonts w:ascii="Arial" w:cs="Arial" w:hAnsi="Arial"/>
          <w:lang w:val="en-AU"/>
        </w:rPr>
        <w:t>gerontogogy</w:t>
      </w:r>
      <w:r>
        <w:rPr>
          <w:rFonts w:ascii="Arial" w:cs="Arial" w:hAnsi="Arial"/>
          <w:lang w:val="en-AU"/>
        </w:rPr>
        <w:t xml:space="preserve">. </w:t>
      </w:r>
      <w:r>
        <w:rPr>
          <w:rFonts w:ascii="Arial" w:cs="Arial" w:hAnsi="Arial"/>
          <w:i/>
          <w:lang w:val="en-AU"/>
        </w:rPr>
        <w:t>International Journal of Theoretical Educational Practice</w:t>
      </w:r>
      <w:r>
        <w:rPr>
          <w:rFonts w:ascii="Arial" w:cs="Arial" w:hAnsi="Arial"/>
          <w:lang w:val="en-AU"/>
        </w:rPr>
        <w:t xml:space="preserve">, </w:t>
      </w:r>
      <w:r>
        <w:rPr>
          <w:rFonts w:ascii="Arial" w:cs="Arial" w:hAnsi="Arial"/>
          <w:i/>
          <w:lang w:val="en-AU"/>
        </w:rPr>
        <w:t>1</w:t>
      </w:r>
      <w:r>
        <w:rPr>
          <w:rFonts w:ascii="Arial" w:cs="Arial" w:hAnsi="Arial"/>
          <w:iCs/>
          <w:lang w:val="en-AU"/>
        </w:rPr>
        <w:t xml:space="preserve">(1), </w:t>
      </w:r>
      <w:r>
        <w:rPr>
          <w:rFonts w:ascii="Arial" w:cs="Arial" w:hAnsi="Arial"/>
          <w:lang w:val="en-AU"/>
        </w:rPr>
        <w:t xml:space="preserve">30-43. </w:t>
      </w:r>
      <w:r>
        <w:rPr>
          <w:rFonts w:ascii="Arial" w:cs="Arial" w:hAnsi="Arial"/>
          <w:lang w:val="en-AU"/>
        </w:rPr>
        <w:t>https://doi.org/</w:t>
      </w:r>
      <w:r>
        <w:rPr>
          <w:rFonts w:ascii="Arial" w:cs="Arial" w:hAnsi="Arial"/>
          <w:lang w:val="en-SG"/>
        </w:rPr>
        <w:t>10.5281/zenodo.19217682</w:t>
      </w:r>
      <w:r>
        <w:rPr>
          <w:rFonts w:ascii="Arial" w:cs="Arial" w:hAnsi="Arial"/>
          <w:lang w:val="en-SG"/>
        </w:rPr>
        <w:t xml:space="preserve"> </w:t>
      </w:r>
      <w:r>
        <w:rPr>
          <w:rFonts w:ascii="Arial" w:cs="Arial" w:hAnsi="Arial"/>
          <w:lang w:val="en-AU"/>
        </w:rPr>
        <w:t xml:space="preserve"> </w:t>
      </w:r>
      <w:r>
        <w:rPr>
          <w:rFonts w:ascii="Arial" w:cs="Arial" w:hAnsi="Arial"/>
          <w:b/>
          <w:lang w:val="en-AU"/>
        </w:rPr>
        <w:t xml:space="preserve"> </w:t>
      </w:r>
    </w:p>
    <w:p>
      <w:pPr>
        <w:pStyle w:val="style0"/>
        <w:ind w:left="567" w:hanging="567"/>
        <w:jc w:val="both"/>
        <w:rPr>
          <w:rFonts w:ascii="Arial" w:cs="Arial" w:hAnsi="Arial"/>
        </w:rPr>
      </w:pPr>
      <w:r>
        <w:rPr>
          <w:rFonts w:ascii="Arial" w:cs="Arial" w:hAnsi="Arial"/>
        </w:rPr>
        <w:t xml:space="preserve">Chia, K. H. (2015). </w:t>
      </w:r>
      <w:r>
        <w:rPr>
          <w:rFonts w:ascii="Arial" w:cs="Arial" w:hAnsi="Arial"/>
          <w:i/>
          <w:iCs/>
        </w:rPr>
        <w:t xml:space="preserve">Psychogogy </w:t>
      </w:r>
      <w:r>
        <w:rPr>
          <w:rFonts w:ascii="Arial" w:cs="Arial" w:hAnsi="Arial"/>
        </w:rPr>
        <w:t>(2</w:t>
      </w:r>
      <w:r>
        <w:rPr>
          <w:rFonts w:ascii="Arial" w:cs="Arial" w:hAnsi="Arial"/>
          <w:vertAlign w:val="superscript"/>
        </w:rPr>
        <w:t>nd</w:t>
      </w:r>
      <w:r>
        <w:rPr>
          <w:rFonts w:ascii="Arial" w:cs="Arial" w:hAnsi="Arial"/>
        </w:rPr>
        <w:t xml:space="preserve"> edition). Singapore: Pearson</w:t>
      </w:r>
      <w:r>
        <w:rPr>
          <w:rFonts w:ascii="Arial" w:cs="Arial" w:hAnsi="Arial"/>
        </w:rPr>
        <w:t xml:space="preserve"> Education</w:t>
      </w:r>
      <w:r>
        <w:rPr>
          <w:rFonts w:ascii="Arial" w:cs="Arial" w:hAnsi="Arial"/>
        </w:rPr>
        <w:t>/Prentice-Hall.</w:t>
      </w:r>
      <w:r>
        <w:rPr>
          <w:rFonts w:ascii="Arial" w:cs="Arial" w:hAnsi="Arial"/>
        </w:rPr>
        <w:t xml:space="preserve"> </w:t>
      </w:r>
      <w:r>
        <w:t>https://doi.org/</w:t>
      </w:r>
      <w:r>
        <w:rPr>
          <w:lang w:val="en-SG"/>
        </w:rPr>
        <w:t>10.5281/zenodo.19183176</w:t>
      </w:r>
    </w:p>
    <w:p>
      <w:pPr>
        <w:pStyle w:val="style0"/>
        <w:ind w:left="567" w:hanging="567"/>
        <w:jc w:val="both"/>
        <w:rPr>
          <w:rFonts w:ascii="Arial" w:cs="Arial" w:hAnsi="Arial"/>
        </w:rPr>
      </w:pPr>
      <w:r>
        <w:rPr>
          <w:rFonts w:ascii="Arial" w:cs="Arial" w:hAnsi="Arial"/>
        </w:rPr>
        <w:t>Chia, K.</w:t>
      </w:r>
      <w:r>
        <w:rPr>
          <w:rFonts w:ascii="Arial" w:cs="Arial" w:hAnsi="Arial"/>
        </w:rPr>
        <w:t xml:space="preserve"> </w:t>
      </w:r>
      <w:r>
        <w:rPr>
          <w:rFonts w:ascii="Arial" w:cs="Arial" w:hAnsi="Arial"/>
        </w:rPr>
        <w:t xml:space="preserve">H. (2024). Toward an </w:t>
      </w:r>
      <w:r>
        <w:rPr>
          <w:rFonts w:ascii="Arial" w:cs="Arial" w:hAnsi="Arial"/>
        </w:rPr>
        <w:t>i</w:t>
      </w:r>
      <w:r>
        <w:rPr>
          <w:rFonts w:ascii="Arial" w:cs="Arial" w:hAnsi="Arial"/>
        </w:rPr>
        <w:t xml:space="preserve">ntegrated DDD </w:t>
      </w:r>
      <w:r>
        <w:rPr>
          <w:rFonts w:ascii="Arial" w:cs="Arial" w:hAnsi="Arial"/>
        </w:rPr>
        <w:t>f</w:t>
      </w:r>
      <w:r>
        <w:rPr>
          <w:rFonts w:ascii="Arial" w:cs="Arial" w:hAnsi="Arial"/>
        </w:rPr>
        <w:t xml:space="preserve">ramework: Diagnostic, </w:t>
      </w:r>
      <w:r>
        <w:rPr>
          <w:rFonts w:ascii="Arial" w:cs="Arial" w:hAnsi="Arial"/>
        </w:rPr>
        <w:t>d</w:t>
      </w:r>
      <w:r>
        <w:rPr>
          <w:rFonts w:ascii="Arial" w:cs="Arial" w:hAnsi="Arial"/>
        </w:rPr>
        <w:t xml:space="preserve">ialogic, and </w:t>
      </w:r>
      <w:r>
        <w:rPr>
          <w:rFonts w:ascii="Arial" w:cs="Arial" w:hAnsi="Arial"/>
        </w:rPr>
        <w:t>d</w:t>
      </w:r>
      <w:r>
        <w:rPr>
          <w:rFonts w:ascii="Arial" w:cs="Arial" w:hAnsi="Arial"/>
        </w:rPr>
        <w:t xml:space="preserve">idactic </w:t>
      </w:r>
      <w:r>
        <w:rPr>
          <w:rFonts w:ascii="Arial" w:cs="Arial" w:hAnsi="Arial"/>
        </w:rPr>
        <w:t>m</w:t>
      </w:r>
      <w:r>
        <w:rPr>
          <w:rFonts w:ascii="Arial" w:cs="Arial" w:hAnsi="Arial"/>
        </w:rPr>
        <w:t xml:space="preserve">odels in </w:t>
      </w:r>
      <w:r>
        <w:rPr>
          <w:rFonts w:ascii="Arial" w:cs="Arial" w:hAnsi="Arial"/>
        </w:rPr>
        <w:t>h</w:t>
      </w:r>
      <w:r>
        <w:rPr>
          <w:rFonts w:ascii="Arial" w:cs="Arial" w:hAnsi="Arial"/>
        </w:rPr>
        <w:t xml:space="preserve">ospital </w:t>
      </w:r>
      <w:r>
        <w:rPr>
          <w:rFonts w:ascii="Arial" w:cs="Arial" w:hAnsi="Arial"/>
        </w:rPr>
        <w:t>h</w:t>
      </w:r>
      <w:r>
        <w:rPr>
          <w:rFonts w:ascii="Arial" w:cs="Arial" w:hAnsi="Arial"/>
        </w:rPr>
        <w:t xml:space="preserve">ealthcare </w:t>
      </w:r>
      <w:r>
        <w:rPr>
          <w:rFonts w:ascii="Arial" w:cs="Arial" w:hAnsi="Arial"/>
        </w:rPr>
        <w:t>m</w:t>
      </w:r>
      <w:r>
        <w:rPr>
          <w:rFonts w:ascii="Arial" w:cs="Arial" w:hAnsi="Arial"/>
        </w:rPr>
        <w:t>anagement. </w:t>
      </w:r>
      <w:r>
        <w:rPr>
          <w:rFonts w:ascii="Arial" w:cs="Arial" w:hAnsi="Arial"/>
          <w:i/>
          <w:iCs/>
        </w:rPr>
        <w:t>The Asian Educational Therapist</w:t>
      </w:r>
      <w:r>
        <w:rPr>
          <w:rFonts w:ascii="Arial" w:cs="Arial" w:hAnsi="Arial"/>
        </w:rPr>
        <w:t>, </w:t>
      </w:r>
      <w:r>
        <w:rPr>
          <w:rFonts w:ascii="Arial" w:cs="Arial" w:hAnsi="Arial"/>
          <w:i/>
          <w:iCs/>
        </w:rPr>
        <w:t>2</w:t>
      </w:r>
      <w:r>
        <w:rPr>
          <w:rFonts w:ascii="Arial" w:cs="Arial" w:hAnsi="Arial"/>
        </w:rPr>
        <w:t>(1), 53</w:t>
      </w:r>
      <w:r>
        <w:rPr>
          <w:rFonts w:ascii="Arial" w:cs="Arial" w:hAnsi="Arial"/>
        </w:rPr>
        <w:t>-</w:t>
      </w:r>
      <w:r>
        <w:rPr>
          <w:rFonts w:ascii="Arial" w:cs="Arial" w:hAnsi="Arial"/>
        </w:rPr>
        <w:t>59. https://doi.org/10.64663/aet.19</w:t>
      </w:r>
    </w:p>
    <w:p>
      <w:pPr>
        <w:pStyle w:val="style0"/>
        <w:ind w:left="567" w:hanging="567"/>
        <w:jc w:val="both"/>
        <w:rPr>
          <w:rFonts w:ascii="Arial" w:cs="Arial" w:hAnsi="Arial"/>
        </w:rPr>
      </w:pPr>
      <w:r>
        <w:rPr>
          <w:rFonts w:ascii="Arial" w:cs="Arial" w:hAnsi="Arial"/>
        </w:rPr>
        <w:t xml:space="preserve">Chia, K. H. (2025). </w:t>
      </w:r>
      <w:r>
        <w:rPr>
          <w:rFonts w:ascii="Arial" w:cs="Arial" w:hAnsi="Arial"/>
          <w:lang w:val="en-SG"/>
        </w:rPr>
        <w:t xml:space="preserve">Equipping educational therapists for pediatric palliative care (PPC): A holistic approach to support terminally-ill children. </w:t>
      </w:r>
      <w:r>
        <w:rPr>
          <w:rFonts w:ascii="Arial" w:cs="Arial" w:hAnsi="Arial"/>
          <w:i/>
          <w:iCs/>
          <w:lang w:val="en-SG"/>
        </w:rPr>
        <w:t>Asian Journal of Pediatric Research</w:t>
      </w:r>
      <w:r>
        <w:rPr>
          <w:rFonts w:ascii="Arial" w:cs="Arial" w:hAnsi="Arial"/>
          <w:lang w:val="en-SG"/>
        </w:rPr>
        <w:t xml:space="preserve">, </w:t>
      </w:r>
      <w:r>
        <w:rPr>
          <w:rFonts w:ascii="Arial" w:cs="Arial" w:hAnsi="Arial"/>
          <w:i/>
          <w:iCs/>
          <w:lang w:val="en-SG"/>
        </w:rPr>
        <w:t>15</w:t>
      </w:r>
      <w:r>
        <w:rPr>
          <w:rFonts w:ascii="Arial" w:cs="Arial" w:hAnsi="Arial"/>
          <w:lang w:val="en-SG"/>
        </w:rPr>
        <w:t xml:space="preserve">(6), 21-36. </w:t>
      </w:r>
      <w:r>
        <w:rPr/>
        <w:fldChar w:fldCharType="begin"/>
      </w:r>
      <w:r>
        <w:instrText xml:space="preserve"> HYPERLINK "https://doi.org/10.9734/ajpr/2025/v15i6454" </w:instrText>
      </w:r>
      <w:r>
        <w:rPr/>
        <w:fldChar w:fldCharType="separate"/>
      </w:r>
      <w:r>
        <w:rPr>
          <w:rStyle w:val="style85"/>
          <w:rFonts w:ascii="Arial" w:cs="Arial" w:hAnsi="Arial"/>
          <w:color w:val="auto"/>
          <w:u w:val="none"/>
          <w:lang w:val="en-SG"/>
        </w:rPr>
        <w:t>https://doi.org/10.9734/ajpr/2025/v15i6454</w:t>
      </w:r>
      <w:r>
        <w:rPr/>
        <w:fldChar w:fldCharType="end"/>
      </w:r>
    </w:p>
    <w:p>
      <w:pPr>
        <w:pStyle w:val="style4141"/>
        <w:tabs>
          <w:tab w:val="left" w:leader="none" w:pos="-31680"/>
        </w:tabs>
        <w:ind w:left="567" w:hanging="567"/>
        <w:jc w:val="both"/>
        <w:textAlignment w:val="auto"/>
        <w:rPr>
          <w:rFonts w:ascii="Arial" w:cs="Arial" w:hAnsi="Arial"/>
          <w:sz w:val="20"/>
          <w:szCs w:val="20"/>
        </w:rPr>
      </w:pPr>
      <w:r>
        <w:rPr>
          <w:rFonts w:ascii="Arial" w:cs="Arial" w:hAnsi="Arial"/>
          <w:sz w:val="20"/>
          <w:szCs w:val="20"/>
        </w:rPr>
        <w:t xml:space="preserve">Chia, K. H., &amp; Ng, M. L. (2021, Summer). Cognition, cognitive abilities and cognitive training program. </w:t>
      </w:r>
      <w:r>
        <w:rPr>
          <w:rFonts w:ascii="Arial" w:cs="Arial" w:hAnsi="Arial"/>
          <w:i/>
          <w:iCs/>
          <w:sz w:val="20"/>
          <w:szCs w:val="20"/>
        </w:rPr>
        <w:t>Unlimited Human!</w:t>
      </w:r>
      <w:r>
        <w:rPr>
          <w:rFonts w:ascii="Arial" w:cs="Arial" w:hAnsi="Arial"/>
          <w:sz w:val="20"/>
          <w:szCs w:val="20"/>
        </w:rPr>
        <w:t xml:space="preserve"> 4-6</w:t>
      </w:r>
      <w:r>
        <w:rPr>
          <w:rFonts w:ascii="Arial" w:cs="Arial" w:hAnsi="Arial"/>
          <w:i/>
          <w:iCs/>
          <w:sz w:val="20"/>
          <w:szCs w:val="20"/>
        </w:rPr>
        <w:t xml:space="preserve">. </w:t>
      </w:r>
      <w:r>
        <w:rPr/>
        <w:fldChar w:fldCharType="begin"/>
      </w:r>
      <w:r>
        <w:instrText xml:space="preserve"> HYPERLINK "https://doi.org/10.5281/zenodo.15227209" </w:instrText>
      </w:r>
      <w:r>
        <w:rPr/>
        <w:fldChar w:fldCharType="separate"/>
      </w:r>
      <w:r>
        <w:rPr>
          <w:rStyle w:val="style85"/>
          <w:rFonts w:ascii="Arial" w:cs="Arial" w:hAnsi="Arial"/>
          <w:color w:val="auto"/>
          <w:sz w:val="20"/>
          <w:szCs w:val="20"/>
          <w:u w:val="none"/>
          <w:lang w:val="en-SG"/>
        </w:rPr>
        <w:t>https://doi.org/10.5281/zenodo.15227209</w:t>
      </w:r>
      <w:r>
        <w:rPr/>
        <w:fldChar w:fldCharType="end"/>
      </w:r>
    </w:p>
    <w:p>
      <w:pPr>
        <w:pStyle w:val="style0"/>
        <w:ind w:left="567" w:hanging="567"/>
        <w:jc w:val="both"/>
        <w:rPr>
          <w:rFonts w:ascii="Arial" w:cs="Arial" w:hAnsi="Arial"/>
        </w:rPr>
      </w:pPr>
      <w:r>
        <w:rPr>
          <w:rFonts w:ascii="Arial" w:cs="Arial" w:hAnsi="Arial"/>
        </w:rPr>
        <w:t xml:space="preserve">Chia, K. H., &amp; Tan, M. K. (2024, Spring). The awesome brain: A brief examination of the neurocognitive developmental milestones. </w:t>
      </w:r>
      <w:r>
        <w:rPr>
          <w:rFonts w:ascii="Arial" w:cs="Arial" w:hAnsi="Arial"/>
          <w:i/>
          <w:iCs/>
        </w:rPr>
        <w:t xml:space="preserve">Unlimited Human! </w:t>
      </w:r>
      <w:r>
        <w:rPr>
          <w:rFonts w:ascii="Arial" w:cs="Arial" w:hAnsi="Arial"/>
        </w:rPr>
        <w:t xml:space="preserve">8-9 &amp; 19. </w:t>
      </w:r>
      <w:r>
        <w:rPr/>
        <w:fldChar w:fldCharType="begin"/>
      </w:r>
      <w:r>
        <w:instrText xml:space="preserve"> HYPERLINK "https://doi.org/10.5281/zenodo.15226865" </w:instrText>
      </w:r>
      <w:r>
        <w:rPr/>
        <w:fldChar w:fldCharType="separate"/>
      </w:r>
      <w:r>
        <w:rPr>
          <w:rStyle w:val="style85"/>
          <w:rFonts w:ascii="Arial" w:cs="Arial" w:hAnsi="Arial"/>
          <w:color w:val="auto"/>
          <w:u w:val="none"/>
        </w:rPr>
        <w:t>https://doi.org/</w:t>
      </w:r>
      <w:r>
        <w:rPr>
          <w:rStyle w:val="style85"/>
          <w:rFonts w:ascii="Arial" w:cs="Arial" w:hAnsi="Arial"/>
          <w:color w:val="auto"/>
          <w:u w:val="none"/>
          <w:lang w:val="en-SG"/>
        </w:rPr>
        <w:t>10.5281/zenodo.15226865</w:t>
      </w:r>
      <w:r>
        <w:rPr/>
        <w:fldChar w:fldCharType="end"/>
      </w:r>
    </w:p>
    <w:p>
      <w:pPr>
        <w:pStyle w:val="style0"/>
        <w:ind w:left="567" w:hanging="567"/>
        <w:jc w:val="both"/>
        <w:rPr>
          <w:rFonts w:ascii="Arial" w:cs="Arial" w:hAnsi="Arial"/>
        </w:rPr>
      </w:pPr>
      <w:r>
        <w:rPr>
          <w:rFonts w:ascii="Arial" w:cs="Arial" w:hAnsi="Arial"/>
        </w:rPr>
        <w:t>Choi, S., McMaster, K. L., Kohli, N., Shanahan, E., Birinci, S., An, J., Duesenberg-Marshall, M., &amp; Lembke, E. S. (2024). Longitudinal effects of data-based instructional changes for students with intensive learning needs: A piecewise linear–linear mixed-effects modeling approach. </w:t>
      </w:r>
      <w:r>
        <w:rPr>
          <w:rFonts w:ascii="Arial" w:cs="Arial" w:hAnsi="Arial"/>
          <w:i/>
          <w:iCs/>
        </w:rPr>
        <w:t>Journal of Educational Psychology, 116</w:t>
      </w:r>
      <w:r>
        <w:rPr>
          <w:rFonts w:ascii="Arial" w:cs="Arial" w:hAnsi="Arial"/>
        </w:rPr>
        <w:t>(4), 608</w:t>
      </w:r>
      <w:r>
        <w:rPr>
          <w:rFonts w:ascii="Arial" w:cs="Arial" w:hAnsi="Arial"/>
        </w:rPr>
        <w:t>-</w:t>
      </w:r>
      <w:r>
        <w:rPr>
          <w:rFonts w:ascii="Arial" w:cs="Arial" w:hAnsi="Arial"/>
        </w:rPr>
        <w:t>628. https://doi.org/10.1037/edu0000853</w:t>
      </w:r>
    </w:p>
    <w:p>
      <w:pPr>
        <w:pStyle w:val="style0"/>
        <w:ind w:left="567" w:hanging="567"/>
        <w:jc w:val="both"/>
        <w:rPr>
          <w:rFonts w:ascii="Arial" w:cs="Arial" w:hAnsi="Arial"/>
        </w:rPr>
      </w:pPr>
      <w:r>
        <w:rPr>
          <w:rFonts w:ascii="Arial" w:cs="Arial" w:hAnsi="Arial"/>
        </w:rPr>
        <w:t>Christensen, D., Taylor, C. L., Hancock, K. J., &amp; Zubrick, S. R. (2022). School readiness is more than the child: A latent class analysis of child, family, school and community aspects of school readiness. </w:t>
      </w:r>
      <w:r>
        <w:rPr>
          <w:rFonts w:ascii="Arial" w:cs="Arial" w:hAnsi="Arial"/>
          <w:i/>
          <w:iCs/>
        </w:rPr>
        <w:t>Australian Journal of Social Issues</w:t>
      </w:r>
      <w:r>
        <w:rPr>
          <w:rFonts w:ascii="Arial" w:cs="Arial" w:hAnsi="Arial"/>
        </w:rPr>
        <w:t>, </w:t>
      </w:r>
      <w:r>
        <w:rPr>
          <w:rFonts w:ascii="Arial" w:cs="Arial" w:hAnsi="Arial"/>
          <w:i/>
          <w:iCs/>
        </w:rPr>
        <w:t>57</w:t>
      </w:r>
      <w:r>
        <w:rPr>
          <w:rFonts w:ascii="Arial" w:cs="Arial" w:hAnsi="Arial"/>
        </w:rPr>
        <w:t xml:space="preserve">(1), 125-143. </w:t>
      </w:r>
      <w:r>
        <w:rPr/>
        <w:fldChar w:fldCharType="begin"/>
      </w:r>
      <w:r>
        <w:instrText xml:space="preserve"> HYPERLINK "https://doi.org/10.1002/ajs4.138" </w:instrText>
      </w:r>
      <w:r>
        <w:rPr/>
        <w:fldChar w:fldCharType="separate"/>
      </w:r>
      <w:r>
        <w:rPr>
          <w:rStyle w:val="style85"/>
          <w:rFonts w:ascii="Arial" w:cs="Arial" w:hAnsi="Arial"/>
          <w:color w:val="auto"/>
          <w:u w:val="none"/>
        </w:rPr>
        <w:t>https://doi.org/10.1002/ajs4.138</w:t>
      </w:r>
      <w:r>
        <w:rPr/>
        <w:fldChar w:fldCharType="end"/>
      </w:r>
      <w:r>
        <w:rPr>
          <w:rFonts w:ascii="Arial" w:cs="Arial" w:hAnsi="Arial"/>
        </w:rPr>
        <w:t xml:space="preserve"> </w:t>
      </w:r>
    </w:p>
    <w:p>
      <w:pPr>
        <w:pStyle w:val="style0"/>
        <w:ind w:left="567" w:hanging="567"/>
        <w:jc w:val="both"/>
        <w:rPr>
          <w:rFonts w:ascii="Arial" w:cs="Arial" w:hAnsi="Arial"/>
        </w:rPr>
      </w:pPr>
      <w:r>
        <w:rPr>
          <w:rFonts w:ascii="Arial" w:cs="Arial" w:hAnsi="Arial"/>
        </w:rPr>
        <w:t>Chua, C.</w:t>
      </w:r>
      <w:r>
        <w:rPr>
          <w:rFonts w:ascii="Arial" w:cs="Arial" w:hAnsi="Arial"/>
        </w:rPr>
        <w:t xml:space="preserve"> </w:t>
      </w:r>
      <w:r>
        <w:rPr>
          <w:rFonts w:ascii="Arial" w:cs="Arial" w:hAnsi="Arial"/>
        </w:rPr>
        <w:t>K., &amp; Chia, K.</w:t>
      </w:r>
      <w:r>
        <w:rPr>
          <w:rFonts w:ascii="Arial" w:cs="Arial" w:hAnsi="Arial"/>
        </w:rPr>
        <w:t xml:space="preserve"> </w:t>
      </w:r>
      <w:r>
        <w:rPr>
          <w:rFonts w:ascii="Arial" w:cs="Arial" w:hAnsi="Arial"/>
        </w:rPr>
        <w:t xml:space="preserve">H. (2023, Spring). A brief review of educational therapy &amp; its current role: Part 1. </w:t>
      </w:r>
      <w:r>
        <w:rPr>
          <w:rFonts w:ascii="Arial" w:cs="Arial" w:hAnsi="Arial"/>
          <w:i/>
          <w:iCs/>
        </w:rPr>
        <w:t xml:space="preserve">Unlimited Human! </w:t>
      </w:r>
      <w:r>
        <w:rPr>
          <w:rFonts w:ascii="Arial" w:cs="Arial" w:hAnsi="Arial"/>
        </w:rPr>
        <w:t xml:space="preserve">4-5. </w:t>
      </w:r>
      <w:r>
        <w:rPr>
          <w:rFonts w:ascii="Arial" w:cs="Arial" w:hAnsi="Arial"/>
          <w:lang w:val="en-SG"/>
        </w:rPr>
        <w:t>https://doi.org/10.5281/zenodo.15219971</w:t>
      </w:r>
    </w:p>
    <w:p>
      <w:pPr>
        <w:pStyle w:val="style0"/>
        <w:ind w:left="567" w:hanging="567"/>
        <w:jc w:val="both"/>
        <w:rPr>
          <w:rFonts w:ascii="Arial" w:cs="Arial" w:hAnsi="Arial"/>
        </w:rPr>
      </w:pPr>
      <w:r>
        <w:rPr>
          <w:rFonts w:ascii="Arial" w:cs="Arial" w:hAnsi="Arial"/>
        </w:rPr>
        <w:t xml:space="preserve">Chua, A. C. K., &amp; Singh, H. (2024). Psychoeducational Diagnostic Assessment, Evaluation &amp; Profiling on Children for Educational Therapists: A Proposed Procedure. </w:t>
      </w:r>
      <w:r>
        <w:rPr>
          <w:rFonts w:ascii="Arial" w:cs="Arial" w:hAnsi="Arial"/>
          <w:i/>
          <w:iCs/>
        </w:rPr>
        <w:t>The Asian Educational Therapist</w:t>
      </w:r>
      <w:r>
        <w:rPr>
          <w:rFonts w:ascii="Arial" w:cs="Arial" w:hAnsi="Arial"/>
        </w:rPr>
        <w:t xml:space="preserve">, </w:t>
      </w:r>
      <w:r>
        <w:rPr>
          <w:rFonts w:ascii="Arial" w:cs="Arial" w:hAnsi="Arial"/>
          <w:i/>
          <w:iCs/>
        </w:rPr>
        <w:t>1</w:t>
      </w:r>
      <w:r>
        <w:rPr>
          <w:rFonts w:ascii="Arial" w:cs="Arial" w:hAnsi="Arial"/>
        </w:rPr>
        <w:t>(1), 54-63.</w:t>
      </w:r>
      <w:r>
        <w:rPr>
          <w:rFonts w:ascii="Arial" w:cs="Arial" w:hAnsi="Arial"/>
        </w:rPr>
        <w:t xml:space="preserve"> https://doi.org/</w:t>
      </w:r>
      <w:r>
        <w:rPr>
          <w:rFonts w:ascii="Arial" w:cs="Arial" w:hAnsi="Arial"/>
        </w:rPr>
        <w:t>10.64663/aet.20</w:t>
      </w:r>
    </w:p>
    <w:p>
      <w:pPr>
        <w:pStyle w:val="style0"/>
        <w:ind w:left="567" w:hanging="567"/>
        <w:jc w:val="both"/>
        <w:rPr>
          <w:rFonts w:ascii="Arial" w:cs="Arial" w:hAnsi="Arial"/>
        </w:rPr>
      </w:pPr>
      <w:r>
        <w:rPr>
          <w:rFonts w:ascii="Arial" w:cs="Arial" w:hAnsi="Arial"/>
        </w:rPr>
        <w:t>Davies, A., Rogers, J. M., Baker, K., Li, L., Llerena, J., das Nair, R., &amp; Wong, D. (2024). Combined cognitive and psychological interventions improve meaningful outcomes after acquired brain injury: A systematic review and meta-analysis. </w:t>
      </w:r>
      <w:r>
        <w:rPr>
          <w:rFonts w:ascii="Arial" w:cs="Arial" w:hAnsi="Arial"/>
          <w:i/>
          <w:iCs/>
        </w:rPr>
        <w:t>Neuropsychology Review</w:t>
      </w:r>
      <w:r>
        <w:rPr>
          <w:rFonts w:ascii="Arial" w:cs="Arial" w:hAnsi="Arial"/>
        </w:rPr>
        <w:t>, </w:t>
      </w:r>
      <w:r>
        <w:rPr>
          <w:rFonts w:ascii="Arial" w:cs="Arial" w:hAnsi="Arial"/>
          <w:i/>
          <w:iCs/>
        </w:rPr>
        <w:t>34</w:t>
      </w:r>
      <w:r>
        <w:rPr>
          <w:rFonts w:ascii="Arial" w:cs="Arial" w:hAnsi="Arial"/>
        </w:rPr>
        <w:t xml:space="preserve">(4), 1095-1114. </w:t>
      </w:r>
      <w:r>
        <w:rPr/>
        <w:fldChar w:fldCharType="begin"/>
      </w:r>
      <w:r>
        <w:instrText xml:space="preserve"> HYPERLINK "https://doi.org/10.1007/s11065-023-09625-z" </w:instrText>
      </w:r>
      <w:r>
        <w:rPr/>
        <w:fldChar w:fldCharType="separate"/>
      </w:r>
      <w:r>
        <w:rPr>
          <w:rStyle w:val="style85"/>
          <w:rFonts w:ascii="Arial" w:cs="Arial" w:hAnsi="Arial"/>
          <w:color w:val="auto"/>
          <w:u w:val="none"/>
        </w:rPr>
        <w:t>https://doi.org/10.1007/s11065-023-09625-z</w:t>
      </w:r>
      <w:r>
        <w:rPr/>
        <w:fldChar w:fldCharType="end"/>
      </w:r>
      <w:r>
        <w:rPr>
          <w:rFonts w:ascii="Arial" w:cs="Arial" w:hAnsi="Arial"/>
        </w:rPr>
        <w:t xml:space="preserve"> </w:t>
      </w:r>
    </w:p>
    <w:p>
      <w:pPr>
        <w:pStyle w:val="style0"/>
        <w:ind w:left="567" w:hanging="567"/>
        <w:jc w:val="both"/>
        <w:rPr>
          <w:rFonts w:ascii="Arial" w:cs="Arial" w:hAnsi="Arial"/>
        </w:rPr>
      </w:pPr>
      <w:r>
        <w:rPr>
          <w:rFonts w:ascii="Arial" w:cs="Arial" w:hAnsi="Arial"/>
        </w:rPr>
        <w:t xml:space="preserve">de Haan, M. D., </w:t>
      </w:r>
      <w:r>
        <w:rPr>
          <w:rFonts w:ascii="Arial" w:cs="Arial" w:hAnsi="Arial"/>
        </w:rPr>
        <w:t>Dumontheil</w:t>
      </w:r>
      <w:r>
        <w:rPr>
          <w:rFonts w:ascii="Arial" w:cs="Arial" w:hAnsi="Arial"/>
        </w:rPr>
        <w:t>, I., &amp; Johnson, M. H. (2023). </w:t>
      </w:r>
      <w:r>
        <w:rPr>
          <w:rFonts w:ascii="Arial" w:cs="Arial" w:hAnsi="Arial"/>
          <w:i/>
          <w:iCs/>
        </w:rPr>
        <w:t>Developmental cognitive neuroscience: An introduction</w:t>
      </w:r>
      <w:r>
        <w:rPr>
          <w:rFonts w:ascii="Arial" w:cs="Arial" w:hAnsi="Arial"/>
        </w:rPr>
        <w:t xml:space="preserve">. Hoboken, NJ: John Wiley &amp; Sons. </w:t>
      </w:r>
      <w:r>
        <w:rPr/>
        <w:fldChar w:fldCharType="begin"/>
      </w:r>
      <w:r>
        <w:instrText xml:space="preserve"> HYPERLINK "https://doi.org/10.1002/9781394260676" </w:instrText>
      </w:r>
      <w:r>
        <w:rPr/>
        <w:fldChar w:fldCharType="separate"/>
      </w:r>
      <w:r>
        <w:rPr>
          <w:rStyle w:val="style85"/>
          <w:rFonts w:ascii="Arial" w:cs="Arial" w:hAnsi="Arial"/>
          <w:color w:val="auto"/>
          <w:u w:val="none"/>
        </w:rPr>
        <w:t>https://doi.org/10.1002/9781394260676</w:t>
      </w:r>
      <w:r>
        <w:rPr/>
        <w:fldChar w:fldCharType="end"/>
      </w:r>
      <w:r>
        <w:rPr>
          <w:rFonts w:ascii="Arial" w:cs="Arial" w:hAnsi="Arial"/>
        </w:rPr>
        <w:t xml:space="preserve"> </w:t>
      </w:r>
    </w:p>
    <w:p>
      <w:pPr>
        <w:pStyle w:val="style0"/>
        <w:ind w:left="567" w:hanging="567"/>
        <w:jc w:val="both"/>
        <w:rPr>
          <w:rFonts w:ascii="Arial" w:cs="Arial" w:hAnsi="Arial"/>
        </w:rPr>
      </w:pPr>
      <w:r>
        <w:t>Deltomme</w:t>
      </w:r>
      <w:r>
        <w:t xml:space="preserve">, B., </w:t>
      </w:r>
      <w:r>
        <w:t>Gorissen</w:t>
      </w:r>
      <w:r>
        <w:t xml:space="preserve">, K., &amp; </w:t>
      </w:r>
      <w:r>
        <w:t>Weijters</w:t>
      </w:r>
      <w:r>
        <w:t>, B. (2023). Measuring pro-environmental behavior: Convergent validity, internal consistency, and respondent experience of existing instruments. </w:t>
      </w:r>
      <w:r>
        <w:rPr>
          <w:i/>
          <w:iCs/>
        </w:rPr>
        <w:t>Sustainability</w:t>
      </w:r>
      <w:r>
        <w:t>, </w:t>
      </w:r>
      <w:r>
        <w:rPr>
          <w:i/>
          <w:iCs/>
        </w:rPr>
        <w:t>15</w:t>
      </w:r>
      <w:r>
        <w:t>(19)</w:t>
      </w:r>
      <w:r>
        <w:t>. Article ID:</w:t>
      </w:r>
      <w:r>
        <w:t xml:space="preserve"> 14484.</w:t>
      </w:r>
      <w:r>
        <w:t xml:space="preserve"> </w:t>
      </w:r>
      <w:r>
        <w:t>https://doi.org/10.3390/su151914484</w:t>
      </w:r>
    </w:p>
    <w:p>
      <w:pPr>
        <w:pStyle w:val="style0"/>
        <w:ind w:left="567" w:hanging="567"/>
        <w:jc w:val="both"/>
        <w:rPr>
          <w:rFonts w:ascii="Arial" w:cs="Arial" w:hAnsi="Arial"/>
        </w:rPr>
      </w:pPr>
      <w:r>
        <w:t>Deng, M., Ojo, C., Riley-Jensen, E. G., &amp; Snyder, M. E. (2026). Developing investigator guidance for pharmacy compensation for research participation: A report from the medication safety research network of Indiana (Rx-SafeNet). </w:t>
      </w:r>
      <w:r>
        <w:rPr>
          <w:i/>
          <w:iCs/>
        </w:rPr>
        <w:t>Journal of the American Pharmacists Association</w:t>
      </w:r>
      <w:r>
        <w:t xml:space="preserve">, </w:t>
      </w:r>
      <w:r>
        <w:t xml:space="preserve">Article ID: </w:t>
      </w:r>
      <w:r>
        <w:t>103067.</w:t>
      </w:r>
      <w:r>
        <w:t xml:space="preserve"> </w:t>
      </w:r>
      <w:r>
        <w:t>https://doi.org/10.1016/j.japh.2026.103067</w:t>
      </w:r>
    </w:p>
    <w:p>
      <w:pPr>
        <w:pStyle w:val="style0"/>
        <w:ind w:left="567" w:hanging="567"/>
        <w:jc w:val="both"/>
        <w:rPr>
          <w:rFonts w:ascii="Arial" w:cs="Arial" w:hAnsi="Arial"/>
        </w:rPr>
      </w:pPr>
      <w:r>
        <w:rPr>
          <w:rFonts w:ascii="Arial" w:cs="Arial" w:hAnsi="Arial"/>
        </w:rPr>
        <w:t xml:space="preserve">Dunn, W. (1999). </w:t>
      </w:r>
      <w:r>
        <w:rPr>
          <w:rFonts w:ascii="Arial" w:cs="Arial" w:hAnsi="Arial"/>
          <w:i/>
          <w:iCs/>
        </w:rPr>
        <w:t>Sensory profile: User’s manual</w:t>
      </w:r>
      <w:r>
        <w:rPr>
          <w:rFonts w:ascii="Arial" w:cs="Arial" w:hAnsi="Arial"/>
        </w:rPr>
        <w:t xml:space="preserve">. </w:t>
      </w:r>
      <w:r>
        <w:rPr>
          <w:rFonts w:ascii="Arial" w:cs="Arial" w:hAnsi="Arial"/>
        </w:rPr>
        <w:t>San Antonio, TX: Psychological Corporation.</w:t>
      </w:r>
      <w:r>
        <w:rPr>
          <w:rFonts w:ascii="Arial" w:cs="Arial" w:hAnsi="Arial"/>
        </w:rPr>
        <w:t xml:space="preserve"> Available from: https</w:t>
      </w:r>
      <w:r>
        <w:rPr>
          <w:rFonts w:ascii="Arial" w:cs="Arial" w:hAnsi="Arial"/>
        </w:rPr>
        <w:t>://archive.org/details/sensoryprofileus0000dunn</w:t>
      </w:r>
    </w:p>
    <w:p>
      <w:pPr>
        <w:pStyle w:val="style0"/>
        <w:ind w:left="567" w:hanging="567"/>
        <w:jc w:val="both"/>
        <w:rPr>
          <w:rFonts w:ascii="Arial" w:cs="Arial" w:hAnsi="Arial"/>
        </w:rPr>
      </w:pPr>
      <w:r>
        <w:rPr>
          <w:rFonts w:ascii="Arial" w:cs="Arial" w:hAnsi="Arial"/>
        </w:rPr>
        <w:t xml:space="preserve">Faraone, S. V., Asherson, P., </w:t>
      </w:r>
      <w:r>
        <w:rPr>
          <w:rFonts w:ascii="Arial" w:cs="Arial" w:hAnsi="Arial"/>
        </w:rPr>
        <w:t>Banaschewski</w:t>
      </w:r>
      <w:r>
        <w:rPr>
          <w:rFonts w:ascii="Arial" w:cs="Arial" w:hAnsi="Arial"/>
        </w:rPr>
        <w:t xml:space="preserve">, T., Biederman, J., </w:t>
      </w:r>
      <w:r>
        <w:rPr>
          <w:rFonts w:ascii="Arial" w:cs="Arial" w:hAnsi="Arial"/>
        </w:rPr>
        <w:t>Buitelaar</w:t>
      </w:r>
      <w:r>
        <w:rPr>
          <w:rFonts w:ascii="Arial" w:cs="Arial" w:hAnsi="Arial"/>
        </w:rPr>
        <w:t xml:space="preserve">, J. K., Ramos-Quiroga, J. A., </w:t>
      </w:r>
      <w:r>
        <w:rPr>
          <w:rFonts w:ascii="Arial" w:cs="Arial" w:hAnsi="Arial"/>
        </w:rPr>
        <w:t xml:space="preserve">… </w:t>
      </w:r>
      <w:r>
        <w:rPr>
          <w:rFonts w:ascii="Arial" w:cs="Arial" w:hAnsi="Arial"/>
        </w:rPr>
        <w:t xml:space="preserve">&amp; Franke, B. (2021). Attention-deficit/hyperactivity disorder. </w:t>
      </w:r>
      <w:r>
        <w:rPr>
          <w:rFonts w:ascii="Arial" w:cs="Arial" w:hAnsi="Arial"/>
          <w:i/>
          <w:iCs/>
        </w:rPr>
        <w:t>Nature Reviews Disease Primers</w:t>
      </w:r>
      <w:r>
        <w:rPr>
          <w:rFonts w:ascii="Arial" w:cs="Arial" w:hAnsi="Arial"/>
        </w:rPr>
        <w:t xml:space="preserve">, </w:t>
      </w:r>
      <w:r>
        <w:rPr>
          <w:rFonts w:ascii="Arial" w:cs="Arial" w:hAnsi="Arial"/>
          <w:i/>
          <w:iCs/>
        </w:rPr>
        <w:t>7</w:t>
      </w:r>
      <w:r>
        <w:rPr>
          <w:rFonts w:ascii="Arial" w:cs="Arial" w:hAnsi="Arial"/>
        </w:rPr>
        <w:t xml:space="preserve">(1), 1-23. Article ID: 15020. </w:t>
      </w:r>
      <w:r>
        <w:rPr/>
        <w:fldChar w:fldCharType="begin"/>
      </w:r>
      <w:r>
        <w:instrText xml:space="preserve"> HYPERLINK "https://doi.org/10.1038/nrdp.2015.20" </w:instrText>
      </w:r>
      <w:r>
        <w:rPr/>
        <w:fldChar w:fldCharType="separate"/>
      </w:r>
      <w:r>
        <w:rPr>
          <w:rStyle w:val="style85"/>
          <w:rFonts w:ascii="Arial" w:cs="Arial" w:hAnsi="Arial"/>
          <w:color w:val="auto"/>
          <w:u w:val="none"/>
        </w:rPr>
        <w:t>https://doi.org/10.1038/nrdp.2015.20</w:t>
      </w:r>
      <w:r>
        <w:rPr/>
        <w:fldChar w:fldCharType="end"/>
      </w:r>
      <w:r>
        <w:rPr>
          <w:rFonts w:ascii="Arial" w:cs="Arial" w:hAnsi="Arial"/>
        </w:rPr>
        <w:t xml:space="preserve"> </w:t>
      </w:r>
    </w:p>
    <w:p>
      <w:pPr>
        <w:pStyle w:val="style0"/>
        <w:ind w:left="567" w:hanging="567"/>
        <w:jc w:val="both"/>
        <w:rPr>
          <w:rFonts w:ascii="Arial" w:cs="Arial" w:hAnsi="Arial"/>
          <w:lang w:val="en-SG"/>
        </w:rPr>
      </w:pPr>
      <w:r>
        <w:rPr>
          <w:rFonts w:ascii="Arial" w:cs="Arial" w:hAnsi="Arial"/>
        </w:rPr>
        <w:t xml:space="preserve">Firmansyah, D., &amp; </w:t>
      </w:r>
      <w:r>
        <w:rPr>
          <w:rFonts w:ascii="Arial" w:cs="Arial" w:hAnsi="Arial"/>
        </w:rPr>
        <w:t>Saepuloh</w:t>
      </w:r>
      <w:r>
        <w:rPr>
          <w:rFonts w:ascii="Arial" w:cs="Arial" w:hAnsi="Arial"/>
        </w:rPr>
        <w:t>, D. (2022). Social learning theory: Cognitive and behavioral approaches. </w:t>
      </w:r>
      <w:r>
        <w:rPr>
          <w:rFonts w:ascii="Arial" w:cs="Arial" w:hAnsi="Arial"/>
          <w:i/>
          <w:iCs/>
        </w:rPr>
        <w:t>Jurnal</w:t>
      </w:r>
      <w:r>
        <w:rPr>
          <w:rFonts w:ascii="Arial" w:cs="Arial" w:hAnsi="Arial"/>
          <w:i/>
          <w:iCs/>
        </w:rPr>
        <w:t xml:space="preserve"> </w:t>
      </w:r>
      <w:r>
        <w:rPr>
          <w:rFonts w:ascii="Arial" w:cs="Arial" w:hAnsi="Arial"/>
          <w:i/>
          <w:iCs/>
        </w:rPr>
        <w:t>Ilmiah</w:t>
      </w:r>
      <w:r>
        <w:rPr>
          <w:rFonts w:ascii="Arial" w:cs="Arial" w:hAnsi="Arial"/>
          <w:i/>
          <w:iCs/>
        </w:rPr>
        <w:t xml:space="preserve"> Pendidikan </w:t>
      </w:r>
      <w:r>
        <w:rPr>
          <w:rFonts w:ascii="Arial" w:cs="Arial" w:hAnsi="Arial"/>
          <w:i/>
          <w:iCs/>
        </w:rPr>
        <w:t>Holistik</w:t>
      </w:r>
      <w:r>
        <w:rPr>
          <w:rFonts w:ascii="Arial" w:cs="Arial" w:hAnsi="Arial"/>
        </w:rPr>
        <w:t>, </w:t>
      </w:r>
      <w:r>
        <w:rPr>
          <w:rFonts w:ascii="Arial" w:cs="Arial" w:hAnsi="Arial"/>
          <w:i/>
          <w:iCs/>
        </w:rPr>
        <w:t>1</w:t>
      </w:r>
      <w:r>
        <w:rPr>
          <w:rFonts w:ascii="Arial" w:cs="Arial" w:hAnsi="Arial"/>
        </w:rPr>
        <w:t xml:space="preserve">(3), 297-324. </w:t>
      </w:r>
      <w:r>
        <w:rPr/>
        <w:fldChar w:fldCharType="begin"/>
      </w:r>
      <w:r>
        <w:instrText xml:space="preserve"> HYPERLINK "https://doi.org/10.55927/jiph.v1i3.2317" </w:instrText>
      </w:r>
      <w:r>
        <w:rPr/>
        <w:fldChar w:fldCharType="separate"/>
      </w:r>
      <w:r>
        <w:rPr>
          <w:rStyle w:val="style85"/>
          <w:rFonts w:ascii="Arial" w:cs="Arial" w:hAnsi="Arial"/>
          <w:color w:val="auto"/>
          <w:u w:val="none"/>
        </w:rPr>
        <w:t>https://doi.org/10.55927/jiph.v1i3.2317</w:t>
      </w:r>
      <w:r>
        <w:rPr/>
        <w:fldChar w:fldCharType="end"/>
      </w:r>
      <w:r>
        <w:rPr>
          <w:rFonts w:ascii="Arial" w:cs="Arial" w:hAnsi="Arial"/>
        </w:rPr>
        <w:t xml:space="preserve"> </w:t>
      </w:r>
    </w:p>
    <w:p>
      <w:pPr>
        <w:pStyle w:val="style0"/>
        <w:ind w:left="567" w:hanging="567"/>
        <w:jc w:val="both"/>
        <w:rPr>
          <w:rFonts w:ascii="Arial" w:cs="Arial" w:hAnsi="Arial"/>
        </w:rPr>
      </w:pPr>
      <w:r>
        <w:rPr>
          <w:rFonts w:ascii="Arial" w:cs="Arial" w:hAnsi="Arial"/>
        </w:rPr>
        <w:t>Fu, Y., Wu, C., &amp; Zhuo, L. (2024). Parent-school collaboration as a foundation for holistic child development. </w:t>
      </w:r>
      <w:r>
        <w:rPr>
          <w:rFonts w:ascii="Arial" w:cs="Arial" w:hAnsi="Arial"/>
          <w:i/>
          <w:iCs/>
        </w:rPr>
        <w:t xml:space="preserve">Journal of Roi </w:t>
      </w:r>
      <w:r>
        <w:rPr>
          <w:rFonts w:ascii="Arial" w:cs="Arial" w:hAnsi="Arial"/>
          <w:i/>
          <w:iCs/>
        </w:rPr>
        <w:t>Kaensarn</w:t>
      </w:r>
      <w:r>
        <w:rPr>
          <w:rFonts w:ascii="Arial" w:cs="Arial" w:hAnsi="Arial"/>
          <w:i/>
          <w:iCs/>
        </w:rPr>
        <w:t xml:space="preserve"> </w:t>
      </w:r>
      <w:r>
        <w:rPr>
          <w:rFonts w:ascii="Arial" w:cs="Arial" w:hAnsi="Arial"/>
          <w:i/>
          <w:iCs/>
        </w:rPr>
        <w:t>Academi</w:t>
      </w:r>
      <w:r>
        <w:rPr>
          <w:rFonts w:ascii="Arial" w:cs="Arial" w:hAnsi="Arial"/>
        </w:rPr>
        <w:t>, </w:t>
      </w:r>
      <w:r>
        <w:rPr>
          <w:rFonts w:ascii="Arial" w:cs="Arial" w:hAnsi="Arial"/>
          <w:i/>
          <w:iCs/>
        </w:rPr>
        <w:t>9</w:t>
      </w:r>
      <w:r>
        <w:rPr>
          <w:rFonts w:ascii="Arial" w:cs="Arial" w:hAnsi="Arial"/>
        </w:rPr>
        <w:t>(11), 1821-1830.</w:t>
      </w:r>
    </w:p>
    <w:p>
      <w:pPr>
        <w:pStyle w:val="style0"/>
        <w:ind w:left="567" w:hanging="567"/>
        <w:jc w:val="both"/>
        <w:rPr>
          <w:rFonts w:ascii="Arial" w:cs="Arial" w:hAnsi="Arial"/>
        </w:rPr>
      </w:pPr>
      <w:r>
        <w:rPr>
          <w:rFonts w:ascii="Arial" w:cs="Arial" w:hAnsi="Arial"/>
        </w:rPr>
        <w:t>Goldberg, H. (2022). Growing brains, nurturing minds: Neuroscience as an educational tool to support students’ development as life-long learners. </w:t>
      </w:r>
      <w:r>
        <w:rPr>
          <w:rFonts w:ascii="Arial" w:cs="Arial" w:hAnsi="Arial"/>
          <w:i/>
          <w:iCs/>
        </w:rPr>
        <w:t>Brain Sciences</w:t>
      </w:r>
      <w:r>
        <w:rPr>
          <w:rFonts w:ascii="Arial" w:cs="Arial" w:hAnsi="Arial"/>
        </w:rPr>
        <w:t>, </w:t>
      </w:r>
      <w:r>
        <w:rPr>
          <w:rFonts w:ascii="Arial" w:cs="Arial" w:hAnsi="Arial"/>
          <w:i/>
          <w:iCs/>
        </w:rPr>
        <w:t>12</w:t>
      </w:r>
      <w:r>
        <w:rPr>
          <w:rFonts w:ascii="Arial" w:cs="Arial" w:hAnsi="Arial"/>
        </w:rPr>
        <w:t xml:space="preserve">(12). Article No. 1622. </w:t>
      </w:r>
      <w:r>
        <w:rPr/>
        <w:fldChar w:fldCharType="begin"/>
      </w:r>
      <w:r>
        <w:instrText xml:space="preserve"> HYPERLINK "https://doi.org/10.3390/brainsci12121622" </w:instrText>
      </w:r>
      <w:r>
        <w:rPr/>
        <w:fldChar w:fldCharType="separate"/>
      </w:r>
      <w:r>
        <w:rPr>
          <w:rStyle w:val="style85"/>
          <w:rFonts w:ascii="Arial" w:cs="Arial" w:hAnsi="Arial"/>
          <w:color w:val="auto"/>
          <w:u w:val="none"/>
          <w:shd w:val="clear" w:color="auto" w:fill="ffffff"/>
        </w:rPr>
        <w:t>https://doi.org/10.3390/brainsci12121622</w:t>
      </w:r>
      <w:r>
        <w:rPr/>
        <w:fldChar w:fldCharType="end"/>
      </w:r>
      <w:r>
        <w:rPr>
          <w:rFonts w:ascii="Arial" w:cs="Arial" w:hAnsi="Arial"/>
          <w:shd w:val="clear" w:color="auto" w:fill="ffffff"/>
        </w:rPr>
        <w:t xml:space="preserve"> </w:t>
      </w:r>
      <w:r>
        <w:rPr>
          <w:rFonts w:ascii="Arial" w:cs="Arial" w:hAnsi="Arial"/>
        </w:rPr>
        <w:t xml:space="preserve"> </w:t>
      </w:r>
    </w:p>
    <w:p>
      <w:pPr>
        <w:pStyle w:val="style0"/>
        <w:ind w:left="567" w:hanging="567"/>
        <w:jc w:val="both"/>
        <w:rPr>
          <w:rFonts w:ascii="Arial" w:cs="Arial" w:hAnsi="Arial"/>
          <w:lang w:val="en-SG"/>
        </w:rPr>
      </w:pPr>
      <w:r>
        <w:rPr>
          <w:rFonts w:ascii="Arial" w:cs="Arial" w:hAnsi="Arial"/>
        </w:rPr>
        <w:t xml:space="preserve">Grist, N., Brown, T., Yu, M.-L., &amp; Clark, E. (2024). </w:t>
      </w:r>
      <w:r>
        <w:rPr>
          <w:rFonts w:ascii="Arial" w:cs="Arial" w:hAnsi="Arial"/>
          <w:lang w:val="en-SG"/>
        </w:rPr>
        <w:t>An exploration of the association between sensory processing and interoceptive awareness in neurotypical school-aged children</w:t>
      </w:r>
      <w:r>
        <w:rPr>
          <w:rFonts w:ascii="Arial" w:cs="Arial" w:hAnsi="Arial"/>
        </w:rPr>
        <w:t xml:space="preserve">. </w:t>
      </w:r>
      <w:r>
        <w:rPr>
          <w:rFonts w:ascii="Arial" w:cs="Arial" w:hAnsi="Arial"/>
          <w:i/>
          <w:iCs/>
        </w:rPr>
        <w:t>Journal of Occupational Therapy, Schools, and Early Intervention</w:t>
      </w:r>
      <w:r>
        <w:rPr>
          <w:rFonts w:ascii="Arial" w:cs="Arial" w:hAnsi="Arial"/>
        </w:rPr>
        <w:t xml:space="preserve">, </w:t>
      </w:r>
      <w:r>
        <w:rPr>
          <w:rFonts w:ascii="Arial" w:cs="Arial" w:hAnsi="Arial"/>
          <w:i/>
          <w:iCs/>
        </w:rPr>
        <w:t>17</w:t>
      </w:r>
      <w:r>
        <w:rPr>
          <w:rFonts w:ascii="Arial" w:cs="Arial" w:hAnsi="Arial"/>
        </w:rPr>
        <w:t>(4), 1097-1116(20).</w:t>
      </w:r>
      <w:r>
        <w:rPr>
          <w:rFonts w:ascii="Arial" w:cs="Arial" w:hAnsi="Arial"/>
          <w:lang w:val="en-SG"/>
        </w:rPr>
        <w:t xml:space="preserve"> </w:t>
      </w:r>
      <w:r>
        <w:rPr/>
        <w:fldChar w:fldCharType="begin"/>
      </w:r>
      <w:r>
        <w:instrText xml:space="preserve"> HYPERLINK "https://doi.org/10.1080/19411243.2023.2215759" </w:instrText>
      </w:r>
      <w:r>
        <w:rPr/>
        <w:fldChar w:fldCharType="separate"/>
      </w:r>
      <w:r>
        <w:rPr>
          <w:rStyle w:val="style85"/>
          <w:rFonts w:ascii="Arial" w:cs="Arial" w:hAnsi="Arial"/>
          <w:color w:val="auto"/>
          <w:u w:val="none"/>
          <w:lang w:val="en-SG"/>
        </w:rPr>
        <w:t>https://doi.org/10.1080/19411243.2023.2215759</w:t>
      </w:r>
      <w:r>
        <w:rPr/>
        <w:fldChar w:fldCharType="end"/>
      </w:r>
    </w:p>
    <w:p>
      <w:pPr>
        <w:pStyle w:val="style0"/>
        <w:ind w:left="567" w:hanging="567"/>
        <w:jc w:val="both"/>
        <w:rPr>
          <w:rFonts w:ascii="Arial" w:cs="Arial" w:hAnsi="Arial"/>
        </w:rPr>
      </w:pPr>
      <w:r>
        <w:rPr>
          <w:rFonts w:ascii="Arial" w:cs="Arial" w:hAnsi="Arial"/>
        </w:rPr>
        <w:t xml:space="preserve">Hajri, M., Abbes, Z., Yahia, H. B., </w:t>
      </w:r>
      <w:r>
        <w:rPr>
          <w:rFonts w:ascii="Arial" w:cs="Arial" w:hAnsi="Arial"/>
        </w:rPr>
        <w:t>Jelili</w:t>
      </w:r>
      <w:r>
        <w:rPr>
          <w:rFonts w:ascii="Arial" w:cs="Arial" w:hAnsi="Arial"/>
        </w:rPr>
        <w:t xml:space="preserve">, S., </w:t>
      </w:r>
      <w:r>
        <w:rPr>
          <w:rFonts w:ascii="Arial" w:cs="Arial" w:hAnsi="Arial"/>
        </w:rPr>
        <w:t>Halayem</w:t>
      </w:r>
      <w:r>
        <w:rPr>
          <w:rFonts w:ascii="Arial" w:cs="Arial" w:hAnsi="Arial"/>
        </w:rPr>
        <w:t xml:space="preserve">, S., Mrabet, A., &amp; </w:t>
      </w:r>
      <w:r>
        <w:rPr>
          <w:rFonts w:ascii="Arial" w:cs="Arial" w:hAnsi="Arial"/>
        </w:rPr>
        <w:t>Bouden</w:t>
      </w:r>
      <w:r>
        <w:rPr>
          <w:rFonts w:ascii="Arial" w:cs="Arial" w:hAnsi="Arial"/>
        </w:rPr>
        <w:t xml:space="preserve">, A. (2022). Cognitive deficits in children with autism spectrum disorders: Toward an integrative approach combining social and non-social cognition. </w:t>
      </w:r>
      <w:r>
        <w:rPr>
          <w:rFonts w:ascii="Arial" w:cs="Arial" w:hAnsi="Arial"/>
          <w:i/>
          <w:iCs/>
        </w:rPr>
        <w:t>Frontiers in Psychiatry</w:t>
      </w:r>
      <w:r>
        <w:rPr>
          <w:rFonts w:ascii="Arial" w:cs="Arial" w:hAnsi="Arial"/>
        </w:rPr>
        <w:t xml:space="preserve">, </w:t>
      </w:r>
      <w:r>
        <w:rPr>
          <w:rFonts w:ascii="Arial" w:cs="Arial" w:hAnsi="Arial"/>
          <w:i/>
          <w:iCs/>
        </w:rPr>
        <w:t>13</w:t>
      </w:r>
      <w:r>
        <w:rPr>
          <w:rFonts w:ascii="Arial" w:cs="Arial" w:hAnsi="Arial"/>
        </w:rPr>
        <w:t xml:space="preserve">. Article ID:917121. </w:t>
      </w:r>
      <w:r>
        <w:rPr/>
        <w:fldChar w:fldCharType="begin"/>
      </w:r>
      <w:r>
        <w:instrText xml:space="preserve"> HYPERLINK "https://doi.org/10.3389/fpsyt.2022.917121" </w:instrText>
      </w:r>
      <w:r>
        <w:rPr/>
        <w:fldChar w:fldCharType="separate"/>
      </w:r>
      <w:r>
        <w:rPr>
          <w:rStyle w:val="style85"/>
          <w:rFonts w:ascii="Arial" w:cs="Arial" w:hAnsi="Arial"/>
          <w:color w:val="auto"/>
          <w:u w:val="none"/>
        </w:rPr>
        <w:t>https://doi.org/10.3389/fpsyt.2022.917121</w:t>
      </w:r>
      <w:r>
        <w:rPr/>
        <w:fldChar w:fldCharType="end"/>
      </w:r>
      <w:r>
        <w:rPr>
          <w:rFonts w:ascii="Arial" w:cs="Arial" w:hAnsi="Arial"/>
        </w:rPr>
        <w:t xml:space="preserve">  </w:t>
      </w:r>
    </w:p>
    <w:p>
      <w:pPr>
        <w:pStyle w:val="style0"/>
        <w:ind w:left="567" w:hanging="567"/>
        <w:jc w:val="both"/>
        <w:rPr>
          <w:rFonts w:ascii="Arial" w:cs="Arial" w:hAnsi="Arial"/>
        </w:rPr>
      </w:pPr>
      <w:r>
        <w:rPr>
          <w:rFonts w:ascii="Arial" w:cs="Arial" w:hAnsi="Arial"/>
        </w:rPr>
        <w:t>Hoffman, L., Prout, T. A., Rice, T., &amp; Bernstein, M. (2023). Addressing emotion regulation with children: Play, verbalization of feelings, and reappraisal. </w:t>
      </w:r>
      <w:r>
        <w:rPr>
          <w:rFonts w:ascii="Arial" w:cs="Arial" w:hAnsi="Arial"/>
          <w:i/>
          <w:iCs/>
        </w:rPr>
        <w:t>Journal of Infant, Child, and Adolescent Psychotherapy</w:t>
      </w:r>
      <w:r>
        <w:rPr>
          <w:rFonts w:ascii="Arial" w:cs="Arial" w:hAnsi="Arial"/>
        </w:rPr>
        <w:t>, </w:t>
      </w:r>
      <w:r>
        <w:rPr>
          <w:rFonts w:ascii="Arial" w:cs="Arial" w:hAnsi="Arial"/>
          <w:i/>
          <w:iCs/>
        </w:rPr>
        <w:t>22</w:t>
      </w:r>
      <w:r>
        <w:rPr>
          <w:rFonts w:ascii="Arial" w:cs="Arial" w:hAnsi="Arial"/>
        </w:rPr>
        <w:t xml:space="preserve">(1), 1-13. </w:t>
      </w:r>
      <w:r>
        <w:rPr/>
        <w:fldChar w:fldCharType="begin"/>
      </w:r>
      <w:r>
        <w:instrText xml:space="preserve"> HYPERLINK "https://doi.org/10.1080/15289168.2023.2165874" </w:instrText>
      </w:r>
      <w:r>
        <w:rPr/>
        <w:fldChar w:fldCharType="separate"/>
      </w:r>
      <w:r>
        <w:rPr>
          <w:rStyle w:val="style85"/>
          <w:rFonts w:ascii="Arial" w:cs="Arial" w:hAnsi="Arial"/>
          <w:color w:val="auto"/>
          <w:u w:val="none"/>
        </w:rPr>
        <w:t>https://doi.org/10.1080/15289168.2023.2165874</w:t>
      </w:r>
      <w:r>
        <w:rPr/>
        <w:fldChar w:fldCharType="end"/>
      </w:r>
      <w:r>
        <w:rPr>
          <w:rFonts w:ascii="Arial" w:cs="Arial" w:hAnsi="Arial"/>
        </w:rPr>
        <w:t xml:space="preserve">  </w:t>
      </w:r>
    </w:p>
    <w:p>
      <w:pPr>
        <w:pStyle w:val="style0"/>
        <w:ind w:left="567" w:hanging="567"/>
        <w:jc w:val="both"/>
        <w:rPr>
          <w:rFonts w:ascii="Arial" w:cs="Arial" w:hAnsi="Arial"/>
        </w:rPr>
      </w:pPr>
      <w:r>
        <w:rPr>
          <w:rFonts w:ascii="Arial" w:cs="Arial" w:hAnsi="Arial"/>
        </w:rPr>
        <w:t>Huang, Z., Jordan, J. D., &amp; Zhang, Q. (2023). Early life adversity as a risk factor for cognitive impairment and Alzheimer’s disease. </w:t>
      </w:r>
      <w:r>
        <w:rPr>
          <w:rFonts w:ascii="Arial" w:cs="Arial" w:hAnsi="Arial"/>
          <w:i/>
          <w:iCs/>
        </w:rPr>
        <w:t>Translational Neurodegeneration</w:t>
      </w:r>
      <w:r>
        <w:rPr>
          <w:rFonts w:ascii="Arial" w:cs="Arial" w:hAnsi="Arial"/>
        </w:rPr>
        <w:t>, </w:t>
      </w:r>
      <w:r>
        <w:rPr>
          <w:rFonts w:ascii="Arial" w:cs="Arial" w:hAnsi="Arial"/>
          <w:i/>
          <w:iCs/>
        </w:rPr>
        <w:t>12</w:t>
      </w:r>
      <w:r>
        <w:rPr>
          <w:rFonts w:ascii="Arial" w:cs="Arial" w:hAnsi="Arial"/>
        </w:rPr>
        <w:t xml:space="preserve">(1). Article No. 25. </w:t>
      </w:r>
      <w:r>
        <w:rPr/>
        <w:fldChar w:fldCharType="begin"/>
      </w:r>
      <w:r>
        <w:instrText xml:space="preserve"> HYPERLINK "https://doi.org/10.1186/s40035-023-00355-z" </w:instrText>
      </w:r>
      <w:r>
        <w:rPr/>
        <w:fldChar w:fldCharType="separate"/>
      </w:r>
      <w:r>
        <w:rPr>
          <w:rStyle w:val="style85"/>
          <w:rFonts w:ascii="Arial" w:cs="Arial" w:hAnsi="Arial"/>
          <w:color w:val="auto"/>
          <w:u w:val="none"/>
        </w:rPr>
        <w:t>https://doi.org/10.1186/s40035-023-00355-z</w:t>
      </w:r>
      <w:r>
        <w:rPr/>
        <w:fldChar w:fldCharType="end"/>
      </w:r>
      <w:r>
        <w:rPr>
          <w:rFonts w:ascii="Arial" w:cs="Arial" w:hAnsi="Arial"/>
        </w:rPr>
        <w:t xml:space="preserve">  </w:t>
      </w:r>
    </w:p>
    <w:p>
      <w:pPr>
        <w:pStyle w:val="style0"/>
        <w:ind w:left="567" w:hanging="567"/>
        <w:jc w:val="both"/>
        <w:rPr>
          <w:rFonts w:ascii="Arial" w:cs="Arial" w:hAnsi="Arial"/>
        </w:rPr>
      </w:pPr>
      <w:r>
        <w:t>Iruka, I. U. (2025). Early childhood development. </w:t>
      </w:r>
      <w:r>
        <w:t xml:space="preserve">In </w:t>
      </w:r>
      <w:r>
        <w:t>J</w:t>
      </w:r>
      <w:r>
        <w:t>.</w:t>
      </w:r>
      <w:r>
        <w:t xml:space="preserve"> </w:t>
      </w:r>
      <w:r>
        <w:t>Todres</w:t>
      </w:r>
      <w:r>
        <w:t> </w:t>
      </w:r>
      <w:r>
        <w:t>&amp;</w:t>
      </w:r>
      <w:r>
        <w:t> U</w:t>
      </w:r>
      <w:r>
        <w:t>.</w:t>
      </w:r>
      <w:r>
        <w:t xml:space="preserve"> Kilkelly</w:t>
      </w:r>
      <w:r>
        <w:t xml:space="preserve"> (Eds.),</w:t>
      </w:r>
      <w:r>
        <w:rPr>
          <w:i/>
          <w:iCs/>
        </w:rPr>
        <w:t xml:space="preserve"> Children’s rights and children’s development: An integrated approach</w:t>
      </w:r>
      <w:r>
        <w:t xml:space="preserve"> </w:t>
      </w:r>
      <w:r>
        <w:t xml:space="preserve">(pp. </w:t>
      </w:r>
      <w:r>
        <w:t>9-38</w:t>
      </w:r>
      <w:r>
        <w:t>)</w:t>
      </w:r>
      <w:r>
        <w:t xml:space="preserve">. </w:t>
      </w:r>
      <w:r>
        <w:t xml:space="preserve">New York, NY: New York University Press. </w:t>
      </w:r>
      <w:r>
        <w:t>https://doi.org/10.18574/nyu/9781479825509.003.0004</w:t>
      </w:r>
    </w:p>
    <w:p>
      <w:pPr>
        <w:pStyle w:val="style0"/>
        <w:ind w:left="567" w:hanging="567"/>
        <w:jc w:val="both"/>
        <w:rPr>
          <w:rFonts w:ascii="Arial" w:cs="Arial" w:hAnsi="Arial"/>
        </w:rPr>
      </w:pPr>
      <w:r>
        <w:rPr>
          <w:rFonts w:ascii="Arial" w:cs="Arial" w:hAnsi="Arial"/>
        </w:rPr>
        <w:t>Johnson, M. H., Jones, E. J., &amp; Gliga, T. (2015). Brain adaptation and alternative developmental trajectories. </w:t>
      </w:r>
      <w:r>
        <w:rPr>
          <w:rFonts w:ascii="Arial" w:cs="Arial" w:hAnsi="Arial"/>
          <w:i/>
          <w:iCs/>
        </w:rPr>
        <w:t>Development and Psychopathology</w:t>
      </w:r>
      <w:r>
        <w:rPr>
          <w:rFonts w:ascii="Arial" w:cs="Arial" w:hAnsi="Arial"/>
        </w:rPr>
        <w:t>, </w:t>
      </w:r>
      <w:r>
        <w:rPr>
          <w:rFonts w:ascii="Arial" w:cs="Arial" w:hAnsi="Arial"/>
          <w:i/>
          <w:iCs/>
        </w:rPr>
        <w:t>27</w:t>
      </w:r>
      <w:r>
        <w:rPr>
          <w:rFonts w:ascii="Arial" w:cs="Arial" w:hAnsi="Arial"/>
        </w:rPr>
        <w:t xml:space="preserve">(2), 425-442. </w:t>
      </w:r>
      <w:r>
        <w:rPr/>
        <w:fldChar w:fldCharType="begin"/>
      </w:r>
      <w:r>
        <w:instrText xml:space="preserve"> HYPERLINK "https://doi.org/10.1017/S0954579415000073" </w:instrText>
      </w:r>
      <w:r>
        <w:rPr/>
        <w:fldChar w:fldCharType="separate"/>
      </w:r>
      <w:r>
        <w:rPr>
          <w:rStyle w:val="style85"/>
          <w:rFonts w:ascii="Arial" w:cs="Arial" w:hAnsi="Arial"/>
          <w:color w:val="auto"/>
          <w:u w:val="none"/>
        </w:rPr>
        <w:t>https://doi.org/10.1017/S0954579415000073</w:t>
      </w:r>
      <w:r>
        <w:rPr/>
        <w:fldChar w:fldCharType="end"/>
      </w:r>
    </w:p>
    <w:p>
      <w:pPr>
        <w:pStyle w:val="style0"/>
        <w:ind w:left="567" w:hanging="567"/>
        <w:jc w:val="both"/>
        <w:rPr>
          <w:rFonts w:ascii="Arial" w:cs="Arial" w:hAnsi="Arial"/>
          <w:lang w:val="en-SG"/>
        </w:rPr>
      </w:pPr>
      <w:r>
        <w:rPr>
          <w:rFonts w:ascii="Arial" w:cs="Arial" w:hAnsi="Arial"/>
        </w:rPr>
        <w:t xml:space="preserve">King, G., Graham, F., &amp; </w:t>
      </w:r>
      <w:r>
        <w:rPr>
          <w:rFonts w:ascii="Arial" w:cs="Arial" w:hAnsi="Arial"/>
        </w:rPr>
        <w:t>Ahkbari</w:t>
      </w:r>
      <w:r>
        <w:rPr>
          <w:rFonts w:ascii="Arial" w:cs="Arial" w:hAnsi="Arial"/>
        </w:rPr>
        <w:t xml:space="preserve"> Ziegler, S. (2024). Comparing three coaching approaches in pediatric rehabilitation: Contexts, outcomes, and mechanisms. </w:t>
      </w:r>
      <w:r>
        <w:rPr>
          <w:rFonts w:ascii="Arial" w:cs="Arial" w:hAnsi="Arial"/>
          <w:i/>
          <w:iCs/>
        </w:rPr>
        <w:t>Disability and Rehabilitation</w:t>
      </w:r>
      <w:r>
        <w:rPr>
          <w:rFonts w:ascii="Arial" w:cs="Arial" w:hAnsi="Arial"/>
        </w:rPr>
        <w:t>, </w:t>
      </w:r>
      <w:r>
        <w:rPr>
          <w:rFonts w:ascii="Arial" w:cs="Arial" w:hAnsi="Arial"/>
          <w:i/>
          <w:iCs/>
        </w:rPr>
        <w:t>46</w:t>
      </w:r>
      <w:r>
        <w:rPr>
          <w:rFonts w:ascii="Arial" w:cs="Arial" w:hAnsi="Arial"/>
        </w:rPr>
        <w:t xml:space="preserve">(12), 2708-2719. </w:t>
      </w:r>
      <w:r>
        <w:rPr/>
        <w:fldChar w:fldCharType="begin"/>
      </w:r>
      <w:r>
        <w:instrText xml:space="preserve"> HYPERLINK "https://doi.org/10.1080/09638288.2023.2229731" </w:instrText>
      </w:r>
      <w:r>
        <w:rPr/>
        <w:fldChar w:fldCharType="separate"/>
      </w:r>
      <w:r>
        <w:rPr>
          <w:rStyle w:val="style85"/>
          <w:rFonts w:ascii="Arial" w:cs="Arial" w:hAnsi="Arial"/>
          <w:color w:val="auto"/>
          <w:u w:val="none"/>
          <w:lang w:val="en-SG"/>
        </w:rPr>
        <w:t>https://doi.org/10.1080/09638288.2023.2229731</w:t>
      </w:r>
      <w:r>
        <w:rPr/>
        <w:fldChar w:fldCharType="end"/>
      </w:r>
    </w:p>
    <w:p>
      <w:pPr>
        <w:pStyle w:val="style0"/>
        <w:ind w:left="567" w:hanging="567"/>
        <w:jc w:val="both"/>
        <w:rPr>
          <w:rFonts w:ascii="Arial" w:cs="Arial" w:hAnsi="Arial"/>
        </w:rPr>
      </w:pPr>
      <w:r>
        <w:rPr>
          <w:rFonts w:ascii="Arial" w:cs="Arial" w:hAnsi="Arial"/>
        </w:rPr>
        <w:t>Kuruvilla, R. M., Rajan, S. K., &amp; Joseph, J. (2024). Multidisciplinary, interdisciplinary, and transdisciplinary approaches to neurodevelopmental disability interventions: A brief overview. </w:t>
      </w:r>
      <w:r>
        <w:rPr>
          <w:rFonts w:ascii="Arial" w:cs="Arial" w:hAnsi="Arial"/>
          <w:i/>
          <w:iCs/>
        </w:rPr>
        <w:t>Annals of Indian Psychiatry</w:t>
      </w:r>
      <w:r>
        <w:rPr>
          <w:rFonts w:ascii="Arial" w:cs="Arial" w:hAnsi="Arial"/>
        </w:rPr>
        <w:t>, </w:t>
      </w:r>
      <w:r>
        <w:rPr>
          <w:rFonts w:ascii="Arial" w:cs="Arial" w:hAnsi="Arial"/>
          <w:i/>
          <w:iCs/>
        </w:rPr>
        <w:t>8</w:t>
      </w:r>
      <w:r>
        <w:rPr>
          <w:rFonts w:ascii="Arial" w:cs="Arial" w:hAnsi="Arial"/>
        </w:rPr>
        <w:t xml:space="preserve">(4), 353-357. </w:t>
      </w:r>
      <w:r>
        <w:rPr/>
        <w:fldChar w:fldCharType="begin"/>
      </w:r>
      <w:r>
        <w:instrText xml:space="preserve"> HYPERLINK "https://doi.org/10.4103/aip.aip_8_24" </w:instrText>
      </w:r>
      <w:r>
        <w:rPr/>
        <w:fldChar w:fldCharType="separate"/>
      </w:r>
      <w:r>
        <w:rPr>
          <w:rStyle w:val="style85"/>
          <w:rFonts w:ascii="Arial" w:cs="Arial" w:hAnsi="Arial"/>
          <w:color w:val="auto"/>
          <w:u w:val="none"/>
        </w:rPr>
        <w:t>https://doi.org/10.4103/aip.aip_8_24</w:t>
      </w:r>
      <w:r>
        <w:rPr/>
        <w:fldChar w:fldCharType="end"/>
      </w:r>
      <w:r>
        <w:rPr>
          <w:rFonts w:ascii="Arial" w:cs="Arial" w:hAnsi="Arial"/>
        </w:rPr>
        <w:t xml:space="preserve"> </w:t>
      </w:r>
    </w:p>
    <w:p>
      <w:pPr>
        <w:pStyle w:val="style0"/>
        <w:ind w:left="567" w:hanging="567"/>
        <w:jc w:val="both"/>
        <w:rPr>
          <w:rFonts w:ascii="Arial" w:cs="Arial" w:hAnsi="Arial"/>
        </w:rPr>
      </w:pPr>
      <w:r>
        <w:t>Lee, C. D., Meltzoff, A. N., &amp; Kuhl, P. K. (2020). The braid of human learning and development: Neuro-physiological processes and participation in cultural practices. In N</w:t>
      </w:r>
      <w:r>
        <w:t>. s.</w:t>
      </w:r>
      <w:r>
        <w:t xml:space="preserve"> Nasir, C</w:t>
      </w:r>
      <w:r>
        <w:t>.</w:t>
      </w:r>
      <w:r>
        <w:t xml:space="preserve"> D. Lee, R</w:t>
      </w:r>
      <w:r>
        <w:t>.</w:t>
      </w:r>
      <w:r>
        <w:t xml:space="preserve"> Pea, M</w:t>
      </w:r>
      <w:r>
        <w:t>.</w:t>
      </w:r>
      <w:r>
        <w:t xml:space="preserve"> M</w:t>
      </w:r>
      <w:r>
        <w:t>.</w:t>
      </w:r>
      <w:r>
        <w:t xml:space="preserve"> de Royston</w:t>
      </w:r>
      <w:r>
        <w:t xml:space="preserve"> (Eds.), </w:t>
      </w:r>
      <w:r>
        <w:rPr>
          <w:i/>
          <w:iCs/>
        </w:rPr>
        <w:t>Handbook of the cultural foundations of learning</w:t>
      </w:r>
      <w:r>
        <w:t xml:space="preserve"> (pp. 24-43). </w:t>
      </w:r>
      <w:r>
        <w:t xml:space="preserve">New York, NY: </w:t>
      </w:r>
      <w:r>
        <w:t>Routledge.</w:t>
      </w:r>
      <w:r>
        <w:t xml:space="preserve"> </w:t>
      </w:r>
      <w:r>
        <w:t>https://doi.org/10.4324/9780203774977</w:t>
      </w:r>
      <w:r>
        <w:t xml:space="preserve"> </w:t>
      </w:r>
    </w:p>
    <w:p>
      <w:pPr>
        <w:pStyle w:val="style0"/>
        <w:ind w:left="567" w:hanging="567"/>
        <w:jc w:val="both"/>
        <w:rPr>
          <w:rFonts w:ascii="Arial" w:cs="Arial" w:hAnsi="Arial"/>
        </w:rPr>
      </w:pPr>
      <w:r>
        <w:rPr>
          <w:rFonts w:ascii="Arial" w:cs="Arial" w:hAnsi="Arial"/>
        </w:rPr>
        <w:t>Leisman, G. (2022). On the application of developmental cognitive neuroscience in educational environments. </w:t>
      </w:r>
      <w:r>
        <w:rPr>
          <w:rFonts w:ascii="Arial" w:cs="Arial" w:hAnsi="Arial"/>
          <w:i/>
          <w:iCs/>
        </w:rPr>
        <w:t>Brain Sciences</w:t>
      </w:r>
      <w:r>
        <w:rPr>
          <w:rFonts w:ascii="Arial" w:cs="Arial" w:hAnsi="Arial"/>
        </w:rPr>
        <w:t>, </w:t>
      </w:r>
      <w:r>
        <w:rPr>
          <w:rFonts w:ascii="Arial" w:cs="Arial" w:hAnsi="Arial"/>
          <w:i/>
          <w:iCs/>
        </w:rPr>
        <w:t>12</w:t>
      </w:r>
      <w:r>
        <w:rPr>
          <w:rFonts w:ascii="Arial" w:cs="Arial" w:hAnsi="Arial"/>
        </w:rPr>
        <w:t xml:space="preserve">(11). Article ID: 1501. </w:t>
      </w:r>
      <w:r>
        <w:rPr/>
        <w:fldChar w:fldCharType="begin"/>
      </w:r>
      <w:r>
        <w:instrText xml:space="preserve"> HYPERLINK "https://doi.org/10.3390/brainsci12111501" </w:instrText>
      </w:r>
      <w:r>
        <w:rPr/>
        <w:fldChar w:fldCharType="separate"/>
      </w:r>
      <w:r>
        <w:rPr>
          <w:rStyle w:val="style85"/>
          <w:rFonts w:ascii="Arial" w:cs="Arial" w:hAnsi="Arial"/>
          <w:color w:val="auto"/>
          <w:u w:val="none"/>
        </w:rPr>
        <w:t>https://doi.org/10.3390/brainsci12111501</w:t>
      </w:r>
      <w:r>
        <w:rPr/>
        <w:fldChar w:fldCharType="end"/>
      </w:r>
      <w:r>
        <w:rPr>
          <w:rFonts w:ascii="Arial" w:cs="Arial" w:hAnsi="Arial"/>
        </w:rPr>
        <w:t xml:space="preserve"> </w:t>
      </w:r>
    </w:p>
    <w:p>
      <w:pPr>
        <w:pStyle w:val="style0"/>
        <w:ind w:left="567" w:hanging="567"/>
        <w:jc w:val="both"/>
        <w:rPr>
          <w:rFonts w:ascii="Arial" w:cs="Arial" w:hAnsi="Arial"/>
        </w:rPr>
      </w:pPr>
      <w:r>
        <w:rPr>
          <w:rFonts w:ascii="Arial" w:cs="Arial" w:hAnsi="Arial"/>
        </w:rPr>
        <w:t xml:space="preserve">Lin, J., Zhang, L., &amp; Kuo, Y.-L. (2024). The role of social-emotional competencies in interpersonal relationships: A structural equation modeling approach. </w:t>
      </w:r>
      <w:r>
        <w:rPr>
          <w:rFonts w:ascii="Arial" w:cs="Arial" w:hAnsi="Arial"/>
          <w:i/>
          <w:iCs/>
        </w:rPr>
        <w:t>Frontiers in Psychology</w:t>
      </w:r>
      <w:r>
        <w:rPr>
          <w:rFonts w:ascii="Arial" w:cs="Arial" w:hAnsi="Arial"/>
        </w:rPr>
        <w:t xml:space="preserve">, </w:t>
      </w:r>
      <w:r>
        <w:rPr>
          <w:rFonts w:ascii="Arial" w:cs="Arial" w:hAnsi="Arial"/>
          <w:i/>
          <w:iCs/>
        </w:rPr>
        <w:t>15</w:t>
      </w:r>
      <w:r>
        <w:rPr>
          <w:rFonts w:ascii="Arial" w:cs="Arial" w:hAnsi="Arial"/>
        </w:rPr>
        <w:t xml:space="preserve">. Article ID: 1360467. https://doi.org/10.3389/fpsyg.2024.1360467 </w:t>
      </w:r>
    </w:p>
    <w:p>
      <w:pPr>
        <w:pStyle w:val="style0"/>
        <w:ind w:left="567" w:hanging="567"/>
        <w:jc w:val="both"/>
        <w:rPr>
          <w:rFonts w:ascii="Arial" w:cs="Arial" w:hAnsi="Arial"/>
        </w:rPr>
      </w:pPr>
      <w:r>
        <w:rPr>
          <w:rFonts w:ascii="Arial" w:cs="Arial" w:hAnsi="Arial"/>
        </w:rPr>
        <w:t xml:space="preserve">Liu, W., &amp; Xie. G. H. (2023). Sensory abilities/disabilities: An application of the Sensory Profile-Caregiver Questionnaire to better understand the sensory-motor domain-specific abilities in the CHC model version 2.1. </w:t>
      </w:r>
      <w:r>
        <w:rPr>
          <w:rFonts w:ascii="Arial" w:cs="Arial" w:hAnsi="Arial"/>
          <w:i/>
          <w:iCs/>
        </w:rPr>
        <w:t>The Asian Educational Therapist</w:t>
      </w:r>
      <w:r>
        <w:rPr>
          <w:rFonts w:ascii="Arial" w:cs="Arial" w:hAnsi="Arial"/>
        </w:rPr>
        <w:t xml:space="preserve">, </w:t>
      </w:r>
      <w:r>
        <w:rPr>
          <w:rFonts w:ascii="Arial" w:cs="Arial" w:hAnsi="Arial"/>
          <w:i/>
          <w:iCs/>
        </w:rPr>
        <w:t>1</w:t>
      </w:r>
      <w:r>
        <w:rPr>
          <w:rFonts w:ascii="Arial" w:cs="Arial" w:hAnsi="Arial"/>
        </w:rPr>
        <w:t xml:space="preserve">(1), 3-22. </w:t>
      </w:r>
      <w:r>
        <w:rPr/>
        <w:fldChar w:fldCharType="begin"/>
      </w:r>
      <w:r>
        <w:instrText xml:space="preserve"> HYPERLINK "https://doi.org/10.64663/aet.23" </w:instrText>
      </w:r>
      <w:r>
        <w:rPr/>
        <w:fldChar w:fldCharType="separate"/>
      </w:r>
      <w:r>
        <w:rPr>
          <w:rStyle w:val="style85"/>
          <w:rFonts w:ascii="Arial" w:cs="Arial" w:hAnsi="Arial"/>
          <w:color w:val="auto"/>
          <w:u w:val="none"/>
          <w:lang w:val="en-SG"/>
        </w:rPr>
        <w:t>https://doi.org/10.64663/aet.23</w:t>
      </w:r>
      <w:r>
        <w:rPr/>
        <w:fldChar w:fldCharType="end"/>
      </w:r>
    </w:p>
    <w:p>
      <w:pPr>
        <w:pStyle w:val="style0"/>
        <w:ind w:left="567" w:hanging="567"/>
        <w:jc w:val="both"/>
        <w:rPr>
          <w:rFonts w:ascii="Arial" w:cs="Arial" w:hAnsi="Arial"/>
        </w:rPr>
      </w:pPr>
      <w:r>
        <w:rPr>
          <w:rFonts w:ascii="Arial" w:cs="Arial" w:hAnsi="Arial"/>
        </w:rPr>
        <w:t xml:space="preserve">Lord, C., Charman, T., Havdahl, A., Carbone, P., Anagnostou, E., Boyd, B., </w:t>
      </w:r>
      <w:r>
        <w:rPr>
          <w:rFonts w:ascii="Arial" w:cs="Arial" w:hAnsi="Arial"/>
        </w:rPr>
        <w:t>… &amp;</w:t>
      </w:r>
      <w:r>
        <w:rPr>
          <w:rFonts w:ascii="Arial" w:cs="Arial" w:hAnsi="Arial"/>
        </w:rPr>
        <w:t xml:space="preserve"> McCauley, J. B. (2022). The Lancet Commission on the future of care and clinical research in autism. </w:t>
      </w:r>
      <w:r>
        <w:rPr>
          <w:rFonts w:ascii="Arial" w:cs="Arial" w:hAnsi="Arial"/>
          <w:i/>
          <w:iCs/>
        </w:rPr>
        <w:t>Lancet (London, England)</w:t>
      </w:r>
      <w:r>
        <w:rPr>
          <w:rFonts w:ascii="Arial" w:cs="Arial" w:hAnsi="Arial"/>
        </w:rPr>
        <w:t>, </w:t>
      </w:r>
      <w:r>
        <w:rPr>
          <w:rFonts w:ascii="Arial" w:cs="Arial" w:hAnsi="Arial"/>
          <w:i/>
          <w:iCs/>
        </w:rPr>
        <w:t>399</w:t>
      </w:r>
      <w:r>
        <w:rPr>
          <w:rFonts w:ascii="Arial" w:cs="Arial" w:hAnsi="Arial"/>
        </w:rPr>
        <w:t xml:space="preserve">(10321), 271-334. </w:t>
      </w:r>
      <w:r>
        <w:rPr/>
        <w:fldChar w:fldCharType="begin"/>
      </w:r>
      <w:r>
        <w:instrText xml:space="preserve"> HYPERLINK "https://doi.org/10.1016/S0140-6736(21)01541-5" </w:instrText>
      </w:r>
      <w:r>
        <w:rPr/>
        <w:fldChar w:fldCharType="separate"/>
      </w:r>
      <w:r>
        <w:rPr>
          <w:rStyle w:val="style85"/>
          <w:rFonts w:ascii="Arial" w:cs="Arial" w:hAnsi="Arial"/>
          <w:color w:val="auto"/>
          <w:u w:val="none"/>
        </w:rPr>
        <w:t>https://doi.org/10.1016/S0140-6736(21)01541-5</w:t>
      </w:r>
      <w:r>
        <w:rPr/>
        <w:fldChar w:fldCharType="end"/>
      </w:r>
    </w:p>
    <w:p>
      <w:pPr>
        <w:pStyle w:val="style0"/>
        <w:ind w:left="567" w:hanging="567"/>
        <w:jc w:val="both"/>
        <w:rPr>
          <w:rFonts w:ascii="Arial" w:cs="Arial" w:hAnsi="Arial"/>
        </w:rPr>
      </w:pPr>
      <w:r>
        <w:rPr>
          <w:rFonts w:ascii="Arial" w:cs="Arial" w:hAnsi="Arial"/>
        </w:rPr>
        <w:t xml:space="preserve">Lu, </w:t>
      </w:r>
      <w:r>
        <w:rPr>
          <w:rFonts w:ascii="Arial" w:cs="Arial" w:hAnsi="Arial"/>
        </w:rPr>
        <w:t>Qunxi</w:t>
      </w:r>
      <w:r>
        <w:rPr>
          <w:rFonts w:ascii="Arial" w:cs="Arial" w:hAnsi="Arial"/>
        </w:rPr>
        <w:t xml:space="preserve"> (2025). A Single-Subject Case Study: LY - A 10-Year-Old Male with Autism and a Profound Verbal Comprehension Deficit. </w:t>
      </w:r>
      <w:r>
        <w:rPr>
          <w:rFonts w:ascii="Arial" w:cs="Arial" w:hAnsi="Arial"/>
          <w:i/>
          <w:iCs/>
        </w:rPr>
        <w:t>The Asian Educational Therapist</w:t>
      </w:r>
      <w:r>
        <w:rPr>
          <w:rFonts w:ascii="Arial" w:cs="Arial" w:hAnsi="Arial"/>
        </w:rPr>
        <w:t xml:space="preserve">, </w:t>
      </w:r>
      <w:r>
        <w:rPr>
          <w:rFonts w:ascii="Arial" w:cs="Arial" w:hAnsi="Arial"/>
          <w:i/>
          <w:iCs/>
        </w:rPr>
        <w:t>3</w:t>
      </w:r>
      <w:r>
        <w:rPr>
          <w:rFonts w:ascii="Arial" w:cs="Arial" w:hAnsi="Arial"/>
        </w:rPr>
        <w:t xml:space="preserve">(3), 76-83. </w:t>
      </w:r>
      <w:r>
        <w:rPr>
          <w:rFonts w:ascii="Arial" w:cs="Arial" w:hAnsi="Arial"/>
        </w:rPr>
        <w:t>https://doi.org/10.64663/aet.66</w:t>
      </w:r>
    </w:p>
    <w:p>
      <w:pPr>
        <w:pStyle w:val="style0"/>
        <w:ind w:left="567" w:hanging="567"/>
        <w:jc w:val="both"/>
        <w:rPr>
          <w:rFonts w:ascii="Arial" w:cs="Arial" w:hAnsi="Arial"/>
        </w:rPr>
      </w:pPr>
      <w:r>
        <w:rPr>
          <w:rFonts w:ascii="Arial" w:cs="Arial" w:hAnsi="Arial"/>
        </w:rPr>
        <w:t>Machado Cruz, T. (2024). Clinical profiles in autism spectrum disorder: enhancing diagnosis, treatment, and overall health outcomes. </w:t>
      </w:r>
      <w:r>
        <w:rPr>
          <w:rFonts w:ascii="Arial" w:cs="Arial" w:hAnsi="Arial"/>
          <w:i/>
          <w:iCs/>
        </w:rPr>
        <w:t>Medicine Advances</w:t>
      </w:r>
      <w:r>
        <w:rPr>
          <w:rFonts w:ascii="Arial" w:cs="Arial" w:hAnsi="Arial"/>
        </w:rPr>
        <w:t>, </w:t>
      </w:r>
      <w:r>
        <w:rPr>
          <w:rFonts w:ascii="Arial" w:cs="Arial" w:hAnsi="Arial"/>
          <w:i/>
          <w:iCs/>
        </w:rPr>
        <w:t>2</w:t>
      </w:r>
      <w:r>
        <w:rPr>
          <w:rFonts w:ascii="Arial" w:cs="Arial" w:hAnsi="Arial"/>
        </w:rPr>
        <w:t xml:space="preserve">(4), 384-401. </w:t>
      </w:r>
      <w:r>
        <w:rPr/>
        <w:fldChar w:fldCharType="begin"/>
      </w:r>
      <w:r>
        <w:instrText xml:space="preserve"> HYPERLINK "https://doi.org/10.1002/med4.89" </w:instrText>
      </w:r>
      <w:r>
        <w:rPr/>
        <w:fldChar w:fldCharType="separate"/>
      </w:r>
      <w:r>
        <w:rPr>
          <w:rStyle w:val="style85"/>
          <w:rFonts w:ascii="Arial" w:cs="Arial" w:hAnsi="Arial"/>
          <w:color w:val="auto"/>
          <w:u w:val="none"/>
        </w:rPr>
        <w:t>https://doi.org/10.1002/med4.89</w:t>
      </w:r>
      <w:r>
        <w:rPr/>
        <w:fldChar w:fldCharType="end"/>
      </w:r>
    </w:p>
    <w:p>
      <w:pPr>
        <w:pStyle w:val="style0"/>
        <w:ind w:left="567" w:hanging="567"/>
        <w:jc w:val="both"/>
        <w:rPr>
          <w:rFonts w:ascii="Arial" w:cs="Arial" w:hAnsi="Arial"/>
        </w:rPr>
      </w:pPr>
      <w:r>
        <w:rPr>
          <w:rFonts w:ascii="Arial" w:cs="Arial" w:hAnsi="Arial"/>
        </w:rPr>
        <w:t>Macoun, S. J., Pyne, S., MacSween, J., Lewis, J., &amp; Sheehan, J. (2022). Feasibility and potential benefits of an attention and executive function intervention on metacognition in a mixed pediatric sample. </w:t>
      </w:r>
      <w:r>
        <w:rPr>
          <w:rFonts w:ascii="Arial" w:cs="Arial" w:hAnsi="Arial"/>
          <w:i/>
          <w:iCs/>
        </w:rPr>
        <w:t>Applied Neuropsychology: Child</w:t>
      </w:r>
      <w:r>
        <w:rPr>
          <w:rFonts w:ascii="Arial" w:cs="Arial" w:hAnsi="Arial"/>
        </w:rPr>
        <w:t>, </w:t>
      </w:r>
      <w:r>
        <w:rPr>
          <w:rFonts w:ascii="Arial" w:cs="Arial" w:hAnsi="Arial"/>
          <w:i/>
          <w:iCs/>
        </w:rPr>
        <w:t>11</w:t>
      </w:r>
      <w:r>
        <w:rPr>
          <w:rFonts w:ascii="Arial" w:cs="Arial" w:hAnsi="Arial"/>
        </w:rPr>
        <w:t xml:space="preserve">(3), 240-252. </w:t>
      </w:r>
      <w:r>
        <w:rPr/>
        <w:fldChar w:fldCharType="begin"/>
      </w:r>
      <w:r>
        <w:instrText xml:space="preserve"> HYPERLINK "https://doi.org/10.1080/21622965.2020.1794867" </w:instrText>
      </w:r>
      <w:r>
        <w:rPr/>
        <w:fldChar w:fldCharType="separate"/>
      </w:r>
      <w:r>
        <w:rPr>
          <w:rStyle w:val="style85"/>
          <w:rFonts w:ascii="Arial" w:cs="Arial" w:hAnsi="Arial"/>
          <w:color w:val="auto"/>
          <w:u w:val="none"/>
        </w:rPr>
        <w:t>https://doi.org/10.1080/21622965.2020.1794867</w:t>
      </w:r>
      <w:r>
        <w:rPr/>
        <w:fldChar w:fldCharType="end"/>
      </w:r>
      <w:r>
        <w:rPr>
          <w:rFonts w:ascii="Arial" w:cs="Arial" w:hAnsi="Arial"/>
        </w:rPr>
        <w:t xml:space="preserve">  </w:t>
      </w:r>
    </w:p>
    <w:p>
      <w:pPr>
        <w:pStyle w:val="style0"/>
        <w:ind w:left="567" w:hanging="567"/>
        <w:jc w:val="both"/>
        <w:rPr>
          <w:rFonts w:ascii="Arial" w:cs="Arial" w:hAnsi="Arial"/>
        </w:rPr>
      </w:pPr>
      <w:r>
        <w:rPr>
          <w:rFonts w:ascii="Arial" w:cs="Arial" w:hAnsi="Arial"/>
        </w:rPr>
        <w:t>Miller, P. H. (2022). Developmental theories: Past, present, and future. </w:t>
      </w:r>
      <w:r>
        <w:rPr>
          <w:rFonts w:ascii="Arial" w:cs="Arial" w:hAnsi="Arial"/>
          <w:i/>
          <w:iCs/>
        </w:rPr>
        <w:t>Developmental Review</w:t>
      </w:r>
      <w:r>
        <w:rPr>
          <w:rFonts w:ascii="Arial" w:cs="Arial" w:hAnsi="Arial"/>
        </w:rPr>
        <w:t>, </w:t>
      </w:r>
      <w:r>
        <w:rPr>
          <w:rFonts w:ascii="Arial" w:cs="Arial" w:hAnsi="Arial"/>
          <w:i/>
          <w:iCs/>
        </w:rPr>
        <w:t>66</w:t>
      </w:r>
      <w:r>
        <w:rPr>
          <w:rFonts w:ascii="Arial" w:cs="Arial" w:hAnsi="Arial"/>
        </w:rPr>
        <w:t>. Article ID: 101049. https://doi.org/10.1016/j.dr.2022.101049</w:t>
      </w:r>
    </w:p>
    <w:p>
      <w:pPr>
        <w:pStyle w:val="style0"/>
        <w:ind w:left="567" w:hanging="567"/>
        <w:jc w:val="both"/>
        <w:rPr>
          <w:rFonts w:ascii="Arial" w:cs="Arial" w:hAnsi="Arial"/>
        </w:rPr>
      </w:pPr>
      <w:r>
        <w:rPr>
          <w:rFonts w:ascii="Arial" w:cs="Arial" w:hAnsi="Arial"/>
        </w:rPr>
        <w:t xml:space="preserve">Mohammadi, A. T., Ghanbarzadeh, E., </w:t>
      </w:r>
      <w:r>
        <w:rPr>
          <w:rFonts w:ascii="Arial" w:cs="Arial" w:hAnsi="Arial"/>
        </w:rPr>
        <w:t>Zamiri</w:t>
      </w:r>
      <w:r>
        <w:rPr>
          <w:rFonts w:ascii="Arial" w:cs="Arial" w:hAnsi="Arial"/>
        </w:rPr>
        <w:t xml:space="preserve">, R., Dana, M. K., Far, Y. K., </w:t>
      </w:r>
      <w:r>
        <w:rPr>
          <w:rFonts w:ascii="Arial" w:cs="Arial" w:hAnsi="Arial"/>
        </w:rPr>
        <w:t>Avarani</w:t>
      </w:r>
      <w:r>
        <w:rPr>
          <w:rFonts w:ascii="Arial" w:cs="Arial" w:hAnsi="Arial"/>
        </w:rPr>
        <w:t xml:space="preserve">, M. A. J. N., ... &amp; </w:t>
      </w:r>
      <w:r>
        <w:rPr>
          <w:rFonts w:ascii="Arial" w:cs="Arial" w:hAnsi="Arial"/>
        </w:rPr>
        <w:t>Shamshiri</w:t>
      </w:r>
      <w:r>
        <w:rPr>
          <w:rFonts w:ascii="Arial" w:cs="Arial" w:hAnsi="Arial"/>
        </w:rPr>
        <w:t>, M. (2024). </w:t>
      </w:r>
      <w:r>
        <w:rPr>
          <w:rFonts w:ascii="Arial" w:cs="Arial" w:hAnsi="Arial"/>
          <w:i/>
          <w:iCs/>
        </w:rPr>
        <w:t>Advancements in neuroscience: Modern tools and techniques fueling thrilling discoveries in the 21st century</w:t>
      </w:r>
      <w:r>
        <w:rPr>
          <w:rFonts w:ascii="Arial" w:cs="Arial" w:hAnsi="Arial"/>
        </w:rPr>
        <w:t>. Maharashtra, India: Nobel Sciences (in association with World Scientific Publishing, Singapore).</w:t>
      </w:r>
    </w:p>
    <w:p>
      <w:pPr>
        <w:pStyle w:val="style0"/>
        <w:ind w:left="567" w:hanging="567"/>
        <w:jc w:val="both"/>
        <w:rPr>
          <w:rFonts w:ascii="Arial" w:cs="Arial" w:hAnsi="Arial"/>
        </w:rPr>
      </w:pPr>
      <w:r>
        <w:rPr>
          <w:rFonts w:ascii="Arial" w:cs="Arial" w:hAnsi="Arial"/>
        </w:rPr>
        <w:t>Most, S. (2004).</w:t>
      </w:r>
      <w:r>
        <w:rPr>
          <w:rFonts w:ascii="Arial" w:cs="Arial" w:hAnsi="Arial"/>
        </w:rPr>
        <w:t xml:space="preserve"> Refining the definition of educational therapy. </w:t>
      </w:r>
      <w:r>
        <w:rPr>
          <w:rFonts w:ascii="Arial" w:cs="Arial" w:hAnsi="Arial"/>
          <w:i/>
          <w:iCs/>
        </w:rPr>
        <w:t>The Educational Therapist</w:t>
      </w:r>
      <w:r>
        <w:rPr>
          <w:rFonts w:ascii="Arial" w:cs="Arial" w:hAnsi="Arial"/>
        </w:rPr>
        <w:t xml:space="preserve">, </w:t>
      </w:r>
      <w:r>
        <w:rPr>
          <w:rFonts w:ascii="Arial" w:cs="Arial" w:hAnsi="Arial"/>
          <w:i/>
          <w:iCs/>
        </w:rPr>
        <w:t>25</w:t>
      </w:r>
      <w:r>
        <w:rPr>
          <w:rFonts w:ascii="Arial" w:cs="Arial" w:hAnsi="Arial"/>
        </w:rPr>
        <w:t xml:space="preserve">(3), </w:t>
      </w:r>
      <w:r>
        <w:rPr>
          <w:rFonts w:ascii="Arial" w:cs="Arial" w:hAnsi="Arial"/>
        </w:rPr>
        <w:t>4-5.</w:t>
      </w:r>
    </w:p>
    <w:p>
      <w:pPr>
        <w:pStyle w:val="style0"/>
        <w:ind w:left="567" w:hanging="567"/>
        <w:jc w:val="both"/>
        <w:rPr>
          <w:rFonts w:ascii="Arial" w:cs="Arial" w:hAnsi="Arial"/>
        </w:rPr>
      </w:pPr>
      <w:r>
        <w:rPr>
          <w:rFonts w:ascii="Arial" w:cs="Arial" w:hAnsi="Arial"/>
        </w:rPr>
        <w:t>Narengaowa</w:t>
      </w:r>
      <w:r>
        <w:rPr>
          <w:rFonts w:ascii="Arial" w:cs="Arial" w:hAnsi="Arial"/>
        </w:rPr>
        <w:t xml:space="preserve">, &amp; </w:t>
      </w:r>
      <w:r>
        <w:rPr>
          <w:rFonts w:ascii="Arial" w:cs="Arial" w:hAnsi="Arial"/>
        </w:rPr>
        <w:t>Tungalag</w:t>
      </w:r>
      <w:r>
        <w:rPr>
          <w:rFonts w:ascii="Arial" w:cs="Arial" w:hAnsi="Arial"/>
        </w:rPr>
        <w:t>, O. (2024). Research on metacognitive strategies of children's self-regulated learning. </w:t>
      </w:r>
      <w:r>
        <w:rPr>
          <w:rFonts w:ascii="Arial" w:cs="Arial" w:hAnsi="Arial"/>
          <w:i/>
          <w:iCs/>
        </w:rPr>
        <w:t>Health Psychology Research</w:t>
      </w:r>
      <w:r>
        <w:rPr>
          <w:rFonts w:ascii="Arial" w:cs="Arial" w:hAnsi="Arial"/>
        </w:rPr>
        <w:t>, </w:t>
      </w:r>
      <w:r>
        <w:rPr>
          <w:rFonts w:ascii="Arial" w:cs="Arial" w:hAnsi="Arial"/>
          <w:i/>
          <w:iCs/>
        </w:rPr>
        <w:t>12</w:t>
      </w:r>
      <w:r>
        <w:rPr>
          <w:rFonts w:ascii="Arial" w:cs="Arial" w:hAnsi="Arial"/>
        </w:rPr>
        <w:t xml:space="preserve">. Article ID: 120366. </w:t>
      </w:r>
      <w:r>
        <w:rPr/>
        <w:fldChar w:fldCharType="begin"/>
      </w:r>
      <w:r>
        <w:instrText xml:space="preserve"> HYPERLINK "https://doi.org/10.52965/001c.120366" </w:instrText>
      </w:r>
      <w:r>
        <w:rPr/>
        <w:fldChar w:fldCharType="separate"/>
      </w:r>
      <w:r>
        <w:rPr>
          <w:rStyle w:val="style85"/>
          <w:rFonts w:ascii="Arial" w:cs="Arial" w:hAnsi="Arial"/>
          <w:color w:val="auto"/>
          <w:u w:val="none"/>
        </w:rPr>
        <w:t>https://doi.org/10.52965/001c.120366</w:t>
      </w:r>
      <w:r>
        <w:rPr/>
        <w:fldChar w:fldCharType="end"/>
      </w:r>
    </w:p>
    <w:p>
      <w:pPr>
        <w:pStyle w:val="style0"/>
        <w:ind w:left="567" w:hanging="567"/>
        <w:jc w:val="both"/>
        <w:rPr>
          <w:rFonts w:ascii="Arial" w:cs="Arial" w:hAnsi="Arial"/>
        </w:rPr>
      </w:pPr>
      <w:r>
        <w:rPr>
          <w:rFonts w:ascii="Arial" w:cs="Arial" w:hAnsi="Arial"/>
        </w:rPr>
        <w:t>Nelson, C. A., Sullivan, E., &amp; Engelstad, A. M. (2024). Annual Research Review: Early intervention viewed through the lens of developmental neuroscience. </w:t>
      </w:r>
      <w:r>
        <w:rPr>
          <w:rFonts w:ascii="Arial" w:cs="Arial" w:hAnsi="Arial"/>
          <w:i/>
          <w:iCs/>
        </w:rPr>
        <w:t>Journal of Child Psychology and Psychiatry</w:t>
      </w:r>
      <w:r>
        <w:rPr>
          <w:rFonts w:ascii="Arial" w:cs="Arial" w:hAnsi="Arial"/>
        </w:rPr>
        <w:t>, </w:t>
      </w:r>
      <w:r>
        <w:rPr>
          <w:rFonts w:ascii="Arial" w:cs="Arial" w:hAnsi="Arial"/>
          <w:i/>
          <w:iCs/>
        </w:rPr>
        <w:t>65</w:t>
      </w:r>
      <w:r>
        <w:rPr>
          <w:rFonts w:ascii="Arial" w:cs="Arial" w:hAnsi="Arial"/>
        </w:rPr>
        <w:t xml:space="preserve">(4), 435-455. </w:t>
      </w:r>
      <w:r>
        <w:rPr/>
        <w:fldChar w:fldCharType="begin"/>
      </w:r>
      <w:r>
        <w:instrText xml:space="preserve"> HYPERLINK "https://doi.org/10.1111/jcpp.13858" </w:instrText>
      </w:r>
      <w:r>
        <w:rPr/>
        <w:fldChar w:fldCharType="separate"/>
      </w:r>
      <w:r>
        <w:rPr>
          <w:rStyle w:val="style85"/>
          <w:rFonts w:ascii="Arial" w:cs="Arial" w:hAnsi="Arial"/>
          <w:color w:val="auto"/>
          <w:u w:val="none"/>
        </w:rPr>
        <w:t>https://doi.org/10.1111/jcpp.13858</w:t>
      </w:r>
      <w:r>
        <w:rPr/>
        <w:fldChar w:fldCharType="end"/>
      </w:r>
    </w:p>
    <w:p>
      <w:pPr>
        <w:pStyle w:val="style0"/>
        <w:ind w:left="567" w:hanging="567"/>
        <w:jc w:val="both"/>
        <w:rPr>
          <w:rFonts w:ascii="Arial" w:cs="Arial" w:hAnsi="Arial"/>
        </w:rPr>
      </w:pPr>
      <w:r>
        <w:rPr>
          <w:rFonts w:ascii="Arial" w:cs="Arial" w:hAnsi="Arial"/>
        </w:rPr>
        <w:t>Noddings</w:t>
      </w:r>
      <w:r>
        <w:rPr>
          <w:rFonts w:ascii="Arial" w:cs="Arial" w:hAnsi="Arial"/>
        </w:rPr>
        <w:t xml:space="preserve">, N. (2005). What does it mean to educate the whole child? </w:t>
      </w:r>
      <w:r>
        <w:rPr>
          <w:rFonts w:ascii="Arial" w:cs="Arial" w:hAnsi="Arial"/>
          <w:i/>
          <w:iCs/>
        </w:rPr>
        <w:t>Educational Leadership</w:t>
      </w:r>
      <w:r>
        <w:rPr>
          <w:rFonts w:ascii="Arial" w:cs="Arial" w:hAnsi="Arial"/>
        </w:rPr>
        <w:t xml:space="preserve">, </w:t>
      </w:r>
      <w:r>
        <w:rPr>
          <w:rFonts w:ascii="Arial" w:cs="Arial" w:hAnsi="Arial"/>
          <w:i/>
          <w:iCs/>
        </w:rPr>
        <w:t>63</w:t>
      </w:r>
      <w:r>
        <w:rPr>
          <w:rFonts w:ascii="Arial" w:cs="Arial" w:hAnsi="Arial"/>
        </w:rPr>
        <w:t>(1), 8-13.</w:t>
      </w:r>
    </w:p>
    <w:p>
      <w:pPr>
        <w:pStyle w:val="style0"/>
        <w:ind w:left="567" w:hanging="567"/>
        <w:jc w:val="both"/>
        <w:rPr>
          <w:rFonts w:ascii="Arial" w:cs="Arial" w:hAnsi="Arial"/>
        </w:rPr>
      </w:pPr>
      <w:r>
        <w:rPr>
          <w:rFonts w:ascii="Arial" w:cs="Arial" w:hAnsi="Arial"/>
        </w:rPr>
        <w:t xml:space="preserve">Normann, N., &amp; Morina, N. (2018). The efficacy of metacognitive therapy: A systematic review and meta-analysis. </w:t>
      </w:r>
      <w:r>
        <w:rPr>
          <w:rFonts w:ascii="Arial" w:cs="Arial" w:hAnsi="Arial"/>
          <w:i/>
          <w:iCs/>
        </w:rPr>
        <w:t>Frontiers in Psychology</w:t>
      </w:r>
      <w:r>
        <w:rPr>
          <w:rFonts w:ascii="Arial" w:cs="Arial" w:hAnsi="Arial"/>
        </w:rPr>
        <w:t xml:space="preserve">, </w:t>
      </w:r>
      <w:r>
        <w:rPr>
          <w:rFonts w:ascii="Arial" w:cs="Arial" w:hAnsi="Arial"/>
          <w:i/>
          <w:iCs/>
        </w:rPr>
        <w:t>9</w:t>
      </w:r>
      <w:r>
        <w:rPr>
          <w:rFonts w:ascii="Arial" w:cs="Arial" w:hAnsi="Arial"/>
        </w:rPr>
        <w:t xml:space="preserve">. Article No. 2211. </w:t>
      </w:r>
      <w:r>
        <w:rPr/>
        <w:fldChar w:fldCharType="begin"/>
      </w:r>
      <w:r>
        <w:instrText xml:space="preserve"> HYPERLINK "https://doi.org/10.3389/fpsyg.2018.02211" </w:instrText>
      </w:r>
      <w:r>
        <w:rPr/>
        <w:fldChar w:fldCharType="separate"/>
      </w:r>
      <w:r>
        <w:rPr>
          <w:rStyle w:val="style85"/>
          <w:rFonts w:ascii="Arial" w:cs="Arial" w:hAnsi="Arial"/>
          <w:color w:val="auto"/>
          <w:u w:val="none"/>
        </w:rPr>
        <w:t>https://doi.org/10.3389/fpsyg.2018.02211</w:t>
      </w:r>
      <w:r>
        <w:rPr/>
        <w:fldChar w:fldCharType="end"/>
      </w:r>
      <w:r>
        <w:rPr>
          <w:rFonts w:ascii="Arial" w:cs="Arial" w:hAnsi="Arial"/>
        </w:rPr>
        <w:t xml:space="preserve"> </w:t>
      </w:r>
    </w:p>
    <w:p>
      <w:pPr>
        <w:pStyle w:val="style0"/>
        <w:ind w:left="567" w:hanging="567"/>
        <w:jc w:val="both"/>
        <w:rPr>
          <w:rFonts w:ascii="Arial" w:cs="Arial" w:hAnsi="Arial"/>
        </w:rPr>
      </w:pPr>
      <w:r>
        <w:rPr>
          <w:rFonts w:ascii="Arial" w:cs="Arial" w:hAnsi="Arial"/>
        </w:rPr>
        <w:t>Ntlhare</w:t>
      </w:r>
      <w:r>
        <w:rPr>
          <w:rFonts w:ascii="Arial" w:cs="Arial" w:hAnsi="Arial"/>
        </w:rPr>
        <w:t xml:space="preserve">, L. A. (2022). </w:t>
      </w:r>
      <w:r>
        <w:rPr>
          <w:rFonts w:ascii="Arial" w:cs="Arial" w:hAnsi="Arial"/>
          <w:i/>
          <w:iCs/>
        </w:rPr>
        <w:t>Professional development needs of Foundation Phase teachers in the identification of learners with learning barriers</w:t>
      </w:r>
      <w:r>
        <w:rPr>
          <w:rFonts w:ascii="Arial" w:cs="Arial" w:hAnsi="Arial"/>
        </w:rPr>
        <w:t xml:space="preserve"> (Doctoral dissertation, University of the Free State). University of the Free State Repository. </w:t>
      </w:r>
      <w:r>
        <w:rPr/>
        <w:fldChar w:fldCharType="begin"/>
      </w:r>
      <w:r>
        <w:instrText xml:space="preserve"> HYPERLINK "https://scholar.ufs.ac.za/server/api/core/bitstreams/669d296b-247f-43a0-9868-80d7897763fb/content" </w:instrText>
      </w:r>
      <w:r>
        <w:rPr/>
        <w:fldChar w:fldCharType="separate"/>
      </w:r>
      <w:r>
        <w:rPr>
          <w:rStyle w:val="style85"/>
          <w:rFonts w:ascii="Arial" w:cs="Arial" w:hAnsi="Arial"/>
          <w:color w:val="auto"/>
          <w:u w:val="none"/>
        </w:rPr>
        <w:t>https://scholar.ufs.ac.za/server/api/core/bitstreams/669d296b-247f-43a0-9868-80d7897763fb/content</w:t>
      </w:r>
      <w:r>
        <w:rPr/>
        <w:fldChar w:fldCharType="end"/>
      </w:r>
    </w:p>
    <w:p>
      <w:pPr>
        <w:pStyle w:val="style0"/>
        <w:ind w:left="567" w:hanging="567"/>
        <w:jc w:val="both"/>
        <w:rPr>
          <w:rFonts w:ascii="Arial" w:cs="Arial" w:hAnsi="Arial"/>
        </w:rPr>
      </w:pPr>
      <w:r>
        <w:rPr>
          <w:rFonts w:ascii="Arial" w:cs="Arial" w:hAnsi="Arial"/>
        </w:rPr>
        <w:t>Paolo, A., Montanaro, F. A. M., Caciolo, C., Cumbo, F., Scibelli, F., &amp; Vicari, S. (2023). Measures of adaptive behavior. In J. L. Matson (Ed.), </w:t>
      </w:r>
      <w:r>
        <w:rPr>
          <w:rFonts w:ascii="Arial" w:cs="Arial" w:hAnsi="Arial"/>
          <w:i/>
          <w:iCs/>
        </w:rPr>
        <w:t>Handbook of clinical child psychology: Integrating theory and research into practice</w:t>
      </w:r>
      <w:r>
        <w:rPr>
          <w:rFonts w:ascii="Arial" w:cs="Arial" w:hAnsi="Arial"/>
        </w:rPr>
        <w:t> (pp. 347-371). Cham, Switzerland: Springer Nature AG. </w:t>
      </w:r>
      <w:r>
        <w:rPr/>
        <w:fldChar w:fldCharType="begin"/>
      </w:r>
      <w:r>
        <w:instrText xml:space="preserve"> HYPERLINK "https://psycnet.apa.org/doi/10.1007/978-3-031-24926-6_17" \t "_blank" </w:instrText>
      </w:r>
      <w:r>
        <w:rPr/>
        <w:fldChar w:fldCharType="separate"/>
      </w:r>
      <w:r>
        <w:rPr>
          <w:rStyle w:val="style85"/>
          <w:rFonts w:ascii="Arial" w:cs="Arial" w:hAnsi="Arial"/>
          <w:color w:val="auto"/>
          <w:u w:val="none"/>
        </w:rPr>
        <w:t>https://doi.org/10.1007/978-3-031-24926-6_17</w:t>
      </w:r>
      <w:r>
        <w:rPr/>
        <w:fldChar w:fldCharType="end"/>
      </w:r>
    </w:p>
    <w:p>
      <w:pPr>
        <w:pStyle w:val="style0"/>
        <w:ind w:left="567" w:hanging="567"/>
        <w:jc w:val="both"/>
        <w:rPr>
          <w:rFonts w:ascii="Arial" w:cs="Arial" w:hAnsi="Arial"/>
        </w:rPr>
      </w:pPr>
      <w:r>
        <w:rPr>
          <w:rFonts w:ascii="Arial" w:cs="Arial" w:hAnsi="Arial"/>
        </w:rPr>
        <w:t>Piller, A., McHugh Conlin, J., Glennon, T. J., Andelin, L., Auld-Wright, K., Teng, K., &amp; Tarver, T. (2025). Systematic review of sensory-based interventions for children and youth (2015-2024). </w:t>
      </w:r>
      <w:r>
        <w:rPr>
          <w:rFonts w:ascii="Arial" w:cs="Arial" w:hAnsi="Arial"/>
          <w:i/>
          <w:iCs/>
        </w:rPr>
        <w:t>Frontiers in pediatrics</w:t>
      </w:r>
      <w:r>
        <w:rPr>
          <w:rFonts w:ascii="Arial" w:cs="Arial" w:hAnsi="Arial"/>
        </w:rPr>
        <w:t>, </w:t>
      </w:r>
      <w:r>
        <w:rPr>
          <w:rFonts w:ascii="Arial" w:cs="Arial" w:hAnsi="Arial"/>
          <w:i/>
          <w:iCs/>
        </w:rPr>
        <w:t>13</w:t>
      </w:r>
      <w:r>
        <w:rPr>
          <w:rFonts w:ascii="Arial" w:cs="Arial" w:hAnsi="Arial"/>
        </w:rPr>
        <w:t xml:space="preserve">, 1720179. </w:t>
      </w:r>
      <w:r>
        <w:rPr/>
        <w:fldChar w:fldCharType="begin"/>
      </w:r>
      <w:r>
        <w:instrText xml:space="preserve"> HYPERLINK "https://doi.org/10.3389/fped.2025.1720179" </w:instrText>
      </w:r>
      <w:r>
        <w:rPr/>
        <w:fldChar w:fldCharType="separate"/>
      </w:r>
      <w:r>
        <w:rPr>
          <w:rStyle w:val="style85"/>
          <w:rFonts w:ascii="Arial" w:cs="Arial" w:hAnsi="Arial"/>
          <w:color w:val="auto"/>
          <w:u w:val="none"/>
        </w:rPr>
        <w:t>https://doi.org/10.3389/fped.2025.1720179</w:t>
      </w:r>
      <w:r>
        <w:rPr/>
        <w:fldChar w:fldCharType="end"/>
      </w:r>
    </w:p>
    <w:p>
      <w:pPr>
        <w:pStyle w:val="style0"/>
        <w:ind w:left="567" w:hanging="567"/>
        <w:jc w:val="both"/>
        <w:rPr>
          <w:rFonts w:ascii="Arial" w:cs="Arial" w:hAnsi="Arial"/>
        </w:rPr>
      </w:pPr>
      <w:r>
        <w:rPr>
          <w:rFonts w:ascii="Arial" w:cs="Arial" w:hAnsi="Arial"/>
        </w:rPr>
        <w:t xml:space="preserve">Ram, N., &amp; </w:t>
      </w:r>
      <w:r>
        <w:rPr>
          <w:rFonts w:ascii="Arial" w:cs="Arial" w:hAnsi="Arial"/>
        </w:rPr>
        <w:t>Gerstorf</w:t>
      </w:r>
      <w:r>
        <w:rPr>
          <w:rFonts w:ascii="Arial" w:cs="Arial" w:hAnsi="Arial"/>
        </w:rPr>
        <w:t>, D. (2009). Methods for the Study of Development - Developing Methods: Introduction to a Special Issue of Research in Human Development. </w:t>
      </w:r>
      <w:r>
        <w:rPr>
          <w:rFonts w:ascii="Arial" w:cs="Arial" w:hAnsi="Arial"/>
          <w:i/>
          <w:iCs/>
        </w:rPr>
        <w:t>Research in Human Development</w:t>
      </w:r>
      <w:r>
        <w:rPr>
          <w:rFonts w:ascii="Arial" w:cs="Arial" w:hAnsi="Arial"/>
        </w:rPr>
        <w:t>, </w:t>
      </w:r>
      <w:r>
        <w:rPr>
          <w:rFonts w:ascii="Arial" w:cs="Arial" w:hAnsi="Arial"/>
          <w:i/>
          <w:iCs/>
        </w:rPr>
        <w:t>6</w:t>
      </w:r>
      <w:r>
        <w:rPr>
          <w:rFonts w:ascii="Arial" w:cs="Arial" w:hAnsi="Arial"/>
        </w:rPr>
        <w:t xml:space="preserve">(2-3), 61-73. </w:t>
      </w:r>
      <w:r>
        <w:rPr/>
        <w:fldChar w:fldCharType="begin"/>
      </w:r>
      <w:r>
        <w:instrText xml:space="preserve"> HYPERLINK "https://doi.org/10.1080/15427600902911114" </w:instrText>
      </w:r>
      <w:r>
        <w:rPr/>
        <w:fldChar w:fldCharType="separate"/>
      </w:r>
      <w:r>
        <w:rPr>
          <w:rStyle w:val="style85"/>
          <w:rFonts w:ascii="Arial" w:cs="Arial" w:hAnsi="Arial"/>
          <w:color w:val="auto"/>
          <w:u w:val="none"/>
        </w:rPr>
        <w:t>https://doi.org/10.1080/15427600902911114</w:t>
      </w:r>
      <w:r>
        <w:rPr/>
        <w:fldChar w:fldCharType="end"/>
      </w:r>
      <w:r>
        <w:rPr>
          <w:rFonts w:ascii="Arial" w:cs="Arial" w:hAnsi="Arial"/>
        </w:rPr>
        <w:t xml:space="preserve"> </w:t>
      </w:r>
    </w:p>
    <w:p>
      <w:pPr>
        <w:pStyle w:val="style0"/>
        <w:ind w:left="567" w:hanging="567"/>
        <w:jc w:val="both"/>
        <w:rPr>
          <w:rFonts w:ascii="Arial" w:cs="Arial" w:hAnsi="Arial"/>
        </w:rPr>
      </w:pPr>
      <w:r>
        <w:t xml:space="preserve">Rezapour, T., McLean, K. L., </w:t>
      </w:r>
      <w:r>
        <w:t>Psederska</w:t>
      </w:r>
      <w:r>
        <w:t xml:space="preserve">, E., Maleki, K. N., </w:t>
      </w:r>
      <w:r>
        <w:t>Ekhtiari</w:t>
      </w:r>
      <w:r>
        <w:t xml:space="preserve">, H., &amp; </w:t>
      </w:r>
      <w:r>
        <w:t>Vassileva</w:t>
      </w:r>
      <w:r>
        <w:t xml:space="preserve">, J. (2025). Neuroscience-informed psychoeducation for addiction: </w:t>
      </w:r>
      <w:r>
        <w:t>A</w:t>
      </w:r>
      <w:r>
        <w:t xml:space="preserve"> conceptual and feasibility study. </w:t>
      </w:r>
      <w:r>
        <w:rPr>
          <w:i/>
          <w:iCs/>
        </w:rPr>
        <w:t>Frontiers in Psychiatry</w:t>
      </w:r>
      <w:r>
        <w:t>, </w:t>
      </w:r>
      <w:r>
        <w:rPr>
          <w:i/>
          <w:iCs/>
        </w:rPr>
        <w:t>16</w:t>
      </w:r>
      <w:r>
        <w:t>. Article ID:</w:t>
      </w:r>
      <w:r>
        <w:t xml:space="preserve"> 1527828.</w:t>
      </w:r>
      <w:r>
        <w:t xml:space="preserve"> </w:t>
      </w:r>
      <w:r>
        <w:t>https://doi.org/10.3389/fpsyt.2025.1527828</w:t>
      </w:r>
    </w:p>
    <w:p>
      <w:pPr>
        <w:pStyle w:val="style0"/>
        <w:ind w:left="567" w:hanging="567"/>
        <w:jc w:val="both"/>
        <w:rPr>
          <w:rFonts w:ascii="Arial" w:cs="Arial" w:hAnsi="Arial"/>
          <w:lang w:val="en-SG"/>
        </w:rPr>
      </w:pPr>
      <w:r>
        <w:rPr>
          <w:rFonts w:ascii="Arial" w:cs="Arial" w:hAnsi="Arial"/>
          <w:lang w:val="en-SG"/>
        </w:rPr>
        <w:t xml:space="preserve">Robbins, S. P., &amp; Judge, T. A. (2018). </w:t>
      </w:r>
      <w:r>
        <w:rPr>
          <w:rFonts w:ascii="Arial" w:cs="Arial" w:hAnsi="Arial"/>
          <w:i/>
          <w:iCs/>
          <w:lang w:val="en-SG"/>
        </w:rPr>
        <w:t>Organizational behavior (18</w:t>
      </w:r>
      <w:r>
        <w:rPr>
          <w:rFonts w:ascii="Arial" w:cs="Arial" w:hAnsi="Arial"/>
          <w:i/>
          <w:iCs/>
          <w:vertAlign w:val="superscript"/>
          <w:lang w:val="en-SG"/>
        </w:rPr>
        <w:t>th</w:t>
      </w:r>
      <w:r>
        <w:rPr>
          <w:rFonts w:ascii="Arial" w:cs="Arial" w:hAnsi="Arial"/>
          <w:i/>
          <w:iCs/>
          <w:lang w:val="en-SG"/>
        </w:rPr>
        <w:t xml:space="preserve"> ed.).</w:t>
      </w:r>
      <w:r>
        <w:rPr>
          <w:rFonts w:ascii="Arial" w:cs="Arial" w:hAnsi="Arial"/>
          <w:lang w:val="en-SG"/>
        </w:rPr>
        <w:t xml:space="preserve"> Munich, Germany: Pearson Deutschland GmbH. </w:t>
      </w:r>
    </w:p>
    <w:p>
      <w:pPr>
        <w:pStyle w:val="style0"/>
        <w:ind w:left="567" w:hanging="567"/>
        <w:jc w:val="both"/>
        <w:rPr>
          <w:rFonts w:ascii="Arial" w:cs="Arial" w:hAnsi="Arial"/>
        </w:rPr>
      </w:pPr>
      <w:r>
        <w:rPr>
          <w:rFonts w:ascii="Arial" w:cs="Arial" w:hAnsi="Arial"/>
        </w:rPr>
        <w:t xml:space="preserve">Rosales, M. R., Butera, C. D., Wilson, R. B., Zhou, J., Maus, E., Zhao, H., </w:t>
      </w:r>
      <w:r>
        <w:rPr>
          <w:rFonts w:ascii="Arial" w:cs="Arial" w:hAnsi="Arial"/>
        </w:rPr>
        <w:t xml:space="preserve">… </w:t>
      </w:r>
      <w:r>
        <w:rPr>
          <w:rFonts w:ascii="Arial" w:cs="Arial" w:hAnsi="Arial"/>
        </w:rPr>
        <w:t>&amp; Dusing, S. C. (2025). Systematic review and meta-analysis of the effect of motor intervention on cognition, communication, and social interaction in children with autism spectrum disorder. </w:t>
      </w:r>
      <w:r>
        <w:rPr>
          <w:rFonts w:ascii="Arial" w:cs="Arial" w:hAnsi="Arial"/>
          <w:i/>
          <w:iCs/>
        </w:rPr>
        <w:t>Physical &amp; Occupational Therapy in Pediatrics</w:t>
      </w:r>
      <w:r>
        <w:rPr>
          <w:rFonts w:ascii="Arial" w:cs="Arial" w:hAnsi="Arial"/>
        </w:rPr>
        <w:t>, </w:t>
      </w:r>
      <w:r>
        <w:rPr>
          <w:rFonts w:ascii="Arial" w:cs="Arial" w:hAnsi="Arial"/>
          <w:i/>
          <w:iCs/>
        </w:rPr>
        <w:t>45</w:t>
      </w:r>
      <w:r>
        <w:rPr>
          <w:rFonts w:ascii="Arial" w:cs="Arial" w:hAnsi="Arial"/>
        </w:rPr>
        <w:t xml:space="preserve">(5), 688-710. </w:t>
      </w:r>
      <w:r>
        <w:rPr/>
        <w:fldChar w:fldCharType="begin"/>
      </w:r>
      <w:r>
        <w:instrText xml:space="preserve"> HYPERLINK "https://doi.org/10.1080/01942638.2025.2498357" </w:instrText>
      </w:r>
      <w:r>
        <w:rPr/>
        <w:fldChar w:fldCharType="separate"/>
      </w:r>
      <w:r>
        <w:rPr>
          <w:rStyle w:val="style85"/>
          <w:rFonts w:ascii="Arial" w:cs="Arial" w:hAnsi="Arial"/>
          <w:color w:val="auto"/>
          <w:u w:val="none"/>
        </w:rPr>
        <w:t>https://doi.org/10.1080/01942638.2025.2498357</w:t>
      </w:r>
      <w:r>
        <w:rPr/>
        <w:fldChar w:fldCharType="end"/>
      </w:r>
      <w:r>
        <w:rPr>
          <w:rFonts w:ascii="Arial" w:cs="Arial" w:hAnsi="Arial"/>
        </w:rPr>
        <w:t xml:space="preserve"> </w:t>
      </w:r>
    </w:p>
    <w:p>
      <w:pPr>
        <w:pStyle w:val="style0"/>
        <w:ind w:left="567" w:hanging="567"/>
        <w:jc w:val="both"/>
        <w:rPr>
          <w:rFonts w:ascii="Arial" w:cs="Arial" w:hAnsi="Arial"/>
        </w:rPr>
      </w:pPr>
      <w:r>
        <w:rPr>
          <w:rFonts w:ascii="Arial" w:cs="Arial" w:hAnsi="Arial"/>
        </w:rPr>
        <w:t>Sabounchi</w:t>
      </w:r>
      <w:r>
        <w:rPr>
          <w:rFonts w:ascii="Arial" w:cs="Arial" w:hAnsi="Arial"/>
        </w:rPr>
        <w:t>, O., Tarkhan, M., &amp; Sadeghi, E. (2025). The effectiveness of cognitive-behavioral play therapy on emotional awareness and resilience in elementary school children. </w:t>
      </w:r>
      <w:r>
        <w:rPr>
          <w:rFonts w:ascii="Arial" w:cs="Arial" w:hAnsi="Arial"/>
          <w:i/>
          <w:iCs/>
        </w:rPr>
        <w:t>Iranian Journal of Neurodevelopmental Disorders</w:t>
      </w:r>
      <w:r>
        <w:rPr>
          <w:rFonts w:ascii="Arial" w:cs="Arial" w:hAnsi="Arial"/>
        </w:rPr>
        <w:t>, </w:t>
      </w:r>
      <w:r>
        <w:rPr>
          <w:rFonts w:ascii="Arial" w:cs="Arial" w:hAnsi="Arial"/>
          <w:i/>
          <w:iCs/>
        </w:rPr>
        <w:t>4</w:t>
      </w:r>
      <w:r>
        <w:rPr>
          <w:rFonts w:ascii="Arial" w:cs="Arial" w:hAnsi="Arial"/>
        </w:rPr>
        <w:t xml:space="preserve">(3), 1-9. </w:t>
      </w:r>
      <w:r>
        <w:rPr/>
        <w:fldChar w:fldCharType="begin"/>
      </w:r>
      <w:r>
        <w:instrText xml:space="preserve"> HYPERLINK "https://doi.org/10.61838/kman.jndd.4.3.16" </w:instrText>
      </w:r>
      <w:r>
        <w:rPr/>
        <w:fldChar w:fldCharType="separate"/>
      </w:r>
      <w:r>
        <w:rPr>
          <w:rStyle w:val="style85"/>
          <w:rFonts w:ascii="Arial" w:cs="Arial" w:hAnsi="Arial"/>
          <w:color w:val="auto"/>
          <w:u w:val="none"/>
        </w:rPr>
        <w:t>https://doi.org/10.61838/kman.jndd.4.3.16</w:t>
      </w:r>
      <w:r>
        <w:rPr/>
        <w:fldChar w:fldCharType="end"/>
      </w:r>
      <w:r>
        <w:rPr>
          <w:rFonts w:ascii="Arial" w:cs="Arial" w:hAnsi="Arial"/>
        </w:rPr>
        <w:t xml:space="preserve"> </w:t>
      </w:r>
    </w:p>
    <w:p>
      <w:pPr>
        <w:pStyle w:val="style0"/>
        <w:ind w:left="567" w:hanging="567"/>
        <w:jc w:val="both"/>
        <w:rPr>
          <w:rFonts w:ascii="Arial" w:cs="Arial" w:hAnsi="Arial"/>
        </w:rPr>
      </w:pPr>
      <w:r>
        <w:rPr>
          <w:rFonts w:ascii="Arial" w:cs="Arial" w:hAnsi="Arial"/>
        </w:rPr>
        <w:t xml:space="preserve">Saulnier, C. A., &amp; </w:t>
      </w:r>
      <w:r>
        <w:rPr>
          <w:rFonts w:ascii="Arial" w:cs="Arial" w:hAnsi="Arial"/>
        </w:rPr>
        <w:t>Klaiman</w:t>
      </w:r>
      <w:r>
        <w:rPr>
          <w:rFonts w:ascii="Arial" w:cs="Arial" w:hAnsi="Arial"/>
        </w:rPr>
        <w:t>, C. (2024). Optimizing self-sufficiency and independence through adaptive behavior. In F. R. Volkmar, B. Reichow, &amp; J. C. McPartland (Eds.), </w:t>
      </w:r>
      <w:r>
        <w:rPr>
          <w:rFonts w:ascii="Arial" w:cs="Arial" w:hAnsi="Arial"/>
          <w:i/>
          <w:iCs/>
        </w:rPr>
        <w:t>Adolescents and adults with autism spectrum disorders</w:t>
      </w:r>
      <w:r>
        <w:rPr>
          <w:rFonts w:ascii="Arial" w:cs="Arial" w:hAnsi="Arial"/>
        </w:rPr>
        <w:t> (2nd ed., pp. 177-205). Cham, Switzerland: Springer Nature AG. </w:t>
      </w:r>
      <w:r>
        <w:rPr/>
        <w:fldChar w:fldCharType="begin"/>
      </w:r>
      <w:r>
        <w:instrText xml:space="preserve"> HYPERLINK "https://psycnet.apa.org/doi/10.1007/978-3-031-46463-8_8" \t "_blank" </w:instrText>
      </w:r>
      <w:r>
        <w:rPr/>
        <w:fldChar w:fldCharType="separate"/>
      </w:r>
      <w:r>
        <w:rPr>
          <w:rStyle w:val="style85"/>
          <w:rFonts w:ascii="Arial" w:cs="Arial" w:hAnsi="Arial"/>
          <w:color w:val="auto"/>
          <w:u w:val="none"/>
        </w:rPr>
        <w:t>https://doi.org/10.1007/978-3-031-46463-8_8</w:t>
      </w:r>
      <w:r>
        <w:rPr/>
        <w:fldChar w:fldCharType="end"/>
      </w:r>
      <w:r>
        <w:rPr>
          <w:rFonts w:ascii="Arial" w:cs="Arial" w:hAnsi="Arial"/>
        </w:rPr>
        <w:t xml:space="preserve"> </w:t>
      </w:r>
    </w:p>
    <w:p>
      <w:pPr>
        <w:pStyle w:val="style0"/>
        <w:ind w:left="567" w:hanging="567"/>
        <w:jc w:val="both"/>
        <w:rPr>
          <w:rFonts w:ascii="Arial" w:cs="Arial" w:hAnsi="Arial"/>
        </w:rPr>
      </w:pPr>
      <w:r>
        <w:t>Schildkrout</w:t>
      </w:r>
      <w:r>
        <w:t>, B., Niu, K., &amp; Cooper, J. J. (2023). Clinical neuroscience continuing education for psychiatrists. </w:t>
      </w:r>
      <w:r>
        <w:rPr>
          <w:i/>
          <w:iCs/>
        </w:rPr>
        <w:t>Academic Psychiatry</w:t>
      </w:r>
      <w:r>
        <w:t>, </w:t>
      </w:r>
      <w:r>
        <w:rPr>
          <w:i/>
          <w:iCs/>
        </w:rPr>
        <w:t>47</w:t>
      </w:r>
      <w:r>
        <w:t>(3), 297-303.</w:t>
      </w:r>
      <w:r>
        <w:t xml:space="preserve"> </w:t>
      </w:r>
      <w:r>
        <w:t>https://doi.org/10.1007/s40596-023-01776-8</w:t>
      </w:r>
    </w:p>
    <w:p>
      <w:pPr>
        <w:pStyle w:val="style0"/>
        <w:ind w:left="567" w:hanging="567"/>
        <w:jc w:val="both"/>
        <w:rPr>
          <w:rFonts w:ascii="Arial" w:cs="Arial" w:hAnsi="Arial"/>
        </w:rPr>
      </w:pPr>
      <w:r>
        <w:t>Shaw,</w:t>
      </w:r>
      <w:r>
        <w:t xml:space="preserve"> K. A.,</w:t>
      </w:r>
      <w:r>
        <w:t xml:space="preserve"> Williams</w:t>
      </w:r>
      <w:r>
        <w:t xml:space="preserve">, S., </w:t>
      </w:r>
      <w:r>
        <w:t>Patrick, M</w:t>
      </w:r>
      <w:r>
        <w:t xml:space="preserve">. E., </w:t>
      </w:r>
      <w:r>
        <w:t>Valencia-Prado, M</w:t>
      </w:r>
      <w:r>
        <w:t xml:space="preserve">., </w:t>
      </w:r>
      <w:r>
        <w:t xml:space="preserve">Durkin, </w:t>
      </w:r>
      <w:r>
        <w:t xml:space="preserve">M. S., </w:t>
      </w:r>
      <w:r>
        <w:t>Howerton</w:t>
      </w:r>
      <w:r>
        <w:t xml:space="preserve">, E. M., … </w:t>
      </w:r>
      <w:r>
        <w:t>Matthew J. Maenner, </w:t>
      </w:r>
      <w:r>
        <w:t xml:space="preserve">M. J. (2025). </w:t>
      </w:r>
      <w:r>
        <w:t>Prevalence and early identification of autism spectrum disorder among children aged 4 and 8 years. </w:t>
      </w:r>
      <w:r>
        <w:rPr>
          <w:i/>
          <w:iCs/>
        </w:rPr>
        <w:t>MMWR Surveillance Summaries</w:t>
      </w:r>
      <w:r>
        <w:t>, </w:t>
      </w:r>
      <w:r>
        <w:rPr>
          <w:i/>
          <w:iCs/>
        </w:rPr>
        <w:t>74</w:t>
      </w:r>
      <w:r>
        <w:t xml:space="preserve">(SS-2), 1-22. </w:t>
      </w:r>
      <w:r>
        <w:t>http://dx.doi.org/10.15585/mmwr.ss7402a1</w:t>
      </w:r>
    </w:p>
    <w:p>
      <w:pPr>
        <w:pStyle w:val="style0"/>
        <w:ind w:left="567" w:hanging="567"/>
        <w:jc w:val="both"/>
        <w:rPr>
          <w:rFonts w:ascii="Arial" w:cs="Arial" w:hAnsi="Arial"/>
        </w:rPr>
      </w:pPr>
      <w:r>
        <w:rPr>
          <w:rFonts w:ascii="Arial" w:cs="Arial" w:hAnsi="Arial"/>
        </w:rPr>
        <w:t>Shin, Y., Park, E. J., &amp; Lee, A. (2025). Early intervention for children with developmental disabilities and their families via telehealth: Systematic review. </w:t>
      </w:r>
      <w:r>
        <w:rPr>
          <w:rFonts w:ascii="Arial" w:cs="Arial" w:hAnsi="Arial"/>
          <w:i/>
          <w:iCs/>
        </w:rPr>
        <w:t>Journal of Medical Internet Research</w:t>
      </w:r>
      <w:r>
        <w:rPr>
          <w:rFonts w:ascii="Arial" w:cs="Arial" w:hAnsi="Arial"/>
        </w:rPr>
        <w:t>, </w:t>
      </w:r>
      <w:r>
        <w:rPr>
          <w:rFonts w:ascii="Arial" w:cs="Arial" w:hAnsi="Arial"/>
          <w:i/>
          <w:iCs/>
        </w:rPr>
        <w:t>27</w:t>
      </w:r>
      <w:r>
        <w:rPr>
          <w:rFonts w:ascii="Arial" w:cs="Arial" w:hAnsi="Arial"/>
        </w:rPr>
        <w:t xml:space="preserve">. Article ID: e66442. </w:t>
      </w:r>
      <w:r>
        <w:rPr/>
        <w:fldChar w:fldCharType="begin"/>
      </w:r>
      <w:r>
        <w:instrText xml:space="preserve"> HYPERLINK "https://doi.org/10.2196/66442" </w:instrText>
      </w:r>
      <w:r>
        <w:rPr/>
        <w:fldChar w:fldCharType="separate"/>
      </w:r>
      <w:r>
        <w:rPr>
          <w:rStyle w:val="style85"/>
          <w:rFonts w:ascii="Arial" w:cs="Arial" w:hAnsi="Arial"/>
          <w:color w:val="auto"/>
          <w:u w:val="none"/>
        </w:rPr>
        <w:t>https://doi.org/10.2196/66442</w:t>
      </w:r>
      <w:r>
        <w:rPr/>
        <w:fldChar w:fldCharType="end"/>
      </w:r>
      <w:r>
        <w:rPr>
          <w:rFonts w:ascii="Arial" w:cs="Arial" w:hAnsi="Arial"/>
        </w:rPr>
        <w:t xml:space="preserve"> </w:t>
      </w:r>
    </w:p>
    <w:p>
      <w:pPr>
        <w:pStyle w:val="style0"/>
        <w:ind w:left="567" w:hanging="567"/>
        <w:jc w:val="both"/>
        <w:rPr>
          <w:rFonts w:ascii="Arial" w:cs="Arial" w:hAnsi="Arial"/>
          <w:lang w:val="en-SG"/>
        </w:rPr>
      </w:pPr>
      <w:r>
        <w:rPr>
          <w:rFonts w:ascii="Arial" w:cs="Arial" w:hAnsi="Arial"/>
        </w:rPr>
        <w:t>Smythe, T., Scherer, N., Nanyunja, C., Tann, C. J., &amp; Olusanya, B. O. (2024). Strategies for addressing the needs of children with or at risk of developmental disabilities in early childhood by 2030: A systematic umbrella review. </w:t>
      </w:r>
      <w:r>
        <w:rPr>
          <w:rFonts w:ascii="Arial" w:cs="Arial" w:hAnsi="Arial"/>
          <w:i/>
          <w:iCs/>
        </w:rPr>
        <w:t>BMC Medicine</w:t>
      </w:r>
      <w:r>
        <w:rPr>
          <w:rFonts w:ascii="Arial" w:cs="Arial" w:hAnsi="Arial"/>
        </w:rPr>
        <w:t>, </w:t>
      </w:r>
      <w:r>
        <w:rPr>
          <w:rFonts w:ascii="Arial" w:cs="Arial" w:hAnsi="Arial"/>
          <w:i/>
          <w:iCs/>
        </w:rPr>
        <w:t>22</w:t>
      </w:r>
      <w:r>
        <w:rPr>
          <w:rFonts w:ascii="Arial" w:cs="Arial" w:hAnsi="Arial"/>
        </w:rPr>
        <w:t xml:space="preserve">(1). Article No. 51. </w:t>
      </w:r>
      <w:r>
        <w:rPr/>
        <w:fldChar w:fldCharType="begin"/>
      </w:r>
      <w:r>
        <w:instrText xml:space="preserve"> HYPERLINK "https://doi.org/10.1186/s12916-024-03265-7" </w:instrText>
      </w:r>
      <w:r>
        <w:rPr/>
        <w:fldChar w:fldCharType="separate"/>
      </w:r>
      <w:r>
        <w:rPr>
          <w:rStyle w:val="style85"/>
          <w:rFonts w:ascii="Arial" w:cs="Arial" w:hAnsi="Arial"/>
          <w:color w:val="auto"/>
          <w:u w:val="none"/>
        </w:rPr>
        <w:t>https://doi.org/10.1186/s12916-024-03265-7</w:t>
      </w:r>
      <w:r>
        <w:rPr/>
        <w:fldChar w:fldCharType="end"/>
      </w:r>
      <w:r>
        <w:rPr>
          <w:rFonts w:ascii="Arial" w:cs="Arial" w:hAnsi="Arial"/>
        </w:rPr>
        <w:t xml:space="preserve"> </w:t>
      </w:r>
    </w:p>
    <w:p>
      <w:pPr>
        <w:pStyle w:val="style0"/>
        <w:ind w:left="567" w:hanging="567"/>
        <w:jc w:val="both"/>
        <w:rPr>
          <w:rFonts w:ascii="Arial" w:cs="Arial" w:hAnsi="Arial"/>
        </w:rPr>
      </w:pPr>
      <w:r>
        <w:rPr>
          <w:rFonts w:ascii="Arial" w:cs="Arial" w:hAnsi="Arial"/>
        </w:rPr>
        <w:t>Stodden, D. F., Pesce, C., Zarrett, N., Tomporowski, P., Ben-Soussan, T. D., Brian, A., ... &amp; Weist, M. D. (2023). Holistic functioning from a developmental perspective: A new synthesis with a focus on a multi-tiered system support structure. </w:t>
      </w:r>
      <w:r>
        <w:rPr>
          <w:rFonts w:ascii="Arial" w:cs="Arial" w:hAnsi="Arial"/>
          <w:i/>
          <w:iCs/>
        </w:rPr>
        <w:t>Clinical Child and Family Psychology Review</w:t>
      </w:r>
      <w:r>
        <w:rPr>
          <w:rFonts w:ascii="Arial" w:cs="Arial" w:hAnsi="Arial"/>
        </w:rPr>
        <w:t>, </w:t>
      </w:r>
      <w:r>
        <w:rPr>
          <w:rFonts w:ascii="Arial" w:cs="Arial" w:hAnsi="Arial"/>
          <w:i/>
          <w:iCs/>
        </w:rPr>
        <w:t>26</w:t>
      </w:r>
      <w:r>
        <w:rPr>
          <w:rFonts w:ascii="Arial" w:cs="Arial" w:hAnsi="Arial"/>
        </w:rPr>
        <w:t xml:space="preserve">(2), 343-361. </w:t>
      </w:r>
      <w:r>
        <w:rPr/>
        <w:fldChar w:fldCharType="begin"/>
      </w:r>
      <w:r>
        <w:instrText xml:space="preserve"> HYPERLINK "https://doi.org/10.1007/s10567-023-00428-5" </w:instrText>
      </w:r>
      <w:r>
        <w:rPr/>
        <w:fldChar w:fldCharType="separate"/>
      </w:r>
      <w:r>
        <w:rPr>
          <w:rStyle w:val="style85"/>
          <w:rFonts w:ascii="Arial" w:cs="Arial" w:hAnsi="Arial"/>
          <w:color w:val="auto"/>
          <w:u w:val="none"/>
        </w:rPr>
        <w:t>https://doi.org/10.1007/s10567-023-00428-5</w:t>
      </w:r>
      <w:r>
        <w:rPr/>
        <w:fldChar w:fldCharType="end"/>
      </w:r>
      <w:r>
        <w:rPr>
          <w:rFonts w:ascii="Arial" w:cs="Arial" w:hAnsi="Arial"/>
        </w:rPr>
        <w:t xml:space="preserve"> </w:t>
      </w:r>
    </w:p>
    <w:p>
      <w:pPr>
        <w:pStyle w:val="style0"/>
        <w:ind w:left="567" w:hanging="567"/>
        <w:jc w:val="both"/>
        <w:rPr>
          <w:rFonts w:ascii="Arial" w:cs="Arial" w:hAnsi="Arial"/>
        </w:rPr>
      </w:pPr>
      <w:r>
        <w:rPr>
          <w:rFonts w:ascii="Arial" w:cs="Arial" w:hAnsi="Arial"/>
        </w:rPr>
        <w:t xml:space="preserve">Sudhir, C. S., &amp; Sharath, H. (2023). A brief overview of recent pediatric physical therapy practices and their importance. </w:t>
      </w:r>
      <w:r>
        <w:rPr>
          <w:rFonts w:ascii="Arial" w:cs="Arial" w:hAnsi="Arial"/>
          <w:i/>
          <w:iCs/>
        </w:rPr>
        <w:t>Cureus</w:t>
      </w:r>
      <w:r>
        <w:rPr>
          <w:rFonts w:ascii="Arial" w:cs="Arial" w:hAnsi="Arial"/>
        </w:rPr>
        <w:t>,</w:t>
      </w:r>
      <w:r>
        <w:rPr>
          <w:rFonts w:ascii="Arial" w:cs="Arial" w:hAnsi="Arial"/>
          <w:i/>
          <w:iCs/>
        </w:rPr>
        <w:t xml:space="preserve"> 15</w:t>
      </w:r>
      <w:r>
        <w:rPr>
          <w:rFonts w:ascii="Arial" w:cs="Arial" w:hAnsi="Arial"/>
        </w:rPr>
        <w:t xml:space="preserve">(10). Article ID: e47863. </w:t>
      </w:r>
      <w:r>
        <w:rPr/>
        <w:fldChar w:fldCharType="begin"/>
      </w:r>
      <w:r>
        <w:instrText xml:space="preserve"> HYPERLINK "https://doi.org/10.7759/cureus.47863" </w:instrText>
      </w:r>
      <w:r>
        <w:rPr/>
        <w:fldChar w:fldCharType="separate"/>
      </w:r>
      <w:r>
        <w:rPr>
          <w:rStyle w:val="style85"/>
          <w:rFonts w:ascii="Arial" w:cs="Arial" w:hAnsi="Arial"/>
          <w:color w:val="auto"/>
          <w:u w:val="none"/>
        </w:rPr>
        <w:t>https://doi.org/10.7759/cureus.47863</w:t>
      </w:r>
      <w:r>
        <w:rPr/>
        <w:fldChar w:fldCharType="end"/>
      </w:r>
      <w:r>
        <w:rPr>
          <w:rFonts w:ascii="Arial" w:cs="Arial" w:hAnsi="Arial"/>
        </w:rPr>
        <w:t xml:space="preserve">   </w:t>
      </w:r>
    </w:p>
    <w:p>
      <w:pPr>
        <w:pStyle w:val="style0"/>
        <w:ind w:left="567" w:hanging="567"/>
        <w:jc w:val="both"/>
        <w:rPr>
          <w:rFonts w:ascii="Arial" w:cs="Arial" w:hAnsi="Arial"/>
        </w:rPr>
      </w:pPr>
      <w:r>
        <w:t>Tabibnia</w:t>
      </w:r>
      <w:r>
        <w:t>, G. (2024). Neuroscience education as a tool for improving stress management and resilience. </w:t>
      </w:r>
      <w:r>
        <w:rPr>
          <w:i/>
          <w:iCs/>
        </w:rPr>
        <w:t>Current Opinion in Behavioral Sciences</w:t>
      </w:r>
      <w:r>
        <w:t>, </w:t>
      </w:r>
      <w:r>
        <w:rPr>
          <w:i/>
          <w:iCs/>
        </w:rPr>
        <w:t>59</w:t>
      </w:r>
      <w:r>
        <w:t xml:space="preserve">. Article ID: </w:t>
      </w:r>
      <w:r>
        <w:t>101401.</w:t>
      </w:r>
      <w:r>
        <w:t xml:space="preserve"> </w:t>
      </w:r>
      <w:r>
        <w:t>https://doi.org/10.1016/j.cobeha.2024.101401</w:t>
      </w:r>
    </w:p>
    <w:p>
      <w:pPr>
        <w:pStyle w:val="style0"/>
        <w:ind w:left="567" w:hanging="567"/>
        <w:jc w:val="both"/>
        <w:rPr>
          <w:rFonts w:ascii="Arial" w:cs="Arial" w:hAnsi="Arial"/>
        </w:rPr>
      </w:pPr>
      <w:r>
        <w:rPr>
          <w:rFonts w:ascii="Arial" w:cs="Arial" w:hAnsi="Arial"/>
        </w:rPr>
        <w:t>Thapar, A., Cooper, M., &amp; Rutter, M. (2017). Neurodevelopmental disorders. </w:t>
      </w:r>
      <w:r>
        <w:rPr>
          <w:rFonts w:ascii="Arial" w:cs="Arial" w:hAnsi="Arial"/>
          <w:i/>
          <w:iCs/>
        </w:rPr>
        <w:t xml:space="preserve">The </w:t>
      </w:r>
      <w:r>
        <w:rPr>
          <w:rFonts w:ascii="Arial" w:cs="Arial" w:hAnsi="Arial"/>
          <w:i/>
          <w:iCs/>
        </w:rPr>
        <w:t>L</w:t>
      </w:r>
      <w:r>
        <w:rPr>
          <w:rFonts w:ascii="Arial" w:cs="Arial" w:hAnsi="Arial"/>
          <w:i/>
          <w:iCs/>
        </w:rPr>
        <w:t>ancet. Psychiatry</w:t>
      </w:r>
      <w:r>
        <w:rPr>
          <w:rFonts w:ascii="Arial" w:cs="Arial" w:hAnsi="Arial"/>
        </w:rPr>
        <w:t>, </w:t>
      </w:r>
      <w:r>
        <w:rPr>
          <w:rFonts w:ascii="Arial" w:cs="Arial" w:hAnsi="Arial"/>
          <w:i/>
          <w:iCs/>
        </w:rPr>
        <w:t>4</w:t>
      </w:r>
      <w:r>
        <w:rPr>
          <w:rFonts w:ascii="Arial" w:cs="Arial" w:hAnsi="Arial"/>
        </w:rPr>
        <w:t xml:space="preserve">(4), 339-346. </w:t>
      </w:r>
      <w:r>
        <w:rPr/>
        <w:fldChar w:fldCharType="begin"/>
      </w:r>
      <w:r>
        <w:instrText xml:space="preserve"> HYPERLINK "https://doi.org/10.1016/S2215-0366(16)30376-5" </w:instrText>
      </w:r>
      <w:r>
        <w:rPr/>
        <w:fldChar w:fldCharType="separate"/>
      </w:r>
      <w:r>
        <w:rPr>
          <w:rStyle w:val="style85"/>
          <w:rFonts w:ascii="Arial" w:cs="Arial" w:hAnsi="Arial"/>
          <w:color w:val="auto"/>
          <w:u w:val="none"/>
        </w:rPr>
        <w:t>https://doi.org/10.1016/S2215-0366(16)30376-5</w:t>
      </w:r>
      <w:r>
        <w:rPr/>
        <w:fldChar w:fldCharType="end"/>
      </w:r>
    </w:p>
    <w:p>
      <w:pPr>
        <w:pStyle w:val="style0"/>
        <w:ind w:left="567" w:hanging="567"/>
        <w:jc w:val="both"/>
        <w:rPr>
          <w:rFonts w:ascii="Arial" w:cs="Arial" w:hAnsi="Arial"/>
        </w:rPr>
      </w:pPr>
      <w:r>
        <w:rPr>
          <w:rFonts w:ascii="Arial" w:cs="Arial" w:hAnsi="Arial"/>
        </w:rPr>
        <w:t>Vogelsang, L., Vogelsang, M., Pipa, G., Diamond, S., &amp; Sinha, P. (2024). Butterfly effects in perceptual development: A review of the ‘adaptive initial degradation’ hypothesis. </w:t>
      </w:r>
      <w:r>
        <w:rPr>
          <w:rFonts w:ascii="Arial" w:cs="Arial" w:hAnsi="Arial"/>
          <w:i/>
          <w:iCs/>
        </w:rPr>
        <w:t>Developmental Review</w:t>
      </w:r>
      <w:r>
        <w:rPr>
          <w:rFonts w:ascii="Arial" w:cs="Arial" w:hAnsi="Arial"/>
        </w:rPr>
        <w:t>, </w:t>
      </w:r>
      <w:r>
        <w:rPr>
          <w:rFonts w:ascii="Arial" w:cs="Arial" w:hAnsi="Arial"/>
          <w:i/>
          <w:iCs/>
        </w:rPr>
        <w:t>71</w:t>
      </w:r>
      <w:r>
        <w:rPr>
          <w:rFonts w:ascii="Arial" w:cs="Arial" w:hAnsi="Arial"/>
        </w:rPr>
        <w:t xml:space="preserve">, Article ID: 101117. </w:t>
      </w:r>
      <w:r>
        <w:rPr/>
        <w:fldChar w:fldCharType="begin"/>
      </w:r>
      <w:r>
        <w:instrText xml:space="preserve"> HYPERLINK "https://doi.org/10.1016/j.dr.2024.101117" \t "_blank" \o "Persistent link using digital object identifier" </w:instrText>
      </w:r>
      <w:r>
        <w:rPr/>
        <w:fldChar w:fldCharType="separate"/>
      </w:r>
      <w:r>
        <w:rPr>
          <w:rStyle w:val="style85"/>
          <w:rFonts w:ascii="Arial" w:cs="Arial" w:hAnsi="Arial"/>
          <w:color w:val="auto"/>
          <w:u w:val="none"/>
        </w:rPr>
        <w:t>https://doi.org/10.1016/j.dr.2024.101117</w:t>
      </w:r>
      <w:r>
        <w:rPr/>
        <w:fldChar w:fldCharType="end"/>
      </w:r>
      <w:r>
        <w:rPr>
          <w:rFonts w:ascii="Arial" w:cs="Arial" w:hAnsi="Arial"/>
        </w:rPr>
        <w:t xml:space="preserve"> </w:t>
      </w:r>
    </w:p>
    <w:p>
      <w:pPr>
        <w:pStyle w:val="style0"/>
        <w:ind w:left="567" w:hanging="567"/>
        <w:jc w:val="both"/>
        <w:rPr>
          <w:rFonts w:ascii="Arial" w:cs="Arial" w:hAnsi="Arial"/>
        </w:rPr>
      </w:pPr>
      <w:r>
        <w:rPr>
          <w:rFonts w:ascii="Arial" w:cs="Arial" w:hAnsi="Arial"/>
        </w:rPr>
        <w:t>Wei, W., Benn, R. A., Scholz, R., Shevchenko, V., Klatzmann, U., Alberti, F., ... &amp; Margulies, D. S. (2024). A function-based mapping of sensory integration along the cortical hierarchy. </w:t>
      </w:r>
      <w:r>
        <w:rPr>
          <w:rFonts w:ascii="Arial" w:cs="Arial" w:hAnsi="Arial"/>
          <w:i/>
          <w:iCs/>
        </w:rPr>
        <w:t>Communications Biology</w:t>
      </w:r>
      <w:r>
        <w:rPr>
          <w:rFonts w:ascii="Arial" w:cs="Arial" w:hAnsi="Arial"/>
        </w:rPr>
        <w:t>, </w:t>
      </w:r>
      <w:r>
        <w:rPr>
          <w:rFonts w:ascii="Arial" w:cs="Arial" w:hAnsi="Arial"/>
          <w:i/>
          <w:iCs/>
        </w:rPr>
        <w:t>7</w:t>
      </w:r>
      <w:r>
        <w:rPr>
          <w:rFonts w:ascii="Arial" w:cs="Arial" w:hAnsi="Arial"/>
        </w:rPr>
        <w:t xml:space="preserve">(1). Article No. 1593. </w:t>
      </w:r>
      <w:r>
        <w:rPr/>
        <w:fldChar w:fldCharType="begin"/>
      </w:r>
      <w:r>
        <w:instrText xml:space="preserve"> HYPERLINK "https://doi.org/10.1038/s42003-024-07224-z" </w:instrText>
      </w:r>
      <w:r>
        <w:rPr/>
        <w:fldChar w:fldCharType="separate"/>
      </w:r>
      <w:r>
        <w:rPr>
          <w:rStyle w:val="style85"/>
          <w:rFonts w:ascii="Arial" w:cs="Arial" w:hAnsi="Arial"/>
          <w:color w:val="auto"/>
          <w:u w:val="none"/>
        </w:rPr>
        <w:t>https://doi.org/10.1038/s42003-024-07224-z</w:t>
      </w:r>
      <w:r>
        <w:rPr/>
        <w:fldChar w:fldCharType="end"/>
      </w:r>
      <w:r>
        <w:rPr>
          <w:rFonts w:ascii="Arial" w:cs="Arial" w:hAnsi="Arial"/>
        </w:rPr>
        <w:t xml:space="preserve"> </w:t>
      </w:r>
    </w:p>
    <w:p>
      <w:pPr>
        <w:pStyle w:val="style0"/>
        <w:ind w:left="567" w:hanging="567"/>
        <w:jc w:val="both"/>
        <w:rPr>
          <w:rFonts w:ascii="Arial" w:cs="Arial" w:hAnsi="Arial"/>
        </w:rPr>
      </w:pPr>
      <w:r>
        <w:rPr>
          <w:rFonts w:ascii="Arial" w:cs="Arial" w:hAnsi="Arial"/>
        </w:rPr>
        <w:t xml:space="preserve">Wendling, B. J., &amp; Mather, N. (2008). </w:t>
      </w:r>
      <w:r>
        <w:rPr>
          <w:rFonts w:ascii="Arial" w:cs="Arial" w:hAnsi="Arial"/>
          <w:i/>
          <w:iCs/>
        </w:rPr>
        <w:t>Essentials of evidence-based academic interventions</w:t>
      </w:r>
      <w:r>
        <w:rPr>
          <w:rFonts w:ascii="Arial" w:cs="Arial" w:hAnsi="Arial"/>
        </w:rPr>
        <w:t>. Hoboken, NJ: John Wiley &amp; Sons</w:t>
      </w:r>
      <w:r>
        <w:rPr>
          <w:rFonts w:ascii="Arial" w:cs="Arial" w:hAnsi="Arial"/>
        </w:rPr>
        <w:t>.</w:t>
      </w:r>
    </w:p>
    <w:p>
      <w:pPr>
        <w:pStyle w:val="style0"/>
        <w:ind w:left="567" w:hanging="567"/>
        <w:jc w:val="both"/>
        <w:rPr>
          <w:rFonts w:ascii="Arial" w:cs="Arial" w:hAnsi="Arial"/>
        </w:rPr>
      </w:pPr>
      <w:r>
        <w:rPr>
          <w:rFonts w:ascii="Arial" w:cs="Arial" w:hAnsi="Arial"/>
        </w:rPr>
        <w:t xml:space="preserve">Wong, C. L. (2019). </w:t>
      </w:r>
      <w:r>
        <w:rPr>
          <w:rFonts w:ascii="Arial" w:cs="Arial" w:hAnsi="Arial"/>
        </w:rPr>
        <w:t xml:space="preserve">A  </w:t>
      </w:r>
      <w:r>
        <w:rPr>
          <w:rFonts w:ascii="Arial" w:cs="Arial" w:hAnsi="Arial"/>
        </w:rPr>
        <w:t>c</w:t>
      </w:r>
      <w:r>
        <w:rPr>
          <w:rFonts w:ascii="Arial" w:cs="Arial" w:hAnsi="Arial"/>
        </w:rPr>
        <w:t xml:space="preserve">ase  </w:t>
      </w:r>
      <w:r>
        <w:rPr>
          <w:rFonts w:ascii="Arial" w:cs="Arial" w:hAnsi="Arial"/>
        </w:rPr>
        <w:t>r</w:t>
      </w:r>
      <w:r>
        <w:rPr>
          <w:rFonts w:ascii="Arial" w:cs="Arial" w:hAnsi="Arial"/>
        </w:rPr>
        <w:t xml:space="preserve">eport  and  </w:t>
      </w:r>
      <w:r>
        <w:rPr>
          <w:rFonts w:ascii="Arial" w:cs="Arial" w:hAnsi="Arial"/>
        </w:rPr>
        <w:t>r</w:t>
      </w:r>
      <w:r>
        <w:rPr>
          <w:rFonts w:ascii="Arial" w:cs="Arial" w:hAnsi="Arial"/>
        </w:rPr>
        <w:t xml:space="preserve">eview  of  a  </w:t>
      </w:r>
      <w:r>
        <w:rPr>
          <w:rFonts w:ascii="Arial" w:cs="Arial" w:hAnsi="Arial"/>
        </w:rPr>
        <w:t>y</w:t>
      </w:r>
      <w:r>
        <w:rPr>
          <w:rFonts w:ascii="Arial" w:cs="Arial" w:hAnsi="Arial"/>
        </w:rPr>
        <w:t xml:space="preserve">oung  </w:t>
      </w:r>
      <w:r>
        <w:rPr>
          <w:rFonts w:ascii="Arial" w:cs="Arial" w:hAnsi="Arial"/>
        </w:rPr>
        <w:t>a</w:t>
      </w:r>
      <w:r>
        <w:rPr>
          <w:rFonts w:ascii="Arial" w:cs="Arial" w:hAnsi="Arial"/>
        </w:rPr>
        <w:t xml:space="preserve">dult  with  </w:t>
      </w:r>
      <w:r>
        <w:rPr>
          <w:rFonts w:ascii="Arial" w:cs="Arial" w:hAnsi="Arial"/>
        </w:rPr>
        <w:t>n</w:t>
      </w:r>
      <w:r>
        <w:rPr>
          <w:rFonts w:ascii="Arial" w:cs="Arial" w:hAnsi="Arial"/>
        </w:rPr>
        <w:t>on-</w:t>
      </w:r>
      <w:r>
        <w:rPr>
          <w:rFonts w:ascii="Arial" w:cs="Arial" w:hAnsi="Arial"/>
        </w:rPr>
        <w:t>v</w:t>
      </w:r>
      <w:r>
        <w:rPr>
          <w:rFonts w:ascii="Arial" w:cs="Arial" w:hAnsi="Arial"/>
        </w:rPr>
        <w:t xml:space="preserve">erbal  </w:t>
      </w:r>
      <w:r>
        <w:rPr>
          <w:rFonts w:ascii="Arial" w:cs="Arial" w:hAnsi="Arial"/>
        </w:rPr>
        <w:t>l</w:t>
      </w:r>
      <w:r>
        <w:rPr>
          <w:rFonts w:ascii="Arial" w:cs="Arial" w:hAnsi="Arial"/>
        </w:rPr>
        <w:t>ow-</w:t>
      </w:r>
      <w:r>
        <w:rPr>
          <w:rFonts w:ascii="Arial" w:cs="Arial" w:hAnsi="Arial"/>
        </w:rPr>
        <w:t>f</w:t>
      </w:r>
      <w:r>
        <w:rPr>
          <w:rFonts w:ascii="Arial" w:cs="Arial" w:hAnsi="Arial"/>
        </w:rPr>
        <w:t xml:space="preserve">unctioning </w:t>
      </w:r>
      <w:r>
        <w:rPr>
          <w:rFonts w:ascii="Arial" w:cs="Arial" w:hAnsi="Arial"/>
        </w:rPr>
        <w:t>a</w:t>
      </w:r>
      <w:r>
        <w:rPr>
          <w:rFonts w:ascii="Arial" w:cs="Arial" w:hAnsi="Arial"/>
        </w:rPr>
        <w:t>utism</w:t>
      </w:r>
      <w:r>
        <w:rPr>
          <w:rFonts w:ascii="Arial" w:cs="Arial" w:hAnsi="Arial"/>
        </w:rPr>
        <w:t xml:space="preserve">. </w:t>
      </w:r>
      <w:r>
        <w:rPr>
          <w:rFonts w:ascii="Arial" w:cs="Arial" w:hAnsi="Arial"/>
          <w:i/>
          <w:iCs/>
        </w:rPr>
        <w:t>International Journal of Educational Studies</w:t>
      </w:r>
      <w:r>
        <w:rPr>
          <w:rFonts w:ascii="Arial" w:cs="Arial" w:hAnsi="Arial"/>
        </w:rPr>
        <w:t xml:space="preserve">, </w:t>
      </w:r>
      <w:r>
        <w:rPr>
          <w:rFonts w:ascii="Arial" w:cs="Arial" w:hAnsi="Arial"/>
          <w:i/>
          <w:iCs/>
        </w:rPr>
        <w:t>2</w:t>
      </w:r>
      <w:r>
        <w:rPr>
          <w:rFonts w:ascii="Arial" w:cs="Arial" w:hAnsi="Arial"/>
        </w:rPr>
        <w:t>(</w:t>
      </w:r>
      <w:r>
        <w:rPr>
          <w:rFonts w:ascii="Arial" w:cs="Arial" w:hAnsi="Arial"/>
        </w:rPr>
        <w:t>1</w:t>
      </w:r>
      <w:r>
        <w:rPr>
          <w:rFonts w:ascii="Arial" w:cs="Arial" w:hAnsi="Arial"/>
        </w:rPr>
        <w:t>)</w:t>
      </w:r>
      <w:r>
        <w:rPr>
          <w:rFonts w:ascii="Arial" w:cs="Arial" w:hAnsi="Arial"/>
        </w:rPr>
        <w:t>,</w:t>
      </w:r>
      <w:r>
        <w:rPr>
          <w:rFonts w:ascii="Arial" w:cs="Arial" w:hAnsi="Arial"/>
        </w:rPr>
        <w:t xml:space="preserve"> </w:t>
      </w:r>
      <w:r>
        <w:rPr>
          <w:rFonts w:ascii="Arial" w:cs="Arial" w:hAnsi="Arial"/>
        </w:rPr>
        <w:t>1-12</w:t>
      </w:r>
      <w:r>
        <w:rPr>
          <w:rFonts w:ascii="Arial" w:cs="Arial" w:hAnsi="Arial"/>
        </w:rPr>
        <w:t>. https://doi.org/</w:t>
      </w:r>
      <w:r>
        <w:rPr>
          <w:rFonts w:ascii="Arial" w:cs="Arial" w:hAnsi="Arial"/>
        </w:rPr>
        <w:t>10.53935/2641-533x.v2i1.2</w:t>
      </w:r>
    </w:p>
    <w:p>
      <w:pPr>
        <w:pStyle w:val="style0"/>
        <w:ind w:left="567" w:hanging="567"/>
        <w:jc w:val="both"/>
        <w:rPr>
          <w:rFonts w:ascii="Arial" w:cs="Arial" w:hAnsi="Arial"/>
        </w:rPr>
      </w:pPr>
      <w:r>
        <w:rPr>
          <w:rFonts w:ascii="Arial" w:cs="Arial" w:hAnsi="Arial"/>
        </w:rPr>
        <w:t xml:space="preserve">Woolfenden, S., Farrar, M. A., Eapen, V., Masi, A., Wakefield, C. E., Badawi, N., ... &amp; Dale, R. C. (2022). Delivering </w:t>
      </w:r>
      <w:r>
        <w:rPr>
          <w:rFonts w:ascii="Arial" w:cs="Arial" w:hAnsi="Arial"/>
        </w:rPr>
        <w:t>paediatric</w:t>
      </w:r>
      <w:r>
        <w:rPr>
          <w:rFonts w:ascii="Arial" w:cs="Arial" w:hAnsi="Arial"/>
        </w:rPr>
        <w:t xml:space="preserve"> precision medicine: Genomic and environmental considerations along the causal pathway of childhood neurodevelopmental disorders. </w:t>
      </w:r>
      <w:r>
        <w:rPr>
          <w:rFonts w:ascii="Arial" w:cs="Arial" w:hAnsi="Arial"/>
          <w:i/>
          <w:iCs/>
        </w:rPr>
        <w:t>Developmental Medicine &amp; Child Neurology</w:t>
      </w:r>
      <w:r>
        <w:rPr>
          <w:rFonts w:ascii="Arial" w:cs="Arial" w:hAnsi="Arial"/>
        </w:rPr>
        <w:t>, </w:t>
      </w:r>
      <w:r>
        <w:rPr>
          <w:rFonts w:ascii="Arial" w:cs="Arial" w:hAnsi="Arial"/>
          <w:i/>
          <w:iCs/>
        </w:rPr>
        <w:t>64</w:t>
      </w:r>
      <w:r>
        <w:rPr>
          <w:rFonts w:ascii="Arial" w:cs="Arial" w:hAnsi="Arial"/>
        </w:rPr>
        <w:t xml:space="preserve">(9), 1077-1084. </w:t>
      </w:r>
      <w:r>
        <w:rPr/>
        <w:fldChar w:fldCharType="begin"/>
      </w:r>
      <w:r>
        <w:instrText xml:space="preserve"> HYPERLINK "https://doi.org/10.1111/dmcn.15289" </w:instrText>
      </w:r>
      <w:r>
        <w:rPr/>
        <w:fldChar w:fldCharType="separate"/>
      </w:r>
      <w:r>
        <w:rPr>
          <w:rStyle w:val="style85"/>
          <w:rFonts w:ascii="Arial" w:cs="Arial" w:hAnsi="Arial"/>
          <w:color w:val="auto"/>
          <w:u w:val="none"/>
        </w:rPr>
        <w:t>https://doi.org/10.1111/dmcn.15289</w:t>
      </w:r>
      <w:r>
        <w:rPr/>
        <w:fldChar w:fldCharType="end"/>
      </w:r>
      <w:r>
        <w:rPr>
          <w:rFonts w:ascii="Arial" w:cs="Arial" w:hAnsi="Arial"/>
        </w:rPr>
        <w:t xml:space="preserve"> </w:t>
      </w:r>
    </w:p>
    <w:p>
      <w:pPr>
        <w:pStyle w:val="style0"/>
        <w:ind w:left="567" w:hanging="567"/>
        <w:jc w:val="both"/>
        <w:rPr>
          <w:rFonts w:ascii="Arial" w:cs="Arial" w:hAnsi="Arial"/>
        </w:rPr>
      </w:pPr>
      <w:r>
        <w:rPr>
          <w:rFonts w:ascii="Arial" w:cs="Arial" w:hAnsi="Arial"/>
        </w:rPr>
        <w:t xml:space="preserve">Yusof, Shania Saudah. (2025). Educational therapy in pediatric palliative care: A case study of a child with complex and life-limiting condition. </w:t>
      </w:r>
      <w:r>
        <w:rPr>
          <w:rFonts w:ascii="Arial" w:cs="Arial" w:hAnsi="Arial"/>
          <w:i/>
          <w:iCs/>
        </w:rPr>
        <w:t>The Asian Educational Therapist</w:t>
      </w:r>
      <w:r>
        <w:rPr>
          <w:rFonts w:ascii="Arial" w:cs="Arial" w:hAnsi="Arial"/>
        </w:rPr>
        <w:t xml:space="preserve">, </w:t>
      </w:r>
      <w:r>
        <w:rPr>
          <w:rFonts w:ascii="Arial" w:cs="Arial" w:hAnsi="Arial"/>
          <w:i/>
          <w:iCs/>
        </w:rPr>
        <w:t>3</w:t>
      </w:r>
      <w:r>
        <w:rPr>
          <w:rFonts w:ascii="Arial" w:cs="Arial" w:hAnsi="Arial"/>
        </w:rPr>
        <w:t xml:space="preserve">(3), 33-48. </w:t>
      </w:r>
      <w:r>
        <w:rPr/>
        <w:fldChar w:fldCharType="begin"/>
      </w:r>
      <w:r>
        <w:instrText xml:space="preserve"> HYPERLINK "https://doi.org/10.64663/aet.4" </w:instrText>
      </w:r>
      <w:r>
        <w:rPr/>
        <w:fldChar w:fldCharType="separate"/>
      </w:r>
      <w:r>
        <w:rPr>
          <w:rStyle w:val="style85"/>
          <w:rFonts w:ascii="Arial" w:cs="Arial" w:hAnsi="Arial"/>
          <w:color w:val="auto"/>
          <w:u w:val="none"/>
          <w:lang w:val="en-SG" w:eastAsia="en-SG"/>
        </w:rPr>
        <w:t>https://doi.org/10.64663/aet.4</w:t>
      </w:r>
      <w:r>
        <w:rPr/>
        <w:fldChar w:fldCharType="end"/>
      </w:r>
      <w:r>
        <w:rPr>
          <w:rFonts w:ascii="Arial" w:cs="Arial" w:hAnsi="Arial"/>
          <w:lang w:val="en-SG" w:eastAsia="en-SG"/>
        </w:rPr>
        <w:t xml:space="preserve">  </w:t>
      </w:r>
    </w:p>
    <w:p>
      <w:pPr>
        <w:pStyle w:val="style0"/>
        <w:ind w:left="567" w:hanging="567"/>
        <w:jc w:val="both"/>
        <w:rPr>
          <w:rFonts w:ascii="Arial" w:cs="Arial" w:hAnsi="Arial"/>
        </w:rPr>
      </w:pPr>
      <w:r>
        <w:rPr>
          <w:rFonts w:ascii="Arial" w:cs="Arial" w:hAnsi="Arial"/>
        </w:rPr>
        <w:t>Zablotsky, B., Ng, A. E., Black, L. I., &amp; Blumberg, S. J. (2023). Diagnosed developmental disabilities in children aged 3-17 years: United States, 2019-2021. </w:t>
      </w:r>
      <w:r>
        <w:rPr>
          <w:rFonts w:ascii="Arial" w:cs="Arial" w:hAnsi="Arial"/>
          <w:i/>
          <w:iCs/>
        </w:rPr>
        <w:t>NCHS Data Brief</w:t>
      </w:r>
      <w:r>
        <w:rPr>
          <w:rFonts w:ascii="Arial" w:cs="Arial" w:hAnsi="Arial"/>
        </w:rPr>
        <w:t xml:space="preserve">, </w:t>
      </w:r>
      <w:r>
        <w:rPr>
          <w:rFonts w:ascii="Arial" w:cs="Arial" w:hAnsi="Arial"/>
          <w:i/>
          <w:iCs/>
        </w:rPr>
        <w:t>473</w:t>
      </w:r>
      <w:r>
        <w:rPr>
          <w:rFonts w:ascii="Arial" w:cs="Arial" w:hAnsi="Arial"/>
        </w:rPr>
        <w:t>, 1-8. PMID: 37440277.</w:t>
      </w:r>
    </w:p>
    <w:p>
      <w:pPr>
        <w:pStyle w:val="style0"/>
        <w:ind w:left="567" w:hanging="567"/>
        <w:jc w:val="both"/>
        <w:rPr>
          <w:rFonts w:ascii="Arial" w:cs="Arial" w:hAnsi="Arial"/>
        </w:rPr>
      </w:pPr>
      <w:r>
        <w:rPr>
          <w:rFonts w:ascii="Arial" w:cs="Arial" w:hAnsi="Arial"/>
        </w:rPr>
        <w:t>Zerva, I. K. (Ed.). (2026). </w:t>
      </w:r>
      <w:r>
        <w:rPr>
          <w:rFonts w:ascii="Arial" w:cs="Arial" w:hAnsi="Arial"/>
          <w:i/>
          <w:iCs/>
        </w:rPr>
        <w:t>Neurodevelopmental disorders in education: The clinical continuum from childhood to adulthood</w:t>
      </w:r>
      <w:r>
        <w:rPr>
          <w:rFonts w:ascii="Arial" w:cs="Arial" w:hAnsi="Arial"/>
        </w:rPr>
        <w:t xml:space="preserve">. Hershey, PA: IGI Global. </w:t>
      </w:r>
    </w:p>
    <w:p>
      <w:pPr>
        <w:pStyle w:val="style4105"/>
        <w:spacing w:after="0"/>
        <w:jc w:val="both"/>
        <w:rPr>
          <w:rFonts w:ascii="Arial" w:cs="Arial" w:hAnsi="Arial"/>
          <w:sz w:val="20"/>
        </w:rPr>
      </w:pPr>
    </w:p>
    <w:sectPr>
      <w:type w:val="continuous"/>
      <w:pgSz w:w="12240" w:h="15840" w:orient="portrait"/>
      <w:pgMar w:top="1440" w:right="2016" w:bottom="2016" w:left="2016" w:header="720" w:footer="1123" w:gutter="0"/>
      <w:cols w:space="720"/>
      <w:docGrid w:linePitch="272"/>
    </w:sectPr>
  </w:body>
</w:document>
</file>

<file path=word/comments.xml><?xml version="1.0" encoding="utf-8"?>
<w:comments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comment w:id="1" w:author="Ibrahim Dauda" w:date="2026-03-29T17:35:00Z" w:initials="Ibrahim D">
    <w:p w14:paraId="1">
      <w:pPr>
        <w:pStyle w:val="style0"/>
        <w:rPr/>
      </w:pPr>
      <w:r>
        <w:rPr/>
        <w:annotationRef/>
      </w:r>
      <w:r>
        <w:t>surename alone is appropriate in in-text citation in agreement with APA Format.</w:t>
      </w:r>
    </w:p>
  </w:comment>
  <w:comment w:id="2" w:author="Ibrahim Dauda" w:date="2026-03-29T17:59:00Z" w:initials="Ibrahim D">
    <w:p w14:paraId="2">
      <w:pPr>
        <w:pStyle w:val="style0"/>
        <w:rPr/>
      </w:pPr>
      <w:r>
        <w:rPr/>
        <w:annotationRef/>
      </w:r>
      <w:r>
        <w:t xml:space="preserve">in-text citation according to APA require if citation come before report of findings then it shouldn't be in bracket but only the year of the publication. in you are work. you may work sh to rephrase the report and put the citation the way it is ad you he end of the finding report like you have done in all the already citations </w:t>
      </w:r>
    </w:p>
  </w:comment>
</w:comments>
</file>

<file path=word/commentsExtended.xml><?xml version="1.0" encoding="utf-8"?>
<w15:commentsEx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w15="http://schemas.microsoft.com/office/word/2012/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ne="http://schemas.microsoft.com/office/word/2006/wordml" mc:Ignorable="w15 w14 wp14">
  <w15:commentEx w15:paraId="1"/>
  <w15:commentEx w15:paraId="2"/>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0020507"/>
    <w:charset w:val="02"/>
    <w:family w:val="roman"/>
    <w:pitch w:val="variable"/>
    <w:sig w:usb0="00000000" w:usb1="10000000" w:usb2="00000000" w:usb3="00000000" w:csb0="80000000" w:csb1="00000000"/>
  </w:font>
  <w:font w:name="Times New Roman">
    <w:altName w:val="Times New Roman"/>
    <w:panose1 w:val="02020603050000020304"/>
    <w:charset w:val="00"/>
    <w:family w:val="roman"/>
    <w:pitch w:val="variable"/>
    <w:sig w:usb0="E0002AFF" w:usb1="C0007843" w:usb2="00000009" w:usb3="00000000" w:csb0="000001FF" w:csb1="00000000"/>
  </w:font>
  <w:font w:name="Courier New">
    <w:altName w:val="Courier New"/>
    <w:panose1 w:val="02070309020000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Helvetica">
    <w:altName w:val="Helvetica"/>
    <w:panose1 w:val="020b0604020000020204"/>
    <w:charset w:val="00"/>
    <w:family w:val="swiss"/>
    <w:pitch w:val="variable"/>
    <w:sig w:usb0="E0002EFF" w:usb1="C000785B" w:usb2="00000009" w:usb3="00000000" w:csb0="000001FF" w:csb1="00000000"/>
  </w:font>
  <w:font w:name="Arial">
    <w:altName w:val="Arial"/>
    <w:panose1 w:val="020b0604020000020204"/>
    <w:charset w:val="00"/>
    <w:family w:val="swiss"/>
    <w:pitch w:val="variable"/>
    <w:sig w:usb0="E0002AFF" w:usb1="C0007843" w:usb2="00000009" w:usb3="00000000" w:csb0="000001FF" w:csb1="00000000"/>
  </w:font>
  <w:font w:name="Calibri">
    <w:altName w:val="Calibri"/>
    <w:panose1 w:val="020f0502020000030204"/>
    <w:charset w:val="00"/>
    <w:family w:val="swiss"/>
    <w:pitch w:val="variable"/>
    <w:sig w:usb0="E0002AFF" w:usb1="4000ACFF" w:usb2="00000001" w:usb3="00000000" w:csb0="000001FF" w:csb1="00000000"/>
  </w:font>
  <w:font w:name="Tahoma">
    <w:altName w:val="Tahoma"/>
    <w:panose1 w:val="020b0604030000040204"/>
    <w:charset w:val="00"/>
    <w:family w:val="swiss"/>
    <w:pitch w:val="variable"/>
    <w:sig w:usb0="E1002EFF" w:usb1="C000605B" w:usb2="00000029" w:usb3="00000000" w:csb0="000101FF" w:csb1="00000000"/>
  </w:font>
  <w:font w:name="SimSun">
    <w:altName w:val="宋体"/>
    <w:panose1 w:val="02010600030000010101"/>
    <w:charset w:val="86"/>
    <w:family w:val="auto"/>
    <w:pitch w:val="variable"/>
    <w:sig w:usb0="00000003" w:usb1="288F0000" w:usb2="00000016" w:usb3="00000000" w:csb0="00040001" w:csb1="00000000"/>
  </w:font>
  <w:font w:name="Cambria Math">
    <w:altName w:val="Cambria Math"/>
    <w:panose1 w:val="02040503050000030204"/>
    <w:charset w:val="00"/>
    <w:family w:val="roman"/>
    <w:pitch w:val="variable"/>
    <w:sig w:usb0="E00006FF" w:usb1="420024FF" w:usb2="02000000" w:usb3="00000000" w:csb0="0000019F" w:csb1="00000000"/>
  </w:font>
  <w:font w:name="Cambria">
    <w:altName w:val="Cambria"/>
    <w:panose1 w:val="02040503050000030204"/>
    <w:charset w:val="00"/>
    <w:family w:val="roman"/>
    <w:pitch w:val="variable"/>
    <w:sig w:usb0="E00006FF" w:usb1="420024FF" w:usb2="02000000" w:usb3="00000000" w:csb0="0000019F" w:csb1="00000000"/>
  </w:font>
</w:fonts>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r>
      <w:rPr>
        <w:noProof/>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4098" type="#_x0000_t136" fillcolor="silver" stroked="f" style="position:absolute;margin-left:0.0pt;margin-top:0.0pt;width:519.9pt;height:58.65pt;z-index:-2147483644;mso-position-horizontal:center;mso-position-vertical:center;mso-position-horizontal-relative:margin;mso-position-vertical-relative:margin;mso-width-relative:page;mso-height-relative:page;mso-wrap-distance-left:0.0pt;mso-wrap-distance-right:0.0pt;visibility:visible;rotation:-2949120fd;" o:allowincell="false">
          <v:stroke on="f"/>
          <o:lock text="true" v:ext="view"/>
          <v:fill opacity="50%"/>
          <v:textpath string="UNDER PEER REVIEW" fitshape="t" on="t" style="font-size:1.0pt;font-family:&quot;Helvetica&quot;;"/>
        </v:shape>
      </w:pict>
    </w: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r>
      <w:rPr>
        <w:noProof/>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4099" type="#_x0000_t136" fillcolor="silver" stroked="f" style="position:absolute;margin-left:0.0pt;margin-top:0.0pt;width:519.9pt;height:58.65pt;z-index:-2147483643;mso-position-horizontal:center;mso-position-vertical:center;mso-position-horizontal-relative:margin;mso-position-vertical-relative:margin;mso-width-relative:page;mso-height-relative:page;mso-wrap-distance-left:0.0pt;mso-wrap-distance-right:0.0pt;visibility:visible;rotation:-2949120fd;" o:allowincell="false">
          <v:stroke on="f"/>
          <o:lock text="true" v:ext="view"/>
          <v:fill opacity="50%"/>
          <v:textpath string="UNDER PEER REVIEW" fitshape="t" on="t" style="font-size:1.0pt;font-family:&quot;Helvetica&quot;;"/>
        </v:shape>
      </w:pict>
    </w:r>
  </w:p>
</w:hdr>
</file>

<file path=word/header5.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ind w:left="2160"/>
      <w:jc w:val="center"/>
      <w:rPr>
        <w:rFonts w:ascii="Times New Roman" w:eastAsia="Calibri" w:hAnsi="Times New Roman"/>
        <w:i/>
        <w:sz w:val="18"/>
        <w:szCs w:val="22"/>
      </w:rPr>
    </w:pPr>
    <w:r>
      <w:rPr>
        <w:noProof/>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4100" type="#_x0000_t136" fillcolor="silver" stroked="f" style="position:absolute;margin-left:0.0pt;margin-top:0.0pt;width:519.9pt;height:58.65pt;z-index:-2147483645;mso-position-horizontal:center;mso-position-vertical:center;mso-position-horizontal-relative:margin;mso-position-vertical-relative:margin;mso-width-relative:page;mso-height-relative:page;mso-wrap-distance-left:0.0pt;mso-wrap-distance-right:0.0pt;visibility:visible;rotation:-2949120fd;" o:allowincell="false">
          <v:stroke on="f"/>
          <o:lock text="true" v:ext="view"/>
          <v:fill opacity="50%"/>
          <v:textpath string="UNDER PEER REVIEW" fitshape="t" on="t" style="font-size:1.0pt;font-family:&quot;Helvetica&quot;;"/>
        </v:shape>
      </w:pict>
    </w:r>
  </w:p>
  <w:p>
    <w:pPr>
      <w:pStyle w:val="style0"/>
      <w:ind w:left="4320"/>
      <w:rPr>
        <w:rFonts w:ascii="Times New Roman" w:eastAsia="Calibri" w:hAnsi="Times New Roman"/>
        <w:i/>
        <w:sz w:val="18"/>
        <w:szCs w:val="22"/>
      </w:rPr>
    </w:pPr>
    <w:r>
      <w:rPr>
        <w:rFonts w:ascii="Times New Roman" w:eastAsia="Calibri" w:hAnsi="Times New Roman"/>
        <w:i/>
        <w:sz w:val="18"/>
        <w:szCs w:val="22"/>
      </w:rPr>
      <w:t>.</w:t>
    </w:r>
    <w:r>
      <w:rPr>
        <w:rFonts w:ascii="Times New Roman" w:eastAsia="Calibri" w:hAnsi="Times New Roman"/>
        <w:i/>
        <w:sz w:val="18"/>
        <w:szCs w:val="22"/>
      </w:rPr>
      <w:t xml:space="preserve">     </w:t>
    </w:r>
  </w:p>
  <w:p>
    <w:pPr>
      <w:pStyle w:val="style0"/>
      <w:jc w:val="center"/>
      <w:rPr>
        <w:rFonts w:ascii="Times New Roman" w:eastAsia="Calibri" w:hAnsi="Times New Roman"/>
        <w:i/>
        <w:sz w:val="18"/>
        <w:szCs w:val="22"/>
      </w:rPr>
    </w:pPr>
    <w:r>
      <w:rPr>
        <w:rFonts w:ascii="Times New Roman" w:eastAsia="Calibri" w:hAnsi="Times New Roman"/>
        <w:i/>
        <w:sz w:val="18"/>
        <w:szCs w:val="22"/>
      </w:rPr>
      <w:t>.</w:t>
    </w:r>
  </w:p>
  <w:p>
    <w:pPr>
      <w:pStyle w:val="style0"/>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w:t>
    </w:r>
    <w:r>
      <w:rPr>
        <w:rFonts w:ascii="Times New Roman" w:eastAsia="Calibri" w:hAnsi="Times New Roman"/>
        <w:b/>
        <w:i/>
        <w:sz w:val="32"/>
        <w:szCs w:val="22"/>
      </w:rPr>
      <w:t>.</w:t>
    </w:r>
    <w:r>
      <w:rPr>
        <w:rFonts w:ascii="Times New Roman" w:eastAsia="Calibri" w:hAnsi="Times New Roman"/>
        <w:b/>
        <w:i/>
        <w:sz w:val="32"/>
        <w:szCs w:val="22"/>
      </w:rPr>
      <w:t xml:space="preserve"> </w:t>
    </w:r>
  </w:p>
  <w:p>
    <w:pPr>
      <w:pStyle w:val="style0"/>
      <w:jc w:val="center"/>
      <w:rPr>
        <w:rFonts w:ascii="Times New Roman" w:eastAsia="Calibri" w:hAnsi="Times New Roman"/>
        <w:i/>
        <w:sz w:val="18"/>
        <w:szCs w:val="22"/>
      </w:rPr>
    </w:pPr>
    <w:r>
      <w:rPr>
        <w:rFonts w:ascii="Times New Roman" w:eastAsia="Calibri" w:hAnsi="Times New Roman"/>
        <w:i/>
        <w:sz w:val="18"/>
        <w:szCs w:val="22"/>
      </w:rPr>
      <w:t xml:space="preserve">                     </w:t>
    </w:r>
  </w:p>
  <w:p>
    <w:pPr>
      <w:pStyle w:val="style0"/>
      <w:tabs>
        <w:tab w:val="left" w:leader="none" w:pos="2145"/>
      </w:tabs>
      <w:rPr>
        <w:rFonts w:ascii="Times New Roman" w:eastAsia="Calibri" w:hAnsi="Times New Roman"/>
        <w:i/>
        <w:sz w:val="18"/>
        <w:szCs w:val="22"/>
      </w:rPr>
    </w:pPr>
    <w:r>
      <w:rPr>
        <w:rFonts w:ascii="Times New Roman" w:eastAsia="Calibri" w:hAnsi="Times New Roman"/>
        <w:i/>
        <w:sz w:val="18"/>
        <w:szCs w:val="22"/>
      </w:rPr>
      <w:tab/>
    </w:r>
    <w:r>
      <w:rPr>
        <w:rFonts w:ascii="Times New Roman" w:eastAsia="Calibri" w:hAnsi="Times New Roman"/>
        <w:i/>
        <w:sz w:val="18"/>
        <w:szCs w:val="22"/>
      </w:rPr>
      <w:t>.</w:t>
    </w:r>
  </w:p>
  <w:p>
    <w:pPr>
      <w:pStyle w:val="style31"/>
      <w:rPr/>
    </w:pPr>
    <w: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FFFFFFFF"/>
    <w:lvl w:ilvl="0">
      <w:start w:val="1"/>
      <w:numFmt w:val="decimal"/>
      <w:lvlText w:val="*"/>
      <w:lvlJc w:val="left"/>
      <w:pPr/>
    </w:lvl>
  </w:abstractNum>
  <w:abstractNum w:abstractNumId="1">
    <w:nsid w:val="00000001"/>
    <w:multiLevelType w:val="multilevel"/>
    <w:tmpl w:val="9DEA9AD8"/>
    <w:lvl w:ilvl="0">
      <w:start w:val="1"/>
      <w:numFmt w:val="bullet"/>
      <w:lvlText w:val=""/>
      <w:lvlJc w:val="left"/>
      <w:pPr>
        <w:ind w:left="360" w:hanging="360"/>
      </w:pPr>
      <w:rPr>
        <w:rFonts w:ascii="Symbol" w:hAnsi="Symbol"/>
      </w:rPr>
    </w:lvl>
    <w:lvl w:ilvl="1">
      <w:start w:val="1"/>
      <w:numFmt w:val="bullet"/>
      <w:lvlText w:val="o"/>
      <w:lvlJc w:val="left"/>
      <w:pPr>
        <w:ind w:left="1080" w:hanging="360"/>
      </w:pPr>
      <w:rPr>
        <w:rFonts w:ascii="Courier New" w:cs="Courier New" w:hAnsi="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cs="Courier New" w:hAnsi="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cs="Courier New" w:hAnsi="Courier New"/>
      </w:rPr>
    </w:lvl>
    <w:lvl w:ilvl="8">
      <w:start w:val="1"/>
      <w:numFmt w:val="bullet"/>
      <w:lvlText w:val=""/>
      <w:lvlJc w:val="left"/>
      <w:pPr>
        <w:ind w:left="6120" w:hanging="360"/>
      </w:pPr>
      <w:rPr>
        <w:rFonts w:ascii="Wingdings" w:hAnsi="Wingdings"/>
      </w:rPr>
    </w:lvl>
  </w:abstractNum>
  <w:abstractNum w:abstractNumId="2">
    <w:nsid w:val="00000002"/>
    <w:multiLevelType w:val="singleLevel"/>
    <w:tmpl w:val="ED7AFD54"/>
    <w:lvl w:ilvl="0">
      <w:start w:val="1"/>
      <w:numFmt w:val="decimal"/>
      <w:lvlText w:val="%1. "/>
      <w:lvlJc w:val="left"/>
      <w:pPr>
        <w:ind w:left="360" w:hanging="360"/>
      </w:pPr>
      <w:rPr>
        <w:rFonts w:ascii="Helvetica" w:hAnsi="Helvetica" w:hint="default"/>
        <w:b w:val="false"/>
        <w:i w:val="false"/>
        <w:sz w:val="20"/>
        <w:u w:val="none"/>
      </w:rPr>
    </w:lvl>
  </w:abstractNum>
  <w:abstractNum w:abstractNumId="3">
    <w:nsid w:val="00000003"/>
    <w:multiLevelType w:val="singleLevel"/>
    <w:tmpl w:val="ED7AFD54"/>
    <w:lvl w:ilvl="0">
      <w:start w:val="1"/>
      <w:numFmt w:val="decimal"/>
      <w:lvlText w:val="%1. "/>
      <w:lvlJc w:val="left"/>
      <w:pPr>
        <w:ind w:left="360" w:hanging="360"/>
      </w:pPr>
      <w:rPr>
        <w:rFonts w:ascii="Helvetica" w:hAnsi="Helvetica" w:hint="default"/>
        <w:b w:val="false"/>
        <w:i w:val="false"/>
        <w:sz w:val="20"/>
        <w:u w:val="none"/>
      </w:rPr>
    </w:lvl>
  </w:abstractNum>
  <w:abstractNum w:abstractNumId="4">
    <w:nsid w:val="00000004"/>
    <w:multiLevelType w:val="multilevel"/>
    <w:tmpl w:val="34946CA4"/>
    <w:styleLink w:val="style4142"/>
    <w:lvl w:ilvl="0">
      <w:start w:val="1"/>
      <w:numFmt w:val="bullet"/>
      <w:lvlText w:val=""/>
      <w:lvlJc w:val="left"/>
      <w:pPr>
        <w:ind w:left="360" w:hanging="360"/>
      </w:pPr>
      <w:rPr>
        <w:rFonts w:ascii="Symbol" w:hAnsi="Symbol"/>
      </w:r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5">
    <w:nsid w:val="00000005"/>
    <w:multiLevelType w:val="singleLevel"/>
    <w:tmpl w:val="ED7AFD54"/>
    <w:lvl w:ilvl="0">
      <w:start w:val="1"/>
      <w:numFmt w:val="decimal"/>
      <w:lvlText w:val="%1. "/>
      <w:lvlJc w:val="left"/>
      <w:pPr>
        <w:ind w:left="360" w:hanging="360"/>
      </w:pPr>
      <w:rPr>
        <w:rFonts w:ascii="Helvetica" w:hAnsi="Helvetica" w:hint="default"/>
        <w:b w:val="false"/>
        <w:i w:val="false"/>
        <w:sz w:val="20"/>
        <w:u w:val="none"/>
      </w:rPr>
    </w:lvl>
  </w:abstractNum>
  <w:abstractNum w:abstractNumId="6">
    <w:nsid w:val="00000006"/>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0000007"/>
    <w:multiLevelType w:val="singleLevel"/>
    <w:tmpl w:val="ED7AFD54"/>
    <w:lvl w:ilvl="0">
      <w:start w:val="1"/>
      <w:numFmt w:val="decimal"/>
      <w:lvlText w:val="%1. "/>
      <w:lvlJc w:val="left"/>
      <w:pPr>
        <w:ind w:left="360" w:hanging="360"/>
      </w:pPr>
      <w:rPr>
        <w:rFonts w:ascii="Helvetica" w:hAnsi="Helvetica" w:hint="default"/>
        <w:b w:val="false"/>
        <w:i w:val="false"/>
        <w:sz w:val="20"/>
        <w:u w:val="none"/>
      </w:rPr>
    </w:lvl>
  </w:abstractNum>
  <w:abstractNum w:abstractNumId="8">
    <w:nsid w:val="00000008"/>
    <w:multiLevelType w:val="hybridMultilevel"/>
    <w:tmpl w:val="A0E84AC6"/>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9">
    <w:nsid w:val="00000009"/>
    <w:multiLevelType w:val="singleLevel"/>
    <w:tmpl w:val="ED7AFD54"/>
    <w:lvl w:ilvl="0">
      <w:start w:val="1"/>
      <w:numFmt w:val="decimal"/>
      <w:lvlText w:val="%1. "/>
      <w:lvlJc w:val="left"/>
      <w:pPr>
        <w:ind w:left="360" w:hanging="360"/>
      </w:pPr>
      <w:rPr>
        <w:rFonts w:ascii="Helvetica" w:hAnsi="Helvetica" w:hint="default"/>
        <w:b w:val="false"/>
        <w:i w:val="false"/>
        <w:sz w:val="20"/>
        <w:u w:val="none"/>
      </w:rPr>
    </w:lvl>
  </w:abstractNum>
  <w:abstractNum w:abstractNumId="10">
    <w:nsid w:val="0000000A"/>
    <w:multiLevelType w:val="singleLevel"/>
    <w:tmpl w:val="ED7AFD54"/>
    <w:lvl w:ilvl="0">
      <w:start w:val="1"/>
      <w:numFmt w:val="decimal"/>
      <w:lvlText w:val="%1. "/>
      <w:lvlJc w:val="left"/>
      <w:pPr>
        <w:ind w:left="360" w:hanging="360"/>
      </w:pPr>
      <w:rPr>
        <w:rFonts w:ascii="Helvetica" w:hAnsi="Helvetica" w:hint="default"/>
        <w:b w:val="false"/>
        <w:i w:val="false"/>
        <w:sz w:val="20"/>
        <w:u w:val="none"/>
      </w:rPr>
    </w:lvl>
  </w:abstractNum>
  <w:abstractNum w:abstractNumId="11">
    <w:nsid w:val="0000000B"/>
    <w:multiLevelType w:val="singleLevel"/>
    <w:tmpl w:val="ED7AFD54"/>
    <w:lvl w:ilvl="0">
      <w:start w:val="1"/>
      <w:numFmt w:val="decimal"/>
      <w:lvlText w:val="%1. "/>
      <w:lvlJc w:val="left"/>
      <w:pPr>
        <w:ind w:left="360" w:hanging="360"/>
      </w:pPr>
      <w:rPr>
        <w:rFonts w:ascii="Helvetica" w:hAnsi="Helvetica" w:hint="default"/>
        <w:b w:val="false"/>
        <w:i w:val="false"/>
        <w:sz w:val="20"/>
        <w:u w:val="none"/>
      </w:rPr>
    </w:lvl>
  </w:abstractNum>
  <w:abstractNum w:abstractNumId="12">
    <w:nsid w:val="0000000C"/>
    <w:multiLevelType w:val="singleLevel"/>
    <w:tmpl w:val="ED7AFD54"/>
    <w:lvl w:ilvl="0">
      <w:start w:val="1"/>
      <w:numFmt w:val="decimal"/>
      <w:lvlText w:val="%1. "/>
      <w:lvlJc w:val="left"/>
      <w:pPr>
        <w:ind w:left="360" w:hanging="360"/>
      </w:pPr>
      <w:rPr>
        <w:rFonts w:ascii="Helvetica" w:hAnsi="Helvetica" w:hint="default"/>
        <w:b w:val="false"/>
        <w:i w:val="false"/>
        <w:sz w:val="20"/>
        <w:u w:val="none"/>
      </w:rPr>
    </w:lvl>
  </w:abstractNum>
  <w:abstractNum w:abstractNumId="13">
    <w:nsid w:val="0000000D"/>
    <w:multiLevelType w:val="multilevel"/>
    <w:tmpl w:val="2548A9E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4">
    <w:nsid w:val="0000000E"/>
    <w:multiLevelType w:val="singleLevel"/>
    <w:tmpl w:val="ED7AFD54"/>
    <w:lvl w:ilvl="0">
      <w:start w:val="1"/>
      <w:numFmt w:val="decimal"/>
      <w:lvlText w:val="%1. "/>
      <w:lvlJc w:val="left"/>
      <w:pPr>
        <w:ind w:left="360" w:hanging="360"/>
      </w:pPr>
      <w:rPr>
        <w:rFonts w:ascii="Helvetica" w:hAnsi="Helvetica" w:hint="default"/>
        <w:b w:val="false"/>
        <w:i w:val="false"/>
        <w:sz w:val="20"/>
        <w:u w:val="none"/>
      </w:rPr>
    </w:lvl>
  </w:abstractNum>
  <w:abstractNum w:abstractNumId="15">
    <w:nsid w:val="0000000F"/>
    <w:multiLevelType w:val="singleLevel"/>
    <w:tmpl w:val="ED7AFD54"/>
    <w:lvl w:ilvl="0">
      <w:start w:val="1"/>
      <w:numFmt w:val="decimal"/>
      <w:lvlText w:val="%1. "/>
      <w:lvlJc w:val="left"/>
      <w:pPr>
        <w:ind w:left="360" w:hanging="360"/>
      </w:pPr>
      <w:rPr>
        <w:rFonts w:ascii="Helvetica" w:hAnsi="Helvetica" w:hint="default"/>
        <w:b w:val="false"/>
        <w:i w:val="false"/>
        <w:sz w:val="20"/>
        <w:u w:val="none"/>
      </w:rPr>
    </w:lvl>
  </w:abstractNum>
  <w:abstractNum w:abstractNumId="16">
    <w:nsid w:val="00000010"/>
    <w:multiLevelType w:val="singleLevel"/>
    <w:tmpl w:val="ED7AFD54"/>
    <w:lvl w:ilvl="0">
      <w:start w:val="1"/>
      <w:numFmt w:val="decimal"/>
      <w:lvlText w:val="%1. "/>
      <w:lvlJc w:val="left"/>
      <w:pPr>
        <w:ind w:left="360" w:hanging="360"/>
      </w:pPr>
      <w:rPr>
        <w:rFonts w:ascii="Helvetica" w:hAnsi="Helvetica" w:hint="default"/>
        <w:b w:val="false"/>
        <w:i w:val="false"/>
        <w:sz w:val="20"/>
        <w:u w:val="none"/>
      </w:rPr>
    </w:lvl>
  </w:abstractNum>
  <w:abstractNum w:abstractNumId="17">
    <w:nsid w:val="00000011"/>
    <w:multiLevelType w:val="singleLevel"/>
    <w:tmpl w:val="ED7AFD54"/>
    <w:lvl w:ilvl="0">
      <w:start w:val="1"/>
      <w:numFmt w:val="decimal"/>
      <w:lvlText w:val="%1. "/>
      <w:lvlJc w:val="left"/>
      <w:pPr>
        <w:ind w:left="360" w:hanging="360"/>
      </w:pPr>
      <w:rPr>
        <w:rFonts w:ascii="Helvetica" w:hAnsi="Helvetica" w:hint="default"/>
        <w:b w:val="false"/>
        <w:i w:val="false"/>
        <w:sz w:val="20"/>
        <w:u w:val="none"/>
      </w:rPr>
    </w:lvl>
  </w:abstractNum>
  <w:abstractNum w:abstractNumId="18">
    <w:nsid w:val="00000012"/>
    <w:multiLevelType w:val="hybridMultilevel"/>
    <w:tmpl w:val="E668C548"/>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9">
    <w:nsid w:val="00000013"/>
    <w:multiLevelType w:val="multilevel"/>
    <w:tmpl w:val="3FE49070"/>
    <w:lvl w:ilvl="0">
      <w:start w:val="1"/>
      <w:numFmt w:val="bullet"/>
      <w:lvlText w:val=""/>
      <w:lvlJc w:val="left"/>
      <w:pPr>
        <w:tabs>
          <w:tab w:val="left" w:leader="none" w:pos="360"/>
        </w:tabs>
        <w:ind w:left="360" w:hanging="360"/>
      </w:pPr>
      <w:rPr>
        <w:rFonts w:ascii="Symbol" w:hAnsi="Symbol" w:hint="default"/>
        <w:sz w:val="20"/>
      </w:rPr>
    </w:lvl>
    <w:lvl w:ilvl="1" w:tentative="1">
      <w:start w:val="1"/>
      <w:numFmt w:val="bullet"/>
      <w:lvlText w:val="o"/>
      <w:lvlJc w:val="left"/>
      <w:pPr>
        <w:tabs>
          <w:tab w:val="left" w:leader="none" w:pos="1080"/>
        </w:tabs>
        <w:ind w:left="1080" w:hanging="360"/>
      </w:pPr>
      <w:rPr>
        <w:rFonts w:ascii="Courier New" w:hAnsi="Courier New" w:hint="default"/>
        <w:sz w:val="20"/>
      </w:rPr>
    </w:lvl>
    <w:lvl w:ilvl="2" w:tentative="1">
      <w:start w:val="1"/>
      <w:numFmt w:val="bullet"/>
      <w:lvlText w:val=""/>
      <w:lvlJc w:val="left"/>
      <w:pPr>
        <w:tabs>
          <w:tab w:val="left" w:leader="none" w:pos="1800"/>
        </w:tabs>
        <w:ind w:left="1800" w:hanging="360"/>
      </w:pPr>
      <w:rPr>
        <w:rFonts w:ascii="Wingdings" w:hAnsi="Wingdings" w:hint="default"/>
        <w:sz w:val="20"/>
      </w:rPr>
    </w:lvl>
    <w:lvl w:ilvl="3" w:tentative="1">
      <w:start w:val="1"/>
      <w:numFmt w:val="bullet"/>
      <w:lvlText w:val=""/>
      <w:lvlJc w:val="left"/>
      <w:pPr>
        <w:tabs>
          <w:tab w:val="left" w:leader="none" w:pos="2520"/>
        </w:tabs>
        <w:ind w:left="2520" w:hanging="360"/>
      </w:pPr>
      <w:rPr>
        <w:rFonts w:ascii="Wingdings" w:hAnsi="Wingdings" w:hint="default"/>
        <w:sz w:val="20"/>
      </w:rPr>
    </w:lvl>
    <w:lvl w:ilvl="4" w:tentative="1">
      <w:start w:val="1"/>
      <w:numFmt w:val="bullet"/>
      <w:lvlText w:val=""/>
      <w:lvlJc w:val="left"/>
      <w:pPr>
        <w:tabs>
          <w:tab w:val="left" w:leader="none" w:pos="3240"/>
        </w:tabs>
        <w:ind w:left="3240" w:hanging="360"/>
      </w:pPr>
      <w:rPr>
        <w:rFonts w:ascii="Wingdings" w:hAnsi="Wingdings" w:hint="default"/>
        <w:sz w:val="20"/>
      </w:rPr>
    </w:lvl>
    <w:lvl w:ilvl="5" w:tentative="1">
      <w:start w:val="1"/>
      <w:numFmt w:val="bullet"/>
      <w:lvlText w:val=""/>
      <w:lvlJc w:val="left"/>
      <w:pPr>
        <w:tabs>
          <w:tab w:val="left" w:leader="none" w:pos="3960"/>
        </w:tabs>
        <w:ind w:left="3960" w:hanging="360"/>
      </w:pPr>
      <w:rPr>
        <w:rFonts w:ascii="Wingdings" w:hAnsi="Wingdings" w:hint="default"/>
        <w:sz w:val="20"/>
      </w:rPr>
    </w:lvl>
    <w:lvl w:ilvl="6" w:tentative="1">
      <w:start w:val="1"/>
      <w:numFmt w:val="bullet"/>
      <w:lvlText w:val=""/>
      <w:lvlJc w:val="left"/>
      <w:pPr>
        <w:tabs>
          <w:tab w:val="left" w:leader="none" w:pos="4680"/>
        </w:tabs>
        <w:ind w:left="4680" w:hanging="360"/>
      </w:pPr>
      <w:rPr>
        <w:rFonts w:ascii="Wingdings" w:hAnsi="Wingdings" w:hint="default"/>
        <w:sz w:val="20"/>
      </w:rPr>
    </w:lvl>
    <w:lvl w:ilvl="7" w:tentative="1">
      <w:start w:val="1"/>
      <w:numFmt w:val="bullet"/>
      <w:lvlText w:val=""/>
      <w:lvlJc w:val="left"/>
      <w:pPr>
        <w:tabs>
          <w:tab w:val="left" w:leader="none" w:pos="5400"/>
        </w:tabs>
        <w:ind w:left="5400" w:hanging="360"/>
      </w:pPr>
      <w:rPr>
        <w:rFonts w:ascii="Wingdings" w:hAnsi="Wingdings" w:hint="default"/>
        <w:sz w:val="20"/>
      </w:rPr>
    </w:lvl>
    <w:lvl w:ilvl="8" w:tentative="1">
      <w:start w:val="1"/>
      <w:numFmt w:val="bullet"/>
      <w:lvlText w:val=""/>
      <w:lvlJc w:val="left"/>
      <w:pPr>
        <w:tabs>
          <w:tab w:val="left" w:leader="none" w:pos="6120"/>
        </w:tabs>
        <w:ind w:left="6120" w:hanging="360"/>
      </w:pPr>
      <w:rPr>
        <w:rFonts w:ascii="Wingdings" w:hAnsi="Wingdings" w:hint="default"/>
        <w:sz w:val="20"/>
      </w:rPr>
    </w:lvl>
  </w:abstractNum>
  <w:abstractNum w:abstractNumId="20">
    <w:nsid w:val="00000014"/>
    <w:multiLevelType w:val="multilevel"/>
    <w:tmpl w:val="94A40584"/>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nsid w:val="00000015"/>
    <w:multiLevelType w:val="singleLevel"/>
    <w:tmpl w:val="A1B04AE0"/>
    <w:lvl w:ilvl="0">
      <w:start w:val="1"/>
      <w:numFmt w:val="decimal"/>
      <w:lvlText w:val="%1."/>
      <w:lvlJc w:val="left"/>
      <w:pPr>
        <w:ind w:left="360" w:hanging="360"/>
      </w:pPr>
    </w:lvl>
  </w:abstractNum>
  <w:abstractNum w:abstractNumId="22">
    <w:nsid w:val="00000016"/>
    <w:multiLevelType w:val="hybridMultilevel"/>
    <w:tmpl w:val="D05A99DE"/>
    <w:lvl w:ilvl="0" w:tplc="7A92AA74">
      <w:start w:val="1"/>
      <w:numFmt w:val="bullet"/>
      <w:lvlText w:val="·"/>
      <w:lvlJc w:val="left"/>
      <w:pPr>
        <w:ind w:left="900" w:hanging="540"/>
      </w:pPr>
      <w:rPr>
        <w:rFonts w:ascii="Arial" w:cs="Arial" w:eastAsia="Times New Roman" w:hAnsi="Aria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00000017"/>
    <w:multiLevelType w:val="multilevel"/>
    <w:tmpl w:val="83CC91BE"/>
    <w:lvl w:ilvl="0">
      <w:start w:val="1"/>
      <w:numFmt w:val="bullet"/>
      <w:lvlText w:val=""/>
      <w:lvlJc w:val="left"/>
      <w:pPr>
        <w:tabs>
          <w:tab w:val="left" w:leader="none" w:pos="360"/>
        </w:tabs>
        <w:ind w:left="360" w:hanging="360"/>
      </w:pPr>
      <w:rPr>
        <w:rFonts w:ascii="Symbol" w:hAnsi="Symbol" w:hint="default"/>
        <w:sz w:val="20"/>
      </w:rPr>
    </w:lvl>
    <w:lvl w:ilvl="1" w:tentative="1">
      <w:start w:val="1"/>
      <w:numFmt w:val="bullet"/>
      <w:lvlText w:val="o"/>
      <w:lvlJc w:val="left"/>
      <w:pPr>
        <w:tabs>
          <w:tab w:val="left" w:leader="none" w:pos="1080"/>
        </w:tabs>
        <w:ind w:left="1080" w:hanging="360"/>
      </w:pPr>
      <w:rPr>
        <w:rFonts w:ascii="Courier New" w:hAnsi="Courier New" w:hint="default"/>
        <w:sz w:val="20"/>
      </w:rPr>
    </w:lvl>
    <w:lvl w:ilvl="2" w:tentative="1">
      <w:start w:val="1"/>
      <w:numFmt w:val="bullet"/>
      <w:lvlText w:val=""/>
      <w:lvlJc w:val="left"/>
      <w:pPr>
        <w:tabs>
          <w:tab w:val="left" w:leader="none" w:pos="1800"/>
        </w:tabs>
        <w:ind w:left="1800" w:hanging="360"/>
      </w:pPr>
      <w:rPr>
        <w:rFonts w:ascii="Wingdings" w:hAnsi="Wingdings" w:hint="default"/>
        <w:sz w:val="20"/>
      </w:rPr>
    </w:lvl>
    <w:lvl w:ilvl="3" w:tentative="1">
      <w:start w:val="1"/>
      <w:numFmt w:val="bullet"/>
      <w:lvlText w:val=""/>
      <w:lvlJc w:val="left"/>
      <w:pPr>
        <w:tabs>
          <w:tab w:val="left" w:leader="none" w:pos="2520"/>
        </w:tabs>
        <w:ind w:left="2520" w:hanging="360"/>
      </w:pPr>
      <w:rPr>
        <w:rFonts w:ascii="Wingdings" w:hAnsi="Wingdings" w:hint="default"/>
        <w:sz w:val="20"/>
      </w:rPr>
    </w:lvl>
    <w:lvl w:ilvl="4" w:tentative="1">
      <w:start w:val="1"/>
      <w:numFmt w:val="bullet"/>
      <w:lvlText w:val=""/>
      <w:lvlJc w:val="left"/>
      <w:pPr>
        <w:tabs>
          <w:tab w:val="left" w:leader="none" w:pos="3240"/>
        </w:tabs>
        <w:ind w:left="3240" w:hanging="360"/>
      </w:pPr>
      <w:rPr>
        <w:rFonts w:ascii="Wingdings" w:hAnsi="Wingdings" w:hint="default"/>
        <w:sz w:val="20"/>
      </w:rPr>
    </w:lvl>
    <w:lvl w:ilvl="5" w:tentative="1">
      <w:start w:val="1"/>
      <w:numFmt w:val="bullet"/>
      <w:lvlText w:val=""/>
      <w:lvlJc w:val="left"/>
      <w:pPr>
        <w:tabs>
          <w:tab w:val="left" w:leader="none" w:pos="3960"/>
        </w:tabs>
        <w:ind w:left="3960" w:hanging="360"/>
      </w:pPr>
      <w:rPr>
        <w:rFonts w:ascii="Wingdings" w:hAnsi="Wingdings" w:hint="default"/>
        <w:sz w:val="20"/>
      </w:rPr>
    </w:lvl>
    <w:lvl w:ilvl="6" w:tentative="1">
      <w:start w:val="1"/>
      <w:numFmt w:val="bullet"/>
      <w:lvlText w:val=""/>
      <w:lvlJc w:val="left"/>
      <w:pPr>
        <w:tabs>
          <w:tab w:val="left" w:leader="none" w:pos="4680"/>
        </w:tabs>
        <w:ind w:left="4680" w:hanging="360"/>
      </w:pPr>
      <w:rPr>
        <w:rFonts w:ascii="Wingdings" w:hAnsi="Wingdings" w:hint="default"/>
        <w:sz w:val="20"/>
      </w:rPr>
    </w:lvl>
    <w:lvl w:ilvl="7" w:tentative="1">
      <w:start w:val="1"/>
      <w:numFmt w:val="bullet"/>
      <w:lvlText w:val=""/>
      <w:lvlJc w:val="left"/>
      <w:pPr>
        <w:tabs>
          <w:tab w:val="left" w:leader="none" w:pos="5400"/>
        </w:tabs>
        <w:ind w:left="5400" w:hanging="360"/>
      </w:pPr>
      <w:rPr>
        <w:rFonts w:ascii="Wingdings" w:hAnsi="Wingdings" w:hint="default"/>
        <w:sz w:val="20"/>
      </w:rPr>
    </w:lvl>
    <w:lvl w:ilvl="8" w:tentative="1">
      <w:start w:val="1"/>
      <w:numFmt w:val="bullet"/>
      <w:lvlText w:val=""/>
      <w:lvlJc w:val="left"/>
      <w:pPr>
        <w:tabs>
          <w:tab w:val="left" w:leader="none" w:pos="6120"/>
        </w:tabs>
        <w:ind w:left="6120" w:hanging="360"/>
      </w:pPr>
      <w:rPr>
        <w:rFonts w:ascii="Wingdings" w:hAnsi="Wingdings" w:hint="default"/>
        <w:sz w:val="20"/>
      </w:rPr>
    </w:lvl>
  </w:abstractNum>
  <w:abstractNum w:abstractNumId="24">
    <w:nsid w:val="00000018"/>
    <w:multiLevelType w:val="singleLevel"/>
    <w:tmpl w:val="ED7AFD54"/>
    <w:lvl w:ilvl="0">
      <w:start w:val="1"/>
      <w:numFmt w:val="decimal"/>
      <w:lvlText w:val="%1. "/>
      <w:lvlJc w:val="left"/>
      <w:pPr>
        <w:ind w:left="360" w:hanging="360"/>
      </w:pPr>
      <w:rPr>
        <w:rFonts w:ascii="Helvetica" w:hAnsi="Helvetica" w:hint="default"/>
        <w:b w:val="false"/>
        <w:i w:val="false"/>
        <w:sz w:val="20"/>
        <w:u w:val="none"/>
      </w:rPr>
    </w:lvl>
  </w:abstractNum>
  <w:abstractNum w:abstractNumId="25">
    <w:nsid w:val="00000019"/>
    <w:multiLevelType w:val="singleLevel"/>
    <w:tmpl w:val="ED7AFD54"/>
    <w:lvl w:ilvl="0">
      <w:start w:val="1"/>
      <w:numFmt w:val="decimal"/>
      <w:lvlText w:val="%1. "/>
      <w:lvlJc w:val="left"/>
      <w:pPr>
        <w:ind w:left="360" w:hanging="360"/>
      </w:pPr>
      <w:rPr>
        <w:rFonts w:ascii="Helvetica" w:hAnsi="Helvetica" w:hint="default"/>
        <w:b w:val="false"/>
        <w:i w:val="false"/>
        <w:sz w:val="20"/>
        <w:u w:val="none"/>
      </w:rPr>
    </w:lvl>
  </w:abstractNum>
  <w:abstractNum w:abstractNumId="26">
    <w:nsid w:val="0000001A"/>
    <w:multiLevelType w:val="singleLevel"/>
    <w:tmpl w:val="E368B7EE"/>
    <w:lvl w:ilvl="0">
      <w:start w:val="1"/>
      <w:numFmt w:val="decimal"/>
      <w:pStyle w:val="style4109"/>
      <w:lvlText w:val="%1."/>
      <w:lvlJc w:val="left"/>
      <w:pPr>
        <w:tabs>
          <w:tab w:val="left" w:leader="none" w:pos="360"/>
        </w:tabs>
        <w:ind w:left="360" w:hanging="360"/>
      </w:pPr>
    </w:lvl>
  </w:abstractNum>
  <w:abstractNum w:abstractNumId="27">
    <w:nsid w:val="0000001B"/>
    <w:multiLevelType w:val="hybridMultilevel"/>
    <w:tmpl w:val="256E6680"/>
    <w:lvl w:ilvl="0" w:tplc="04140001">
      <w:start w:val="1"/>
      <w:numFmt w:val="bullet"/>
      <w:lvlText w:val=""/>
      <w:lvlJc w:val="left"/>
      <w:pPr>
        <w:tabs>
          <w:tab w:val="left" w:leader="none" w:pos="720"/>
        </w:tabs>
        <w:ind w:left="720" w:hanging="360"/>
      </w:pPr>
      <w:rPr>
        <w:rFonts w:ascii="Symbol" w:hAnsi="Symbol" w:hint="default"/>
      </w:rPr>
    </w:lvl>
    <w:lvl w:ilvl="1" w:tplc="04140003" w:tentative="1">
      <w:start w:val="1"/>
      <w:numFmt w:val="bullet"/>
      <w:lvlText w:val="o"/>
      <w:lvlJc w:val="left"/>
      <w:pPr>
        <w:tabs>
          <w:tab w:val="left" w:leader="none" w:pos="1440"/>
        </w:tabs>
        <w:ind w:left="1440" w:hanging="360"/>
      </w:pPr>
      <w:rPr>
        <w:rFonts w:ascii="Courier New" w:cs="Courier New" w:hAnsi="Courier New" w:hint="default"/>
      </w:rPr>
    </w:lvl>
    <w:lvl w:ilvl="2" w:tplc="04140005" w:tentative="1">
      <w:start w:val="1"/>
      <w:numFmt w:val="bullet"/>
      <w:lvlText w:val=""/>
      <w:lvlJc w:val="left"/>
      <w:pPr>
        <w:tabs>
          <w:tab w:val="left" w:leader="none" w:pos="2160"/>
        </w:tabs>
        <w:ind w:left="2160" w:hanging="360"/>
      </w:pPr>
      <w:rPr>
        <w:rFonts w:ascii="Wingdings" w:hAnsi="Wingdings" w:hint="default"/>
      </w:rPr>
    </w:lvl>
    <w:lvl w:ilvl="3" w:tplc="04140001" w:tentative="1">
      <w:start w:val="1"/>
      <w:numFmt w:val="bullet"/>
      <w:lvlText w:val=""/>
      <w:lvlJc w:val="left"/>
      <w:pPr>
        <w:tabs>
          <w:tab w:val="left" w:leader="none" w:pos="2880"/>
        </w:tabs>
        <w:ind w:left="2880" w:hanging="360"/>
      </w:pPr>
      <w:rPr>
        <w:rFonts w:ascii="Symbol" w:hAnsi="Symbol" w:hint="default"/>
      </w:rPr>
    </w:lvl>
    <w:lvl w:ilvl="4" w:tplc="04140003" w:tentative="1">
      <w:start w:val="1"/>
      <w:numFmt w:val="bullet"/>
      <w:lvlText w:val="o"/>
      <w:lvlJc w:val="left"/>
      <w:pPr>
        <w:tabs>
          <w:tab w:val="left" w:leader="none" w:pos="3600"/>
        </w:tabs>
        <w:ind w:left="3600" w:hanging="360"/>
      </w:pPr>
      <w:rPr>
        <w:rFonts w:ascii="Courier New" w:cs="Courier New" w:hAnsi="Courier New" w:hint="default"/>
      </w:rPr>
    </w:lvl>
    <w:lvl w:ilvl="5" w:tplc="04140005" w:tentative="1">
      <w:start w:val="1"/>
      <w:numFmt w:val="bullet"/>
      <w:lvlText w:val=""/>
      <w:lvlJc w:val="left"/>
      <w:pPr>
        <w:tabs>
          <w:tab w:val="left" w:leader="none" w:pos="4320"/>
        </w:tabs>
        <w:ind w:left="4320" w:hanging="360"/>
      </w:pPr>
      <w:rPr>
        <w:rFonts w:ascii="Wingdings" w:hAnsi="Wingdings" w:hint="default"/>
      </w:rPr>
    </w:lvl>
    <w:lvl w:ilvl="6" w:tplc="04140001" w:tentative="1">
      <w:start w:val="1"/>
      <w:numFmt w:val="bullet"/>
      <w:lvlText w:val=""/>
      <w:lvlJc w:val="left"/>
      <w:pPr>
        <w:tabs>
          <w:tab w:val="left" w:leader="none" w:pos="5040"/>
        </w:tabs>
        <w:ind w:left="5040" w:hanging="360"/>
      </w:pPr>
      <w:rPr>
        <w:rFonts w:ascii="Symbol" w:hAnsi="Symbol" w:hint="default"/>
      </w:rPr>
    </w:lvl>
    <w:lvl w:ilvl="7" w:tplc="04140003" w:tentative="1">
      <w:start w:val="1"/>
      <w:numFmt w:val="bullet"/>
      <w:lvlText w:val="o"/>
      <w:lvlJc w:val="left"/>
      <w:pPr>
        <w:tabs>
          <w:tab w:val="left" w:leader="none" w:pos="5760"/>
        </w:tabs>
        <w:ind w:left="5760" w:hanging="360"/>
      </w:pPr>
      <w:rPr>
        <w:rFonts w:ascii="Courier New" w:cs="Courier New" w:hAnsi="Courier New" w:hint="default"/>
      </w:rPr>
    </w:lvl>
    <w:lvl w:ilvl="8" w:tplc="04140005" w:tentative="1">
      <w:start w:val="1"/>
      <w:numFmt w:val="bullet"/>
      <w:lvlText w:val=""/>
      <w:lvlJc w:val="left"/>
      <w:pPr>
        <w:tabs>
          <w:tab w:val="left" w:leader="none" w:pos="6480"/>
        </w:tabs>
        <w:ind w:left="6480" w:hanging="360"/>
      </w:pPr>
      <w:rPr>
        <w:rFonts w:ascii="Wingdings" w:hAnsi="Wingdings" w:hint="default"/>
      </w:rPr>
    </w:lvl>
  </w:abstractNum>
  <w:abstractNum w:abstractNumId="28">
    <w:nsid w:val="0000001C"/>
    <w:multiLevelType w:val="singleLevel"/>
    <w:tmpl w:val="A1B04AE0"/>
    <w:lvl w:ilvl="0">
      <w:start w:val="1"/>
      <w:numFmt w:val="decimal"/>
      <w:lvlText w:val="%1."/>
      <w:lvlJc w:val="left"/>
      <w:pPr>
        <w:ind w:left="360" w:hanging="360"/>
      </w:pPr>
    </w:lvl>
  </w:abstractNum>
  <w:abstractNum w:abstractNumId="29">
    <w:nsid w:val="0000001D"/>
    <w:multiLevelType w:val="singleLevel"/>
    <w:tmpl w:val="ED7AFD54"/>
    <w:lvl w:ilvl="0">
      <w:start w:val="1"/>
      <w:numFmt w:val="decimal"/>
      <w:lvlText w:val="%1. "/>
      <w:lvlJc w:val="left"/>
      <w:pPr>
        <w:ind w:left="360" w:hanging="360"/>
      </w:pPr>
      <w:rPr>
        <w:rFonts w:ascii="Helvetica" w:hAnsi="Helvetica" w:hint="default"/>
        <w:b w:val="false"/>
        <w:i w:val="false"/>
        <w:sz w:val="20"/>
        <w:u w:val="none"/>
      </w:rPr>
    </w:lvl>
  </w:abstractNum>
  <w:abstractNum w:abstractNumId="30">
    <w:nsid w:val="0000001E"/>
    <w:multiLevelType w:val="singleLevel"/>
    <w:tmpl w:val="199E1F42"/>
    <w:lvl w:ilvl="0">
      <w:start w:val="1"/>
      <w:numFmt w:val="decimal"/>
      <w:lvlText w:val="%1"/>
      <w:lvlJc w:val="left"/>
      <w:pPr>
        <w:ind w:left="360" w:hanging="360"/>
      </w:pPr>
      <w:rPr>
        <w:rFonts w:ascii="Symbol" w:hAnsi="Symbol" w:hint="default"/>
        <w:b w:val="false"/>
        <w:i w:val="false"/>
        <w:sz w:val="20"/>
      </w:rPr>
    </w:lvl>
  </w:abstractNum>
  <w:abstractNum w:abstractNumId="31">
    <w:nsid w:val="0000001F"/>
    <w:multiLevelType w:val="multilevel"/>
    <w:tmpl w:val="469AFCA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2">
    <w:nsid w:val="00000020"/>
    <w:multiLevelType w:val="singleLevel"/>
    <w:tmpl w:val="ED7AFD54"/>
    <w:lvl w:ilvl="0">
      <w:start w:val="1"/>
      <w:numFmt w:val="decimal"/>
      <w:lvlText w:val="%1. "/>
      <w:lvlJc w:val="left"/>
      <w:pPr>
        <w:ind w:left="360" w:hanging="360"/>
      </w:pPr>
      <w:rPr>
        <w:rFonts w:ascii="Helvetica" w:hAnsi="Helvetica" w:hint="default"/>
        <w:b w:val="false"/>
        <w:i w:val="false"/>
        <w:sz w:val="20"/>
        <w:u w:val="none"/>
      </w:rPr>
    </w:lvl>
  </w:abstractNum>
  <w:abstractNum w:abstractNumId="33">
    <w:nsid w:val="0000002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00000022"/>
    <w:multiLevelType w:val="multilevel"/>
    <w:tmpl w:val="7C8A229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5">
    <w:nsid w:val="00000023"/>
    <w:multiLevelType w:val="singleLevel"/>
    <w:tmpl w:val="ED7AFD54"/>
    <w:lvl w:ilvl="0">
      <w:start w:val="1"/>
      <w:numFmt w:val="decimal"/>
      <w:lvlText w:val="%1. "/>
      <w:lvlJc w:val="left"/>
      <w:pPr>
        <w:ind w:left="360" w:hanging="360"/>
      </w:pPr>
      <w:rPr>
        <w:rFonts w:ascii="Helvetica" w:hAnsi="Helvetica" w:hint="default"/>
        <w:b w:val="false"/>
        <w:i w:val="false"/>
        <w:sz w:val="20"/>
        <w:u w:val="none"/>
      </w:rPr>
    </w:lvl>
  </w:abstractNum>
  <w:num w:numId="1">
    <w:abstractNumId w:val="26"/>
  </w:num>
  <w:num w:numId="2">
    <w:abstractNumId w:val="4"/>
  </w:num>
  <w:num w:numId="3">
    <w:abstractNumId w:val="8"/>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21"/>
  </w:num>
  <w:num w:numId="6">
    <w:abstractNumId w:val="30"/>
  </w:num>
  <w:num w:numId="7">
    <w:abstractNumId w:val="0"/>
    <w:lvlOverride w:ilvl="0">
      <w:lvl w:ilvl="0">
        <w:start w:val="1"/>
        <w:numFmt w:val="bullet"/>
        <w:lvlText w:val=""/>
        <w:lvlJc w:val="left"/>
        <w:pPr>
          <w:ind w:left="360" w:hanging="360"/>
        </w:pPr>
        <w:rPr>
          <w:rFonts w:ascii="Wingdings" w:hAnsi="Wingdings" w:hint="default"/>
          <w:sz w:val="16"/>
        </w:rPr>
      </w:lvl>
    </w:lvlOverride>
  </w:num>
  <w:num w:numId="8">
    <w:abstractNumId w:val="10"/>
  </w:num>
  <w:num w:numId="9">
    <w:abstractNumId w:val="9"/>
  </w:num>
  <w:num w:numId="10">
    <w:abstractNumId w:val="2"/>
  </w:num>
  <w:num w:numId="11">
    <w:abstractNumId w:val="15"/>
  </w:num>
  <w:num w:numId="12">
    <w:abstractNumId w:val="32"/>
  </w:num>
  <w:num w:numId="13">
    <w:abstractNumId w:val="3"/>
  </w:num>
  <w:num w:numId="14">
    <w:abstractNumId w:val="25"/>
  </w:num>
  <w:num w:numId="15">
    <w:abstractNumId w:val="5"/>
  </w:num>
  <w:num w:numId="16">
    <w:abstractNumId w:val="24"/>
  </w:num>
  <w:num w:numId="17">
    <w:abstractNumId w:val="11"/>
  </w:num>
  <w:num w:numId="18">
    <w:abstractNumId w:val="28"/>
  </w:num>
  <w:num w:numId="19">
    <w:abstractNumId w:val="7"/>
  </w:num>
  <w:num w:numId="20">
    <w:abstractNumId w:val="29"/>
  </w:num>
  <w:num w:numId="21">
    <w:abstractNumId w:val="17"/>
  </w:num>
  <w:num w:numId="22">
    <w:abstractNumId w:val="35"/>
  </w:num>
  <w:num w:numId="23">
    <w:abstractNumId w:val="14"/>
  </w:num>
  <w:num w:numId="24">
    <w:abstractNumId w:val="12"/>
  </w:num>
  <w:num w:numId="25">
    <w:abstractNumId w:val="16"/>
  </w:num>
  <w:num w:numId="26">
    <w:abstractNumId w:val="33"/>
  </w:num>
  <w:num w:numId="27">
    <w:abstractNumId w:val="6"/>
  </w:num>
  <w:num w:numId="28">
    <w:abstractNumId w:val="22"/>
  </w:num>
  <w:num w:numId="29">
    <w:abstractNumId w:val="27"/>
  </w:num>
  <w:num w:numId="30">
    <w:abstractNumId w:val="34"/>
  </w:num>
  <w:num w:numId="31">
    <w:abstractNumId w:val="31"/>
  </w:num>
  <w:num w:numId="32">
    <w:abstractNumId w:val="13"/>
  </w:num>
  <w:num w:numId="33">
    <w:abstractNumId w:val="18"/>
  </w:num>
  <w:num w:numId="34">
    <w:abstractNumId w:val="20"/>
  </w:num>
  <w:num w:numId="35">
    <w:abstractNumId w:val="23"/>
  </w:num>
  <w:num w:numId="36">
    <w:abstractNumId w:val="19"/>
  </w:num>
  <w:num w:numId="37">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1"/>
  <w:defaultTabStop w:val="720"/>
  <w:doNotHyphenateCaps/>
  <w:drawingGridHorizontalSpacing w:val="100"/>
  <w:displayHorizontalDrawingGridEvery w:val="0"/>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Times New Roman" w:hAnsi="Times New Roman"/>
        <w:lang w:val="en-US" w:bidi="ar-SA" w:eastAsia="en-US"/>
      </w:rPr>
    </w:rPrDefault>
    <w:pPrDefault>
      <w:pPr/>
    </w:pPrDefault>
  </w:docDefaults>
  <w:style w:type="paragraph" w:default="1" w:styleId="style0">
    <w:name w:val="Normal"/>
    <w:next w:val="style0"/>
    <w:qFormat/>
    <w:pPr/>
    <w:rPr>
      <w:rFonts w:ascii="Helvetica" w:hAnsi="Helvetica"/>
    </w:rPr>
  </w:style>
  <w:style w:type="paragraph" w:styleId="style1">
    <w:name w:val="heading 1"/>
    <w:basedOn w:val="style0"/>
    <w:next w:val="style0"/>
    <w:qFormat/>
    <w:pPr>
      <w:keepNext/>
      <w:spacing w:before="240" w:after="60"/>
      <w:outlineLvl w:val="0"/>
    </w:pPr>
    <w:rPr>
      <w:rFonts w:ascii="Arial" w:hAnsi="Arial"/>
      <w:b/>
      <w:kern w:val="28"/>
      <w:sz w:val="28"/>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customStyle="1" w:styleId="style4097">
    <w:name w:val="Author"/>
    <w:basedOn w:val="style0"/>
    <w:next w:val="style4097"/>
    <w:pPr>
      <w:spacing w:lineRule="exact" w:line="280"/>
      <w:jc w:val="right"/>
    </w:pPr>
    <w:rPr>
      <w:b/>
      <w:sz w:val="24"/>
    </w:rPr>
  </w:style>
  <w:style w:type="paragraph" w:customStyle="1" w:styleId="style4098">
    <w:name w:val="Affiliation"/>
    <w:basedOn w:val="style0"/>
    <w:next w:val="style4098"/>
    <w:pPr>
      <w:spacing w:after="240" w:lineRule="exact" w:line="240"/>
      <w:jc w:val="right"/>
    </w:pPr>
    <w:rPr/>
  </w:style>
  <w:style w:type="paragraph" w:customStyle="1" w:styleId="style4099">
    <w:name w:val="Body"/>
    <w:basedOn w:val="style0"/>
    <w:next w:val="style4099"/>
    <w:pPr>
      <w:spacing w:after="240"/>
      <w:jc w:val="both"/>
    </w:pPr>
    <w:rPr/>
  </w:style>
  <w:style w:type="paragraph" w:customStyle="1" w:styleId="style4100">
    <w:name w:val="Abst Head"/>
    <w:basedOn w:val="style4123"/>
    <w:next w:val="style4100"/>
    <w:pPr/>
    <w:rPr>
      <w:sz w:val="22"/>
    </w:rPr>
  </w:style>
  <w:style w:type="paragraph" w:customStyle="1" w:styleId="style4101">
    <w:name w:val="Intro Head"/>
    <w:basedOn w:val="style4123"/>
    <w:next w:val="style4101"/>
    <w:pPr/>
    <w:rPr>
      <w:sz w:val="22"/>
    </w:rPr>
  </w:style>
  <w:style w:type="paragraph" w:customStyle="1" w:styleId="style4102">
    <w:name w:val="Paper Number"/>
    <w:basedOn w:val="style0"/>
    <w:next w:val="style4102"/>
    <w:pPr>
      <w:spacing w:after="280" w:lineRule="exact" w:line="280"/>
      <w:jc w:val="right"/>
    </w:pPr>
    <w:rPr>
      <w:b/>
      <w:sz w:val="28"/>
    </w:rPr>
  </w:style>
  <w:style w:type="paragraph" w:customStyle="1" w:styleId="style4103">
    <w:name w:val="Conc Head"/>
    <w:basedOn w:val="style4123"/>
    <w:next w:val="style4103"/>
    <w:pPr/>
    <w:rPr>
      <w:sz w:val="22"/>
    </w:rPr>
  </w:style>
  <w:style w:type="paragraph" w:customStyle="1" w:styleId="style4104">
    <w:name w:val="Ackn Head"/>
    <w:basedOn w:val="style4123"/>
    <w:next w:val="style4104"/>
    <w:pPr/>
    <w:rPr>
      <w:sz w:val="22"/>
    </w:rPr>
  </w:style>
  <w:style w:type="paragraph" w:customStyle="1" w:styleId="style4105">
    <w:name w:val="Refer Head"/>
    <w:basedOn w:val="style4123"/>
    <w:next w:val="style4105"/>
    <w:pPr/>
    <w:rPr>
      <w:sz w:val="22"/>
    </w:rPr>
  </w:style>
  <w:style w:type="paragraph" w:customStyle="1" w:styleId="style4106">
    <w:name w:val="AddSrc Head"/>
    <w:basedOn w:val="style4123"/>
    <w:next w:val="style4106"/>
    <w:pPr/>
    <w:rPr>
      <w:sz w:val="22"/>
    </w:rPr>
  </w:style>
  <w:style w:type="paragraph" w:customStyle="1" w:styleId="style4107">
    <w:name w:val="DefAcrHead"/>
    <w:basedOn w:val="style4123"/>
    <w:next w:val="style4107"/>
    <w:pPr/>
    <w:rPr>
      <w:sz w:val="22"/>
    </w:rPr>
  </w:style>
  <w:style w:type="paragraph" w:customStyle="1" w:styleId="style4108">
    <w:name w:val="Copyright"/>
    <w:basedOn w:val="style0"/>
    <w:next w:val="style4108"/>
    <w:pPr>
      <w:spacing w:after="960" w:lineRule="exact" w:line="200"/>
    </w:pPr>
    <w:rPr>
      <w:sz w:val="16"/>
    </w:rPr>
  </w:style>
  <w:style w:type="paragraph" w:styleId="style62">
    <w:name w:val="Title"/>
    <w:basedOn w:val="style0"/>
    <w:next w:val="style62"/>
    <w:qFormat/>
    <w:pPr>
      <w:spacing w:after="360"/>
      <w:jc w:val="right"/>
    </w:pPr>
    <w:rPr>
      <w:b/>
      <w:kern w:val="28"/>
      <w:sz w:val="36"/>
    </w:rPr>
  </w:style>
  <w:style w:type="paragraph" w:customStyle="1" w:styleId="style4109">
    <w:name w:val="Reference"/>
    <w:basedOn w:val="style4099"/>
    <w:next w:val="style4109"/>
    <w:pPr>
      <w:numPr>
        <w:ilvl w:val="0"/>
        <w:numId w:val="1"/>
      </w:numPr>
      <w:spacing w:after="0" w:lineRule="exact" w:line="240"/>
    </w:pPr>
    <w:rPr/>
  </w:style>
  <w:style w:type="paragraph" w:customStyle="1" w:styleId="style4110">
    <w:name w:val="Head1"/>
    <w:basedOn w:val="style4123"/>
    <w:next w:val="style4110"/>
    <w:pPr/>
    <w:rPr>
      <w:sz w:val="22"/>
    </w:rPr>
  </w:style>
  <w:style w:type="paragraph" w:customStyle="1" w:styleId="style4111">
    <w:name w:val="Contact Head"/>
    <w:basedOn w:val="style4123"/>
    <w:next w:val="style4111"/>
    <w:pPr/>
    <w:rPr>
      <w:sz w:val="22"/>
    </w:rPr>
  </w:style>
  <w:style w:type="paragraph" w:customStyle="1" w:styleId="style4112">
    <w:name w:val="Head3"/>
    <w:basedOn w:val="style4119"/>
    <w:next w:val="style4112"/>
    <w:pPr/>
    <w:rPr>
      <w:caps w:val="false"/>
      <w:u w:val="single"/>
    </w:rPr>
  </w:style>
  <w:style w:type="paragraph" w:customStyle="1" w:styleId="style4113">
    <w:name w:val="Head4"/>
    <w:basedOn w:val="style4112"/>
    <w:next w:val="style4113"/>
    <w:pPr/>
    <w:rPr>
      <w:u w:val="none"/>
    </w:rPr>
  </w:style>
  <w:style w:type="paragraph" w:customStyle="1" w:styleId="style4114">
    <w:name w:val="Unord List"/>
    <w:basedOn w:val="style4099"/>
    <w:next w:val="style4114"/>
    <w:pPr>
      <w:spacing w:after="0"/>
      <w:ind w:left="360" w:hanging="360"/>
    </w:pPr>
    <w:rPr/>
  </w:style>
  <w:style w:type="paragraph" w:customStyle="1" w:styleId="style4115">
    <w:name w:val="Ord List"/>
    <w:basedOn w:val="style4114"/>
    <w:next w:val="style4115"/>
    <w:pPr>
      <w:jc w:val="left"/>
    </w:pPr>
    <w:rPr/>
  </w:style>
  <w:style w:type="paragraph" w:customStyle="1" w:styleId="style4116">
    <w:name w:val="Appendix"/>
    <w:basedOn w:val="style4123"/>
    <w:next w:val="style4116"/>
    <w:pPr/>
    <w:rPr>
      <w:sz w:val="22"/>
    </w:rPr>
  </w:style>
  <w:style w:type="paragraph" w:customStyle="1" w:styleId="style4117">
    <w:name w:val="Term"/>
    <w:basedOn w:val="style4099"/>
    <w:next w:val="style4117"/>
    <w:pPr>
      <w:spacing w:after="0"/>
    </w:pPr>
    <w:rPr>
      <w:b/>
    </w:rPr>
  </w:style>
  <w:style w:type="paragraph" w:customStyle="1" w:styleId="style4118">
    <w:name w:val="Definition"/>
    <w:basedOn w:val="style4099"/>
    <w:next w:val="style4118"/>
    <w:pPr/>
  </w:style>
  <w:style w:type="paragraph" w:customStyle="1" w:styleId="style4119">
    <w:name w:val="Head2"/>
    <w:basedOn w:val="style0"/>
    <w:next w:val="style4099"/>
    <w:pPr>
      <w:keepNext/>
      <w:spacing w:after="240"/>
    </w:pPr>
    <w:rPr>
      <w:caps/>
    </w:rPr>
  </w:style>
  <w:style w:type="character" w:customStyle="1" w:styleId="style4120">
    <w:name w:val="Bold"/>
    <w:next w:val="style4120"/>
    <w:rPr>
      <w:b/>
    </w:rPr>
  </w:style>
  <w:style w:type="character" w:customStyle="1" w:styleId="style4121">
    <w:name w:val="Italic"/>
    <w:next w:val="style4121"/>
    <w:rPr>
      <w:i/>
    </w:rPr>
  </w:style>
  <w:style w:type="character" w:customStyle="1" w:styleId="style4122">
    <w:name w:val="Underline"/>
    <w:next w:val="style4122"/>
    <w:rPr>
      <w:u w:val="single"/>
    </w:rPr>
  </w:style>
  <w:style w:type="paragraph" w:customStyle="1" w:styleId="style4123">
    <w:name w:val="Main Head"/>
    <w:basedOn w:val="style0"/>
    <w:next w:val="style4123"/>
    <w:pPr>
      <w:keepNext/>
      <w:spacing w:after="240"/>
    </w:pPr>
    <w:rPr>
      <w:b/>
      <w:caps/>
    </w:rPr>
  </w:style>
  <w:style w:type="paragraph" w:customStyle="1" w:styleId="style4124">
    <w:name w:val="Equation"/>
    <w:basedOn w:val="style4099"/>
    <w:next w:val="style4124"/>
    <w:pPr/>
  </w:style>
  <w:style w:type="paragraph" w:customStyle="1" w:styleId="style4125">
    <w:name w:val="Figure"/>
    <w:basedOn w:val="style4108"/>
    <w:next w:val="style4125"/>
    <w:pPr>
      <w:spacing w:after="240"/>
    </w:pPr>
    <w:rPr>
      <w:sz w:val="20"/>
    </w:rPr>
  </w:style>
  <w:style w:type="paragraph" w:styleId="style32">
    <w:name w:val="footer"/>
    <w:basedOn w:val="style0"/>
    <w:next w:val="style32"/>
    <w:pPr>
      <w:tabs>
        <w:tab w:val="center" w:leader="none" w:pos="4320"/>
        <w:tab w:val="right" w:leader="none" w:pos="8640"/>
      </w:tabs>
    </w:pPr>
    <w:rPr/>
  </w:style>
  <w:style w:type="paragraph" w:customStyle="1" w:styleId="style4126">
    <w:name w:val="Head 4"/>
    <w:basedOn w:val="style4112"/>
    <w:next w:val="style4126"/>
    <w:pPr/>
    <w:rPr>
      <w:u w:val="none"/>
    </w:rPr>
  </w:style>
  <w:style w:type="paragraph" w:styleId="style31">
    <w:name w:val="header"/>
    <w:basedOn w:val="style0"/>
    <w:next w:val="style31"/>
    <w:pPr>
      <w:tabs>
        <w:tab w:val="center" w:leader="none" w:pos="4320"/>
        <w:tab w:val="right" w:leader="none" w:pos="8640"/>
      </w:tabs>
    </w:pPr>
    <w:rPr/>
  </w:style>
  <w:style w:type="paragraph" w:customStyle="1" w:styleId="style4127">
    <w:name w:val="Paper"/>
    <w:basedOn w:val="style0"/>
    <w:next w:val="style4127"/>
    <w:pPr>
      <w:spacing w:after="360" w:lineRule="exact" w:line="440"/>
      <w:jc w:val="right"/>
    </w:pPr>
    <w:rPr>
      <w:b/>
      <w:sz w:val="36"/>
    </w:rPr>
  </w:style>
  <w:style w:type="paragraph" w:styleId="style64">
    <w:name w:val="Signature"/>
    <w:basedOn w:val="style0"/>
    <w:next w:val="style64"/>
    <w:pPr>
      <w:ind w:left="4320"/>
    </w:pPr>
    <w:rPr/>
  </w:style>
  <w:style w:type="character" w:customStyle="1" w:styleId="style4128">
    <w:name w:val="Subscript"/>
    <w:next w:val="style4128"/>
    <w:rPr>
      <w:vertAlign w:val="subscript"/>
    </w:rPr>
  </w:style>
  <w:style w:type="character" w:customStyle="1" w:styleId="style4129">
    <w:name w:val="Superscript"/>
    <w:next w:val="style4129"/>
    <w:rPr>
      <w:vertAlign w:val="superscript"/>
    </w:rPr>
  </w:style>
  <w:style w:type="character" w:customStyle="1" w:styleId="style4130">
    <w:name w:val="Symbol"/>
    <w:next w:val="style4130"/>
    <w:rPr>
      <w:rFonts w:ascii="Symbol" w:hAnsi="Symbol"/>
    </w:rPr>
  </w:style>
  <w:style w:type="paragraph" w:customStyle="1" w:styleId="style4131">
    <w:name w:val="Symbol P"/>
    <w:basedOn w:val="style4099"/>
    <w:next w:val="style4131"/>
    <w:pPr>
      <w:tabs>
        <w:tab w:val="left" w:leader="none" w:pos="720"/>
        <w:tab w:val="left" w:leader="none" w:pos="3780"/>
      </w:tabs>
      <w:spacing w:after="0"/>
    </w:pPr>
    <w:rPr>
      <w:sz w:val="24"/>
    </w:rPr>
  </w:style>
  <w:style w:type="character" w:customStyle="1" w:styleId="style4132">
    <w:name w:val="BoldItal"/>
    <w:basedOn w:val="style65"/>
    <w:next w:val="style4132"/>
    <w:rPr>
      <w:b/>
      <w:i/>
    </w:rPr>
  </w:style>
  <w:style w:type="character" w:customStyle="1" w:styleId="style4133">
    <w:name w:val="SubItal"/>
    <w:next w:val="style4133"/>
    <w:rPr>
      <w:i/>
      <w:vertAlign w:val="subscript"/>
    </w:rPr>
  </w:style>
  <w:style w:type="character" w:customStyle="1" w:styleId="style4134">
    <w:name w:val="SuperItal"/>
    <w:next w:val="style4134"/>
    <w:rPr>
      <w:i/>
      <w:vertAlign w:val="superscript"/>
    </w:rPr>
  </w:style>
  <w:style w:type="character" w:customStyle="1" w:styleId="style4135">
    <w:name w:val="SymItal"/>
    <w:next w:val="style4135"/>
    <w:rPr>
      <w:rFonts w:ascii="Symbol" w:hAnsi="Symbol"/>
      <w:i/>
    </w:rPr>
  </w:style>
  <w:style w:type="character" w:styleId="style85">
    <w:name w:val="Hyperlink"/>
    <w:basedOn w:val="style65"/>
    <w:next w:val="style85"/>
    <w:rPr>
      <w:color w:val="ff0080"/>
      <w:u w:val="single"/>
    </w:rPr>
  </w:style>
  <w:style w:type="character" w:styleId="style86">
    <w:name w:val="FollowedHyperlink"/>
    <w:basedOn w:val="style65"/>
    <w:next w:val="style86"/>
    <w:rPr>
      <w:color w:val="800080"/>
      <w:u w:val="single"/>
    </w:rPr>
  </w:style>
  <w:style w:type="table" w:styleId="style154">
    <w:name w:val="Table Grid"/>
    <w:basedOn w:val="style105"/>
    <w:next w:val="style154"/>
    <w:uiPriority w:val="39"/>
    <w:pPr/>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tcBorders/>
    </w:tcPr>
  </w:style>
  <w:style w:type="paragraph" w:styleId="style80">
    <w:name w:val="Body Text 2"/>
    <w:basedOn w:val="style0"/>
    <w:next w:val="style80"/>
    <w:link w:val="style4136"/>
    <w:pPr>
      <w:spacing w:after="120" w:lineRule="auto" w:line="480"/>
    </w:pPr>
    <w:rPr/>
  </w:style>
  <w:style w:type="character" w:customStyle="1" w:styleId="style4136">
    <w:name w:val="Body Text 2 Char"/>
    <w:basedOn w:val="style65"/>
    <w:next w:val="style4136"/>
    <w:link w:val="style80"/>
    <w:rPr>
      <w:rFonts w:ascii="Helvetica" w:hAnsi="Helvetica"/>
    </w:rPr>
  </w:style>
  <w:style w:type="character" w:styleId="style39">
    <w:name w:val="annotation reference"/>
    <w:basedOn w:val="style65"/>
    <w:next w:val="style39"/>
    <w:uiPriority w:val="99"/>
    <w:rPr>
      <w:sz w:val="16"/>
      <w:szCs w:val="16"/>
    </w:rPr>
  </w:style>
  <w:style w:type="paragraph" w:styleId="style30">
    <w:name w:val="annotation text"/>
    <w:basedOn w:val="style0"/>
    <w:next w:val="style30"/>
    <w:link w:val="style4137"/>
    <w:uiPriority w:val="99"/>
    <w:pPr/>
    <w:rPr>
      <w:rFonts w:ascii="Times New Roman" w:hAnsi="Times New Roman"/>
      <w:lang w:val="nb-NO" w:eastAsia="nb-NO"/>
    </w:rPr>
  </w:style>
  <w:style w:type="character" w:customStyle="1" w:styleId="style4137">
    <w:name w:val="Comment Text Char"/>
    <w:basedOn w:val="style65"/>
    <w:next w:val="style4137"/>
    <w:link w:val="style30"/>
    <w:uiPriority w:val="99"/>
    <w:rPr>
      <w:lang w:val="nb-NO" w:eastAsia="nb-NO"/>
    </w:rPr>
  </w:style>
  <w:style w:type="paragraph" w:styleId="style153">
    <w:name w:val="Balloon Text"/>
    <w:basedOn w:val="style0"/>
    <w:next w:val="style153"/>
    <w:link w:val="style4138"/>
    <w:pPr/>
    <w:rPr>
      <w:rFonts w:ascii="Tahoma" w:cs="Tahoma" w:hAnsi="Tahoma"/>
      <w:sz w:val="16"/>
      <w:szCs w:val="16"/>
    </w:rPr>
  </w:style>
  <w:style w:type="character" w:customStyle="1" w:styleId="style4138">
    <w:name w:val="Balloon Text Char"/>
    <w:basedOn w:val="style65"/>
    <w:next w:val="style4138"/>
    <w:link w:val="style153"/>
    <w:rPr>
      <w:rFonts w:ascii="Tahoma" w:cs="Tahoma" w:hAnsi="Tahoma"/>
      <w:sz w:val="16"/>
      <w:szCs w:val="16"/>
    </w:rPr>
  </w:style>
  <w:style w:type="paragraph" w:styleId="style81">
    <w:name w:val="Body Text 3"/>
    <w:basedOn w:val="style0"/>
    <w:next w:val="style81"/>
    <w:link w:val="style4139"/>
    <w:pPr>
      <w:spacing w:after="120"/>
    </w:pPr>
    <w:rPr>
      <w:sz w:val="16"/>
      <w:szCs w:val="16"/>
    </w:rPr>
  </w:style>
  <w:style w:type="character" w:customStyle="1" w:styleId="style4139">
    <w:name w:val="Body Text 3 Char"/>
    <w:basedOn w:val="style65"/>
    <w:next w:val="style4139"/>
    <w:link w:val="style81"/>
    <w:rPr>
      <w:rFonts w:ascii="Helvetica" w:hAnsi="Helvetica"/>
      <w:sz w:val="16"/>
      <w:szCs w:val="16"/>
    </w:rPr>
  </w:style>
  <w:style w:type="character" w:styleId="style40">
    <w:name w:val="line number"/>
    <w:basedOn w:val="style65"/>
    <w:next w:val="style40"/>
  </w:style>
  <w:style w:type="character" w:styleId="style88">
    <w:name w:val="Emphasis"/>
    <w:basedOn w:val="style65"/>
    <w:next w:val="style88"/>
    <w:qFormat/>
    <w:uiPriority w:val="20"/>
    <w:rPr>
      <w:i/>
      <w:iCs/>
    </w:rPr>
  </w:style>
  <w:style w:type="character" w:customStyle="1" w:styleId="style4140">
    <w:name w:val="Unresolved Mention"/>
    <w:basedOn w:val="style65"/>
    <w:next w:val="style4140"/>
    <w:uiPriority w:val="99"/>
    <w:rPr>
      <w:color w:val="605e5c"/>
      <w:shd w:val="clear" w:color="auto" w:fill="e1dfdd"/>
    </w:rPr>
  </w:style>
  <w:style w:type="paragraph" w:styleId="style179">
    <w:name w:val="List Paragraph"/>
    <w:basedOn w:val="style0"/>
    <w:next w:val="style179"/>
    <w:qFormat/>
    <w:uiPriority w:val="34"/>
    <w:pPr>
      <w:ind w:left="720"/>
      <w:jc w:val="both"/>
      <w:contextualSpacing/>
    </w:pPr>
    <w:rPr>
      <w:rFonts w:ascii="Calibri" w:cs="宋体" w:eastAsia="Calibri" w:hAnsi="Calibri"/>
      <w:kern w:val="2"/>
      <w:sz w:val="24"/>
      <w:szCs w:val="24"/>
    </w:rPr>
  </w:style>
  <w:style w:type="paragraph" w:styleId="style94">
    <w:name w:val="Normal (Web)"/>
    <w:basedOn w:val="style0"/>
    <w:next w:val="style94"/>
    <w:uiPriority w:val="99"/>
    <w:pPr>
      <w:spacing w:before="100" w:beforeAutospacing="true" w:after="100" w:afterAutospacing="true"/>
    </w:pPr>
    <w:rPr>
      <w:rFonts w:ascii="Times New Roman" w:hAnsi="Times New Roman"/>
      <w:sz w:val="24"/>
      <w:szCs w:val="24"/>
      <w:lang w:val="en-SG" w:eastAsia="en-SG"/>
    </w:rPr>
  </w:style>
  <w:style w:type="character" w:styleId="style87">
    <w:name w:val="Strong"/>
    <w:basedOn w:val="style65"/>
    <w:next w:val="style87"/>
    <w:qFormat/>
    <w:uiPriority w:val="22"/>
    <w:rPr>
      <w:b/>
      <w:bCs/>
    </w:rPr>
  </w:style>
  <w:style w:type="paragraph" w:customStyle="1" w:styleId="style4141">
    <w:name w:val="Standard"/>
    <w:next w:val="style4141"/>
    <w:pPr>
      <w:suppressAutoHyphens/>
      <w:autoSpaceDN w:val="false"/>
      <w:textAlignment w:val="baseline"/>
    </w:pPr>
    <w:rPr>
      <w:rFonts w:eastAsia="SimSun, 宋体"/>
      <w:kern w:val="3"/>
      <w:sz w:val="24"/>
      <w:szCs w:val="24"/>
      <w:lang w:eastAsia="zh-CN"/>
    </w:rPr>
  </w:style>
  <w:style w:type="numbering" w:customStyle="1" w:styleId="style4142">
    <w:name w:val="WW8Num71"/>
    <w:basedOn w:val="style107"/>
    <w:next w:val="style4142"/>
    <w:pPr>
      <w:numPr>
        <w:ilvl w:val="0"/>
        <w:numId w:val="2"/>
      </w:numPr>
    </w:pPr>
  </w:style>
</w:styles>
</file>

<file path=word/_rels/document.xml.rels><?xml version="1.0" encoding="UTF-8"?>
<Relationships xmlns="http://schemas.openxmlformats.org/package/2006/relationships"><Relationship Id="rId20" Type="http://schemas.openxmlformats.org/officeDocument/2006/relationships/customXml" Target="../customXml/item2.xml"/><Relationship Id="rId11" Type="http://schemas.openxmlformats.org/officeDocument/2006/relationships/image" Target="media/image3.png"/><Relationship Id="rId22" Type="http://schemas.openxmlformats.org/officeDocument/2006/relationships/customXml" Target="../customXml/item4.xml"/><Relationship Id="rId10" Type="http://schemas.openxmlformats.org/officeDocument/2006/relationships/image" Target="media/image2.png"/><Relationship Id="rId21" Type="http://schemas.openxmlformats.org/officeDocument/2006/relationships/customXml" Target="../customXml/item3.xml"/><Relationship Id="rId13" Type="http://schemas.openxmlformats.org/officeDocument/2006/relationships/image" Target="media/image5.png"/><Relationship Id="rId12" Type="http://schemas.openxmlformats.org/officeDocument/2006/relationships/image" Target="media/image4.png"/><Relationship Id="rId23" Type="http://schemas.openxmlformats.org/officeDocument/2006/relationships/customXml" Target="../customXml/item5.xml"/><Relationship Id="rId1" Type="http://schemas.openxmlformats.org/officeDocument/2006/relationships/numbering" Target="numbering.xml"/><Relationship Id="rId2" Type="http://schemas.microsoft.com/office/2011/relationships/commentsExtended" Target="commentsExtended.xml"/><Relationship Id="rId3" Type="http://schemas.openxmlformats.org/officeDocument/2006/relationships/comments" Target="comments.xml"/><Relationship Id="rId4" Type="http://schemas.openxmlformats.org/officeDocument/2006/relationships/header" Target="header1.xml"/><Relationship Id="rId9" Type="http://schemas.openxmlformats.org/officeDocument/2006/relationships/image" Target="media/image1.png"/><Relationship Id="rId15" Type="http://schemas.openxmlformats.org/officeDocument/2006/relationships/styles" Target="styles.xml"/><Relationship Id="rId14" Type="http://schemas.openxmlformats.org/officeDocument/2006/relationships/image" Target="media/image6.png"/><Relationship Id="rId17" Type="http://schemas.openxmlformats.org/officeDocument/2006/relationships/settings" Target="settings.xml"/><Relationship Id="rId16" Type="http://schemas.openxmlformats.org/officeDocument/2006/relationships/fontTable" Target="fontTable.xml"/><Relationship Id="rId5" Type="http://schemas.openxmlformats.org/officeDocument/2006/relationships/header" Target="header2.xml"/><Relationship Id="rId19" Type="http://schemas.openxmlformats.org/officeDocument/2006/relationships/customXml" Target="../customXml/item1.xml"/><Relationship Id="rId6" Type="http://schemas.openxmlformats.org/officeDocument/2006/relationships/footer" Target="footer3.xml"/><Relationship Id="rId18" Type="http://schemas.openxmlformats.org/officeDocument/2006/relationships/theme" Target="theme/theme1.xml"/><Relationship Id="rId7" Type="http://schemas.openxmlformats.org/officeDocument/2006/relationships/footer" Target="footer4.xml"/><Relationship Id="rId8"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_rels/item2.xml.rels><?xml version="1.0" encoding="UTF-8"?>
<Relationships xmlns="http://schemas.openxmlformats.org/package/2006/relationships"><Relationship Id="rId1" Type="http://schemas.openxmlformats.org/officeDocument/2006/relationships/customXmlProps" Target="itemProps2.xml"/></Relationships>
</file>

<file path=customXml/_rels/item3.xml.rels><?xml version="1.0" encoding="UTF-8"?>
<Relationships xmlns="http://schemas.openxmlformats.org/package/2006/relationships"><Relationship Id="rId1" Type="http://schemas.openxmlformats.org/officeDocument/2006/relationships/customXmlProps" Target="itemProps3.xml"/></Relationships>
</file>

<file path=customXml/_rels/item4.xml.rels><?xml version="1.0" encoding="UTF-8"?>
<Relationships xmlns="http://schemas.openxmlformats.org/package/2006/relationships"><Relationship Id="rId1" Type="http://schemas.openxmlformats.org/officeDocument/2006/relationships/customXmlProps" Target="itemProps4.xml"/></Relationships>
</file>

<file path=customXml/_rels/item5.xml.rels><?xml version="1.0" encoding="UTF-8"?>
<Relationships xmlns="http://schemas.openxmlformats.org/package/2006/relationships"><Relationship Id="rId1" Type="http://schemas.openxmlformats.org/officeDocument/2006/relationships/customXmlProps" Target="itemProps5.xml"/></Relationships>
</file>

<file path=customXml/item1.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cd:customData xmlns="http://www.wps.cn/android/officeDocument/2013/mofficeCustomData" xmlns:mcd="http://www.wps.cn/android/officeDocument/2013/mofficeCustomData" version="2">
  <mcd:comments/>
</mcd:customData>
</file>

<file path=customXml/item5.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721e0f0e-2e82-4129-9e91-b6ad9a9eb531}">
  <ds:schemaRefs>
    <ds:schemaRef ds:uri="http://www.wps.cn/android/officeDocument/2013/mofficeCustomData"/>
  </ds:schemaRefs>
</ds:datastoreItem>
</file>

<file path=customXml/itemProps2.xml><?xml version="1.0" encoding="utf-8"?>
<ds:datastoreItem xmlns:ds="http://schemas.openxmlformats.org/officeDocument/2006/customXml" ds:itemID="{a8778a80-71cd-4e2d-a830-27c1ed80b04e}">
  <ds:schemaRefs>
    <ds:schemaRef ds:uri="http://www.wps.cn/android/officeDocument/2013/mofficeCustomData"/>
  </ds:schemaRefs>
</ds:datastoreItem>
</file>

<file path=customXml/itemProps3.xml><?xml version="1.0" encoding="utf-8"?>
<ds:datastoreItem xmlns:ds="http://schemas.openxmlformats.org/officeDocument/2006/customXml" ds:itemID="{BA243260-934A-4189-A3CD-FDBEF070530F}">
  <ds:schemaRefs>
    <ds:schemaRef ds:uri="http://schemas.openxmlformats.org/officeDocument/2006/bibliography"/>
  </ds:schemaRefs>
</ds:datastoreItem>
</file>

<file path=customXml/itemProps4.xml><?xml version="1.0" encoding="utf-8"?>
<ds:datastoreItem xmlns:ds="http://schemas.openxmlformats.org/officeDocument/2006/customXml" ds:itemID="{0171d3e7-479d-48b7-bc4a-018b26399d2c}">
  <ds:schemaRefs>
    <ds:schemaRef ds:uri="http://www.wps.cn/android/officeDocument/2013/mofficeCustomData"/>
  </ds:schemaRefs>
</ds:datastoreItem>
</file>

<file path=customXml/itemProps5.xml><?xml version="1.0" encoding="utf-8"?>
<ds:datastoreItem xmlns:ds="http://schemas.openxmlformats.org/officeDocument/2006/customXml" ds:itemID="{ce32fc16-a5e0-471f-a613-93e4cfca3aa8}">
  <ds:schemaRefs>
    <ds:schemaRef ds:uri="http://www.wps.cn/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18</TotalTime>
  <Words>8026</Words>
  <Pages>19</Pages>
  <Characters>55216</Characters>
  <Application>WPS Office</Application>
  <DocSecurity>0</DocSecurity>
  <Paragraphs>281</Paragraphs>
  <ScaleCrop>false</ScaleCrop>
  <Company>aaaa</Company>
  <LinksUpToDate>false</LinksUpToDate>
  <CharactersWithSpaces>63236</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2026-03-27T08:48:00Z</dcterms:created>
  <dc:creator>SDI</dc:creator>
  <lastModifiedBy>Reviewer</lastModifiedBy>
  <lastPrinted>1999-07-06T11:00:00Z</lastPrinted>
  <dcterms:modified xsi:type="dcterms:W3CDTF">2026-03-29T18:17:39Z</dcterms:modified>
  <revision>7</revision>
  <dc:title>Paper Template</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3719491f3902458581923fe4b6a06a4b</vt:lpwstr>
  </property>
</Properties>
</file>