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58476AA7" w14:textId="77777777" w:rsidTr="004847FF">
        <w:trPr>
          <w:trHeight w:val="450"/>
        </w:trPr>
        <w:tc>
          <w:tcPr>
            <w:tcW w:w="5000" w:type="pct"/>
            <w:gridSpan w:val="2"/>
            <w:tcBorders>
              <w:top w:val="nil"/>
              <w:left w:val="nil"/>
              <w:right w:val="nil"/>
            </w:tcBorders>
          </w:tcPr>
          <w:p w14:paraId="68A3357A"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45A487AD" w14:textId="77777777" w:rsidTr="00F33C84">
        <w:trPr>
          <w:trHeight w:val="413"/>
        </w:trPr>
        <w:tc>
          <w:tcPr>
            <w:tcW w:w="1234" w:type="pct"/>
          </w:tcPr>
          <w:p w14:paraId="46D360A2"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362F0A22" w14:textId="77777777" w:rsidR="0000007A" w:rsidRPr="00DE7D30" w:rsidRDefault="009F4C4C" w:rsidP="00054BC4">
            <w:pPr>
              <w:pStyle w:val="NormalWeb"/>
              <w:rPr>
                <w:rFonts w:ascii="Arial" w:hAnsi="Arial" w:cs="Arial"/>
                <w:b/>
                <w:bCs/>
                <w:szCs w:val="28"/>
                <w:u w:val="single"/>
              </w:rPr>
            </w:pPr>
            <w:hyperlink r:id="rId7" w:history="1">
              <w:r w:rsidRPr="009F4C4C">
                <w:rPr>
                  <w:rStyle w:val="Hyperlink"/>
                  <w:rFonts w:ascii="Arial" w:hAnsi="Arial" w:cs="Arial"/>
                  <w:b/>
                  <w:bCs/>
                  <w:szCs w:val="28"/>
                </w:rPr>
                <w:t>New Ideas Concerning Arts and Social Studies</w:t>
              </w:r>
            </w:hyperlink>
          </w:p>
        </w:tc>
      </w:tr>
      <w:tr w:rsidR="0000007A" w:rsidRPr="00DE7D30" w14:paraId="0FC516B3" w14:textId="77777777" w:rsidTr="002E7787">
        <w:trPr>
          <w:trHeight w:val="290"/>
        </w:trPr>
        <w:tc>
          <w:tcPr>
            <w:tcW w:w="1234" w:type="pct"/>
          </w:tcPr>
          <w:p w14:paraId="53F5E312"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1B15009C" w14:textId="7777777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10A74" w:rsidRPr="00B10A74">
              <w:rPr>
                <w:rFonts w:ascii="Arial" w:hAnsi="Arial" w:cs="Arial"/>
                <w:b/>
                <w:bCs/>
                <w:szCs w:val="28"/>
                <w:lang w:val="en-GB"/>
              </w:rPr>
              <w:t>6314</w:t>
            </w:r>
          </w:p>
        </w:tc>
      </w:tr>
      <w:tr w:rsidR="0000007A" w:rsidRPr="00DE7D30" w14:paraId="7038F73C" w14:textId="77777777" w:rsidTr="002109D6">
        <w:trPr>
          <w:trHeight w:val="331"/>
        </w:trPr>
        <w:tc>
          <w:tcPr>
            <w:tcW w:w="1234" w:type="pct"/>
          </w:tcPr>
          <w:p w14:paraId="1704831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23257CFF" w14:textId="77777777" w:rsidR="0000007A" w:rsidRPr="00DE7D30" w:rsidRDefault="00E050B3" w:rsidP="000450FC">
            <w:pPr>
              <w:pStyle w:val="NormalWeb"/>
              <w:spacing w:before="0" w:beforeAutospacing="0" w:after="0" w:afterAutospacing="0"/>
              <w:rPr>
                <w:rFonts w:ascii="Arial" w:hAnsi="Arial" w:cs="Arial"/>
                <w:b/>
                <w:szCs w:val="28"/>
                <w:highlight w:val="yellow"/>
                <w:lang w:val="en-GB"/>
              </w:rPr>
            </w:pPr>
            <w:r w:rsidRPr="00E050B3">
              <w:rPr>
                <w:rFonts w:ascii="Arial" w:hAnsi="Arial" w:cs="Arial"/>
                <w:b/>
                <w:szCs w:val="28"/>
                <w:lang w:val="en-GB"/>
              </w:rPr>
              <w:t>Interreligious Dialogue for Peacebuilding: A Hermeneutical-philosophical Approach to the Ethics of Understanding in a Post-Conflict Africa</w:t>
            </w:r>
          </w:p>
        </w:tc>
      </w:tr>
      <w:tr w:rsidR="00CF0BBB" w:rsidRPr="00DE7D30" w14:paraId="6EF34514" w14:textId="77777777" w:rsidTr="002E7787">
        <w:trPr>
          <w:trHeight w:val="332"/>
        </w:trPr>
        <w:tc>
          <w:tcPr>
            <w:tcW w:w="1234" w:type="pct"/>
          </w:tcPr>
          <w:p w14:paraId="5471A644"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27046715" w14:textId="77777777" w:rsidR="00CF0BBB" w:rsidRPr="00DE7D30" w:rsidRDefault="00B10A74"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05ADEFCE" w14:textId="77777777" w:rsidR="00037D52" w:rsidRPr="00DE7D30" w:rsidRDefault="00037D52" w:rsidP="0000007A">
      <w:pPr>
        <w:pStyle w:val="BodyText"/>
        <w:rPr>
          <w:rFonts w:ascii="Arial" w:hAnsi="Arial" w:cs="Arial"/>
          <w:b/>
          <w:bCs/>
          <w:szCs w:val="20"/>
          <w:u w:val="single"/>
          <w:lang w:val="en-GB"/>
        </w:rPr>
      </w:pPr>
    </w:p>
    <w:p w14:paraId="7CD555B9" w14:textId="77777777" w:rsidR="00605952" w:rsidRPr="00DE7D30" w:rsidRDefault="00605952" w:rsidP="0000007A">
      <w:pPr>
        <w:pStyle w:val="BodyText"/>
        <w:rPr>
          <w:rFonts w:ascii="Arial" w:hAnsi="Arial" w:cs="Arial"/>
          <w:b/>
          <w:bCs/>
          <w:szCs w:val="20"/>
          <w:u w:val="single"/>
          <w:lang w:val="en-GB"/>
        </w:rPr>
      </w:pPr>
    </w:p>
    <w:p w14:paraId="18BEA733" w14:textId="77777777" w:rsidR="00626025" w:rsidRPr="0086369B" w:rsidRDefault="00626025" w:rsidP="00D27A79">
      <w:pPr>
        <w:pStyle w:val="BodyText"/>
        <w:jc w:val="left"/>
        <w:rPr>
          <w:rFonts w:ascii="Arial" w:hAnsi="Arial" w:cs="Arial"/>
          <w:color w:val="222222"/>
          <w:sz w:val="20"/>
          <w:szCs w:val="18"/>
          <w:lang w:val="en-GB"/>
        </w:rPr>
      </w:pPr>
    </w:p>
    <w:p w14:paraId="65210600" w14:textId="77777777" w:rsidR="0086369B" w:rsidRDefault="0086369B" w:rsidP="00626025">
      <w:pPr>
        <w:pStyle w:val="BodyText"/>
        <w:rPr>
          <w:rFonts w:ascii="Arial" w:hAnsi="Arial" w:cs="Arial"/>
          <w:b/>
          <w:color w:val="222222"/>
          <w:sz w:val="32"/>
          <w:u w:val="single"/>
          <w:lang w:val="en-US"/>
        </w:rPr>
      </w:pPr>
    </w:p>
    <w:p w14:paraId="3EF009DD" w14:textId="77777777"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9B7314A" w14:textId="77777777" w:rsidR="007B54A4" w:rsidRDefault="007B54A4" w:rsidP="00626025">
      <w:pPr>
        <w:pStyle w:val="BodyText"/>
        <w:rPr>
          <w:rFonts w:ascii="Arial" w:hAnsi="Arial" w:cs="Arial"/>
          <w:b/>
          <w:color w:val="222222"/>
          <w:sz w:val="32"/>
          <w:u w:val="single"/>
          <w:lang w:val="en-US"/>
        </w:rPr>
      </w:pPr>
    </w:p>
    <w:p w14:paraId="23EA9ABB" w14:textId="77777777"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7A3ED045" w14:textId="77777777" w:rsidR="00640538" w:rsidRPr="00DE7D30" w:rsidRDefault="005319D5"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mc:AlternateContent>
          <mc:Choice Requires="wps">
            <w:drawing>
              <wp:anchor distT="0" distB="0" distL="114300" distR="114300" simplePos="0" relativeHeight="251658240" behindDoc="0" locked="0" layoutInCell="1" allowOverlap="1" wp14:anchorId="5F434C4A" wp14:editId="33D2A6DF">
                <wp:simplePos x="0" y="0"/>
                <wp:positionH relativeFrom="column">
                  <wp:posOffset>-121920</wp:posOffset>
                </wp:positionH>
                <wp:positionV relativeFrom="paragraph">
                  <wp:posOffset>180975</wp:posOffset>
                </wp:positionV>
                <wp:extent cx="13606145" cy="1584325"/>
                <wp:effectExtent l="0" t="0" r="0" b="3175"/>
                <wp:wrapNone/>
                <wp:docPr id="4223082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08E6694E"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0A629793" w14:textId="77777777" w:rsidR="007B54A4" w:rsidRDefault="007B54A4" w:rsidP="00E03C32">
                            <w:pPr>
                              <w:pStyle w:val="BodyText"/>
                              <w:rPr>
                                <w:rFonts w:ascii="Arial" w:hAnsi="Arial" w:cs="Arial"/>
                                <w:color w:val="222222"/>
                                <w:sz w:val="32"/>
                                <w:lang w:val="en-US"/>
                              </w:rPr>
                            </w:pPr>
                          </w:p>
                          <w:p w14:paraId="035DABC3"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3B9304A6" w14:textId="77777777" w:rsidR="00E03C32" w:rsidRPr="00640538" w:rsidRDefault="00E03C32" w:rsidP="00E03C32">
                            <w:pPr>
                              <w:pStyle w:val="BodyText"/>
                              <w:jc w:val="left"/>
                              <w:rPr>
                                <w:rFonts w:ascii="Arial" w:hAnsi="Arial" w:cs="Arial"/>
                                <w:b/>
                                <w:color w:val="222222"/>
                                <w:sz w:val="32"/>
                                <w:lang w:val="en-US"/>
                              </w:rPr>
                            </w:pPr>
                          </w:p>
                          <w:p w14:paraId="12261F9C" w14:textId="77777777" w:rsidR="00E03C32" w:rsidRDefault="00751126" w:rsidP="00E03C32">
                            <w:pPr>
                              <w:pStyle w:val="BodyText"/>
                              <w:jc w:val="left"/>
                              <w:rPr>
                                <w:rFonts w:ascii="Arial" w:hAnsi="Arial" w:cs="Arial"/>
                                <w:b/>
                                <w:color w:val="222222"/>
                                <w:sz w:val="32"/>
                                <w:lang w:val="en-US"/>
                              </w:rPr>
                            </w:pPr>
                            <w:r w:rsidRPr="00751126">
                              <w:rPr>
                                <w:rFonts w:ascii="Arial" w:hAnsi="Arial" w:cs="Arial"/>
                                <w:b/>
                                <w:color w:val="222222"/>
                                <w:sz w:val="32"/>
                                <w:lang w:val="en-US"/>
                              </w:rPr>
                              <w:t>Asian Research Journal of Arts &amp; 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23</w:t>
                            </w:r>
                            <w:r w:rsidR="00E03C32" w:rsidRPr="00640538">
                              <w:rPr>
                                <w:rFonts w:ascii="Arial" w:hAnsi="Arial" w:cs="Arial"/>
                                <w:b/>
                                <w:color w:val="222222"/>
                                <w:sz w:val="32"/>
                                <w:lang w:val="en-US"/>
                              </w:rPr>
                              <w:t>(</w:t>
                            </w:r>
                            <w:r>
                              <w:rPr>
                                <w:rFonts w:ascii="Arial" w:hAnsi="Arial" w:cs="Arial"/>
                                <w:b/>
                                <w:color w:val="222222"/>
                                <w:sz w:val="32"/>
                                <w:lang w:val="en-US"/>
                              </w:rPr>
                              <w:t>8</w:t>
                            </w:r>
                            <w:r w:rsidR="00E03C32" w:rsidRPr="00640538">
                              <w:rPr>
                                <w:rFonts w:ascii="Arial" w:hAnsi="Arial" w:cs="Arial"/>
                                <w:b/>
                                <w:color w:val="222222"/>
                                <w:sz w:val="32"/>
                                <w:lang w:val="en-US"/>
                              </w:rPr>
                              <w:t xml:space="preserve">): </w:t>
                            </w:r>
                            <w:r w:rsidRPr="00751126">
                              <w:rPr>
                                <w:rFonts w:ascii="Arial" w:hAnsi="Arial" w:cs="Arial"/>
                                <w:b/>
                                <w:color w:val="222222"/>
                                <w:sz w:val="32"/>
                                <w:lang w:val="en-US"/>
                              </w:rPr>
                              <w:t>33-47</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B976C33" w14:textId="77777777" w:rsidR="00E03C32" w:rsidRPr="007B54A4" w:rsidRDefault="00751126" w:rsidP="00751126">
                            <w:pPr>
                              <w:pStyle w:val="BodyText"/>
                              <w:jc w:val="left"/>
                              <w:rPr>
                                <w:rFonts w:ascii="Arial" w:hAnsi="Arial" w:cs="Arial"/>
                                <w:b/>
                                <w:color w:val="222222"/>
                                <w:sz w:val="32"/>
                                <w:lang w:val="en-US"/>
                              </w:rPr>
                            </w:pPr>
                            <w:r w:rsidRPr="00751126">
                              <w:rPr>
                                <w:rFonts w:ascii="Arial" w:hAnsi="Arial" w:cs="Arial"/>
                                <w:b/>
                                <w:color w:val="222222"/>
                                <w:sz w:val="32"/>
                                <w:lang w:val="en-US"/>
                              </w:rPr>
                              <w:t>DOI: 10.9734/</w:t>
                            </w:r>
                            <w:proofErr w:type="spellStart"/>
                            <w:r w:rsidRPr="00751126">
                              <w:rPr>
                                <w:rFonts w:ascii="Arial" w:hAnsi="Arial" w:cs="Arial"/>
                                <w:b/>
                                <w:color w:val="222222"/>
                                <w:sz w:val="32"/>
                                <w:lang w:val="en-US"/>
                              </w:rPr>
                              <w:t>arjass</w:t>
                            </w:r>
                            <w:proofErr w:type="spellEnd"/>
                            <w:r w:rsidRPr="00751126">
                              <w:rPr>
                                <w:rFonts w:ascii="Arial" w:hAnsi="Arial" w:cs="Arial"/>
                                <w:b/>
                                <w:color w:val="222222"/>
                                <w:sz w:val="32"/>
                                <w:lang w:val="en-US"/>
                              </w:rPr>
                              <w:t>/2025/v23i8748</w:t>
                            </w:r>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34C4A"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SZAQIAAAwEAAAOAAAAZHJzL2Uyb0RvYy54bWysU9uO0zAQfUfiHyy/0yTdtnSjpiu0SxHS&#10;cpEWPsBxnMbC8Zix22T5esZOt1sB4gHhB2vGMz6eOXO8uRl7w44KvQZb8WKWc6ashEbbfcW/ftm9&#10;WnPmg7CNMGBVxR+V5zfbly82gyvVHDowjUJGINaXg6t4F4Irs8zLTvXCz8ApS8EWsBeBXNxnDYqB&#10;0HuTzfN8lQ2AjUOQyns6vZuCfJvw21bJ8KltvQrMVJxqC2nHtNdxz7YbUe5RuE7LUxniH6rohbb0&#10;6BnqTgTBDqh/g+q1RPDQhpmEPoO21VKlHqibIv+lm4dOOJV6IXK8O9Pk/x+s/Hh8cJ8xlu7dPchv&#10;nhjJBufLcyQ6nnJYPXyAhmYoDgFSs2OLfbxJbbAxcfp45lSNgUk6LK5W+apYLDmTFCyW68XVfBlp&#10;z0T5dN+hD+8U9CwaFUeaWsIXx3sfptSnlFQoGN3stDHJwX19a5AdBU14l9YJ3V+mGcuGil8v6e2/&#10;Q+Rp/Qmi14GkanRf8fU5SZSdEs1b2yQhBaHNZFN3xp6YjORFQfoyjPVIidGsoXkkThEmSdIXIqMD&#10;/MHZQHKsuP9+EKg4M+8tzfu6WCyifpOzWL6ek4OXkfoyIqwkqIoHzibzNkyaPzjU+45eKhINFt7Q&#10;LFudSH6u6lQ3SS6N6fQ9oqYv/ZT1/Im3PwEAAP//AwBQSwMEFAAGAAgAAAAhALu+i1LjAAAACwEA&#10;AA8AAABkcnMvZG93bnJldi54bWxMj01Lw0AQhu+C/2EZwUtpN9lSG9NsighSEMTa1vs2u01Cs7Mx&#10;u/nw3zue9PYO8/DOM9l2sg0bTOdrhxLiRQTMYOF0jaWE0/FlngDzQaFWjUMj4dt42Oa3N5lKtRvx&#10;wwyHUDIqQZ8qCVUIbcq5LypjlV+41iDtLq6zKtDYlVx3aqRy23ARRQ/cqhrpQqVa81yZ4nrorYTZ&#10;aXfs19f97q37Wn6+vrfjapjtpby/m542wIKZwh8Mv/qkDjk5nV2P2rNGwjx+FIRKEMkKGAEiFktK&#10;Z0rrJAKeZ/z/D/kPAAAA//8DAFBLAQItABQABgAIAAAAIQC2gziS/gAAAOEBAAATAAAAAAAAAAAA&#10;AAAAAAAAAABbQ29udGVudF9UeXBlc10ueG1sUEsBAi0AFAAGAAgAAAAhADj9If/WAAAAlAEAAAsA&#10;AAAAAAAAAAAAAAAALwEAAF9yZWxzLy5yZWxzUEsBAi0AFAAGAAgAAAAhAOy+pJkBAgAADAQAAA4A&#10;AAAAAAAAAAAAAAAALgIAAGRycy9lMm9Eb2MueG1sUEsBAi0AFAAGAAgAAAAhALu+i1LjAAAACwEA&#10;AA8AAAAAAAAAAAAAAAAAWwQAAGRycy9kb3ducmV2LnhtbFBLBQYAAAAABAAEAPMAAABrBQAAAAA=&#10;">
                <v:path arrowok="t"/>
                <v:textbox>
                  <w:txbxContent>
                    <w:p w14:paraId="08E6694E"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0A629793" w14:textId="77777777" w:rsidR="007B54A4" w:rsidRDefault="007B54A4" w:rsidP="00E03C32">
                      <w:pPr>
                        <w:pStyle w:val="BodyText"/>
                        <w:rPr>
                          <w:rFonts w:ascii="Arial" w:hAnsi="Arial" w:cs="Arial"/>
                          <w:color w:val="222222"/>
                          <w:sz w:val="32"/>
                          <w:lang w:val="en-US"/>
                        </w:rPr>
                      </w:pPr>
                    </w:p>
                    <w:p w14:paraId="035DABC3"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3B9304A6" w14:textId="77777777" w:rsidR="00E03C32" w:rsidRPr="00640538" w:rsidRDefault="00E03C32" w:rsidP="00E03C32">
                      <w:pPr>
                        <w:pStyle w:val="BodyText"/>
                        <w:jc w:val="left"/>
                        <w:rPr>
                          <w:rFonts w:ascii="Arial" w:hAnsi="Arial" w:cs="Arial"/>
                          <w:b/>
                          <w:color w:val="222222"/>
                          <w:sz w:val="32"/>
                          <w:lang w:val="en-US"/>
                        </w:rPr>
                      </w:pPr>
                    </w:p>
                    <w:p w14:paraId="12261F9C" w14:textId="77777777" w:rsidR="00E03C32" w:rsidRDefault="00751126" w:rsidP="00E03C32">
                      <w:pPr>
                        <w:pStyle w:val="BodyText"/>
                        <w:jc w:val="left"/>
                        <w:rPr>
                          <w:rFonts w:ascii="Arial" w:hAnsi="Arial" w:cs="Arial"/>
                          <w:b/>
                          <w:color w:val="222222"/>
                          <w:sz w:val="32"/>
                          <w:lang w:val="en-US"/>
                        </w:rPr>
                      </w:pPr>
                      <w:r w:rsidRPr="00751126">
                        <w:rPr>
                          <w:rFonts w:ascii="Arial" w:hAnsi="Arial" w:cs="Arial"/>
                          <w:b/>
                          <w:color w:val="222222"/>
                          <w:sz w:val="32"/>
                          <w:lang w:val="en-US"/>
                        </w:rPr>
                        <w:t>Asian Research Journal of Arts &amp; 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23</w:t>
                      </w:r>
                      <w:r w:rsidR="00E03C32" w:rsidRPr="00640538">
                        <w:rPr>
                          <w:rFonts w:ascii="Arial" w:hAnsi="Arial" w:cs="Arial"/>
                          <w:b/>
                          <w:color w:val="222222"/>
                          <w:sz w:val="32"/>
                          <w:lang w:val="en-US"/>
                        </w:rPr>
                        <w:t>(</w:t>
                      </w:r>
                      <w:r>
                        <w:rPr>
                          <w:rFonts w:ascii="Arial" w:hAnsi="Arial" w:cs="Arial"/>
                          <w:b/>
                          <w:color w:val="222222"/>
                          <w:sz w:val="32"/>
                          <w:lang w:val="en-US"/>
                        </w:rPr>
                        <w:t>8</w:t>
                      </w:r>
                      <w:r w:rsidR="00E03C32" w:rsidRPr="00640538">
                        <w:rPr>
                          <w:rFonts w:ascii="Arial" w:hAnsi="Arial" w:cs="Arial"/>
                          <w:b/>
                          <w:color w:val="222222"/>
                          <w:sz w:val="32"/>
                          <w:lang w:val="en-US"/>
                        </w:rPr>
                        <w:t xml:space="preserve">): </w:t>
                      </w:r>
                      <w:r w:rsidRPr="00751126">
                        <w:rPr>
                          <w:rFonts w:ascii="Arial" w:hAnsi="Arial" w:cs="Arial"/>
                          <w:b/>
                          <w:color w:val="222222"/>
                          <w:sz w:val="32"/>
                          <w:lang w:val="en-US"/>
                        </w:rPr>
                        <w:t>33-47</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B976C33" w14:textId="77777777" w:rsidR="00E03C32" w:rsidRPr="007B54A4" w:rsidRDefault="00751126" w:rsidP="00751126">
                      <w:pPr>
                        <w:pStyle w:val="BodyText"/>
                        <w:jc w:val="left"/>
                        <w:rPr>
                          <w:rFonts w:ascii="Arial" w:hAnsi="Arial" w:cs="Arial"/>
                          <w:b/>
                          <w:color w:val="222222"/>
                          <w:sz w:val="32"/>
                          <w:lang w:val="en-US"/>
                        </w:rPr>
                      </w:pPr>
                      <w:r w:rsidRPr="00751126">
                        <w:rPr>
                          <w:rFonts w:ascii="Arial" w:hAnsi="Arial" w:cs="Arial"/>
                          <w:b/>
                          <w:color w:val="222222"/>
                          <w:sz w:val="32"/>
                          <w:lang w:val="en-US"/>
                        </w:rPr>
                        <w:t>DOI: 10.9734/</w:t>
                      </w:r>
                      <w:proofErr w:type="spellStart"/>
                      <w:r w:rsidRPr="00751126">
                        <w:rPr>
                          <w:rFonts w:ascii="Arial" w:hAnsi="Arial" w:cs="Arial"/>
                          <w:b/>
                          <w:color w:val="222222"/>
                          <w:sz w:val="32"/>
                          <w:lang w:val="en-US"/>
                        </w:rPr>
                        <w:t>arjass</w:t>
                      </w:r>
                      <w:proofErr w:type="spellEnd"/>
                      <w:r w:rsidRPr="00751126">
                        <w:rPr>
                          <w:rFonts w:ascii="Arial" w:hAnsi="Arial" w:cs="Arial"/>
                          <w:b/>
                          <w:color w:val="222222"/>
                          <w:sz w:val="32"/>
                          <w:lang w:val="en-US"/>
                        </w:rPr>
                        <w:t>/2025/v23i8748</w:t>
                      </w:r>
                      <w:r>
                        <w:rPr>
                          <w:rFonts w:ascii="Arial" w:hAnsi="Arial" w:cs="Arial"/>
                          <w:b/>
                          <w:color w:val="222222"/>
                          <w:sz w:val="32"/>
                          <w:lang w:val="en-US"/>
                        </w:rPr>
                        <w:t xml:space="preserve"> </w:t>
                      </w:r>
                    </w:p>
                  </w:txbxContent>
                </v:textbox>
              </v:rect>
            </w:pict>
          </mc:Fallback>
        </mc:AlternateContent>
      </w:r>
    </w:p>
    <w:p w14:paraId="56C8ED30"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754029AB"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64C6B753" w14:textId="77777777" w:rsidTr="007222C8">
        <w:tc>
          <w:tcPr>
            <w:tcW w:w="5000" w:type="pct"/>
            <w:gridSpan w:val="3"/>
            <w:tcBorders>
              <w:top w:val="nil"/>
              <w:left w:val="nil"/>
              <w:right w:val="nil"/>
            </w:tcBorders>
            <w:noWrap/>
          </w:tcPr>
          <w:p w14:paraId="398B8027"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37C03BE6" w14:textId="77777777" w:rsidR="00F1171E" w:rsidRPr="00900E9B" w:rsidRDefault="00F1171E" w:rsidP="007222C8">
            <w:pPr>
              <w:rPr>
                <w:sz w:val="20"/>
                <w:szCs w:val="20"/>
                <w:lang w:val="en-GB"/>
              </w:rPr>
            </w:pPr>
          </w:p>
        </w:tc>
      </w:tr>
      <w:tr w:rsidR="00F1171E" w:rsidRPr="00900E9B" w14:paraId="43380F7F" w14:textId="77777777" w:rsidTr="007222C8">
        <w:tc>
          <w:tcPr>
            <w:tcW w:w="1265" w:type="pct"/>
            <w:noWrap/>
          </w:tcPr>
          <w:p w14:paraId="3673E403" w14:textId="77777777" w:rsidR="00F1171E" w:rsidRPr="00900E9B" w:rsidRDefault="00F1171E" w:rsidP="007222C8">
            <w:pPr>
              <w:pStyle w:val="Heading2"/>
              <w:jc w:val="left"/>
              <w:rPr>
                <w:rFonts w:ascii="Times New Roman" w:hAnsi="Times New Roman"/>
                <w:lang w:val="en-GB"/>
              </w:rPr>
            </w:pPr>
          </w:p>
        </w:tc>
        <w:tc>
          <w:tcPr>
            <w:tcW w:w="2212" w:type="pct"/>
          </w:tcPr>
          <w:p w14:paraId="16FF2068"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731A3881" w14:textId="77777777" w:rsidR="00421DBF" w:rsidRPr="00421DBF" w:rsidRDefault="00421DBF" w:rsidP="00933A6F">
            <w:pPr>
              <w:rPr>
                <w:lang w:val="en-GB"/>
              </w:rPr>
            </w:pPr>
          </w:p>
        </w:tc>
        <w:tc>
          <w:tcPr>
            <w:tcW w:w="1523" w:type="pct"/>
          </w:tcPr>
          <w:p w14:paraId="4FF69ED4"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4C5C6478" w14:textId="77777777" w:rsidTr="007222C8">
        <w:trPr>
          <w:trHeight w:val="1264"/>
        </w:trPr>
        <w:tc>
          <w:tcPr>
            <w:tcW w:w="1265" w:type="pct"/>
            <w:noWrap/>
          </w:tcPr>
          <w:p w14:paraId="58B744DD"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9D9C84D" w14:textId="77777777" w:rsidR="00F1171E" w:rsidRPr="00900E9B" w:rsidRDefault="00F1171E" w:rsidP="007222C8">
            <w:pPr>
              <w:ind w:left="360"/>
              <w:rPr>
                <w:rFonts w:eastAsia="MS Mincho"/>
                <w:b/>
                <w:bCs/>
                <w:sz w:val="20"/>
                <w:szCs w:val="20"/>
                <w:lang w:val="en-GB"/>
              </w:rPr>
            </w:pPr>
          </w:p>
        </w:tc>
        <w:tc>
          <w:tcPr>
            <w:tcW w:w="2212" w:type="pct"/>
          </w:tcPr>
          <w:p w14:paraId="02E5E8AD" w14:textId="77777777" w:rsidR="00F1171E" w:rsidRPr="00900E9B" w:rsidRDefault="00F1171E" w:rsidP="007222C8">
            <w:pPr>
              <w:pStyle w:val="ListParagraph"/>
              <w:ind w:left="0"/>
              <w:rPr>
                <w:b/>
                <w:bCs/>
                <w:sz w:val="20"/>
                <w:szCs w:val="20"/>
                <w:lang w:val="en-GB"/>
              </w:rPr>
            </w:pPr>
          </w:p>
        </w:tc>
        <w:tc>
          <w:tcPr>
            <w:tcW w:w="1523" w:type="pct"/>
          </w:tcPr>
          <w:p w14:paraId="491BD8E3" w14:textId="77777777" w:rsidR="00F1171E" w:rsidRPr="00900E9B" w:rsidRDefault="00F1171E" w:rsidP="007222C8">
            <w:pPr>
              <w:pStyle w:val="Heading2"/>
              <w:jc w:val="left"/>
              <w:rPr>
                <w:rFonts w:ascii="Times New Roman" w:hAnsi="Times New Roman"/>
                <w:b w:val="0"/>
                <w:lang w:val="en-GB"/>
              </w:rPr>
            </w:pPr>
          </w:p>
        </w:tc>
      </w:tr>
      <w:tr w:rsidR="00F1171E" w:rsidRPr="00900E9B" w14:paraId="5673CF34" w14:textId="77777777" w:rsidTr="007222C8">
        <w:trPr>
          <w:trHeight w:val="1262"/>
        </w:trPr>
        <w:tc>
          <w:tcPr>
            <w:tcW w:w="1265" w:type="pct"/>
            <w:noWrap/>
          </w:tcPr>
          <w:p w14:paraId="0F871E92"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4DAC8BBF"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6F7A0DE1" w14:textId="77777777" w:rsidR="00F1171E" w:rsidRPr="00900E9B" w:rsidRDefault="00F1171E" w:rsidP="007222C8">
            <w:pPr>
              <w:pStyle w:val="Heading2"/>
              <w:jc w:val="left"/>
              <w:rPr>
                <w:rFonts w:ascii="Times New Roman" w:hAnsi="Times New Roman"/>
                <w:u w:val="single"/>
                <w:lang w:val="en-GB"/>
              </w:rPr>
            </w:pPr>
          </w:p>
        </w:tc>
        <w:tc>
          <w:tcPr>
            <w:tcW w:w="2212" w:type="pct"/>
          </w:tcPr>
          <w:p w14:paraId="3873555E" w14:textId="77777777" w:rsidR="00F1171E" w:rsidRPr="00900E9B" w:rsidRDefault="005319D5" w:rsidP="007222C8">
            <w:pPr>
              <w:ind w:left="360"/>
              <w:rPr>
                <w:b/>
                <w:bCs/>
                <w:sz w:val="20"/>
                <w:szCs w:val="20"/>
                <w:lang w:val="en-GB"/>
              </w:rPr>
            </w:pPr>
            <w:r>
              <w:rPr>
                <w:b/>
                <w:bCs/>
                <w:sz w:val="20"/>
                <w:szCs w:val="20"/>
                <w:lang w:val="en-GB"/>
              </w:rPr>
              <w:t>Yes.</w:t>
            </w:r>
          </w:p>
        </w:tc>
        <w:tc>
          <w:tcPr>
            <w:tcW w:w="1523" w:type="pct"/>
          </w:tcPr>
          <w:p w14:paraId="3B9ECEE4" w14:textId="77777777" w:rsidR="00F1171E" w:rsidRPr="00900E9B" w:rsidRDefault="00F1171E" w:rsidP="007222C8">
            <w:pPr>
              <w:pStyle w:val="Heading2"/>
              <w:jc w:val="left"/>
              <w:rPr>
                <w:rFonts w:ascii="Times New Roman" w:hAnsi="Times New Roman"/>
                <w:b w:val="0"/>
                <w:lang w:val="en-GB"/>
              </w:rPr>
            </w:pPr>
          </w:p>
        </w:tc>
      </w:tr>
      <w:tr w:rsidR="00F1171E" w:rsidRPr="00900E9B" w14:paraId="414EFCA1" w14:textId="77777777" w:rsidTr="007222C8">
        <w:trPr>
          <w:trHeight w:val="1262"/>
        </w:trPr>
        <w:tc>
          <w:tcPr>
            <w:tcW w:w="1265" w:type="pct"/>
            <w:noWrap/>
          </w:tcPr>
          <w:p w14:paraId="33E0D795"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53BB32DD" w14:textId="77777777" w:rsidR="00F1171E" w:rsidRPr="00900E9B" w:rsidRDefault="00F1171E" w:rsidP="007222C8">
            <w:pPr>
              <w:pStyle w:val="Heading2"/>
              <w:jc w:val="left"/>
              <w:rPr>
                <w:rFonts w:ascii="Times New Roman" w:hAnsi="Times New Roman"/>
                <w:u w:val="single"/>
                <w:lang w:val="en-GB"/>
              </w:rPr>
            </w:pPr>
          </w:p>
        </w:tc>
        <w:tc>
          <w:tcPr>
            <w:tcW w:w="2212" w:type="pct"/>
          </w:tcPr>
          <w:p w14:paraId="4F9B29EB" w14:textId="77777777" w:rsidR="00F1171E" w:rsidRPr="00900E9B" w:rsidRDefault="005319D5" w:rsidP="007222C8">
            <w:pPr>
              <w:ind w:left="360"/>
              <w:rPr>
                <w:b/>
                <w:bCs/>
                <w:sz w:val="20"/>
                <w:szCs w:val="20"/>
                <w:lang w:val="en-GB"/>
              </w:rPr>
            </w:pPr>
            <w:r>
              <w:rPr>
                <w:b/>
                <w:bCs/>
                <w:sz w:val="20"/>
                <w:szCs w:val="20"/>
                <w:lang w:val="en-GB"/>
              </w:rPr>
              <w:t>Yes</w:t>
            </w:r>
            <w:r w:rsidR="00B30A75">
              <w:rPr>
                <w:b/>
                <w:bCs/>
                <w:sz w:val="20"/>
                <w:szCs w:val="20"/>
                <w:lang w:val="en-GB"/>
              </w:rPr>
              <w:t>, except that it appears that there will be case studies – the article actually does not present case studies, and it would be important if it would</w:t>
            </w:r>
            <w:r>
              <w:rPr>
                <w:b/>
                <w:bCs/>
                <w:sz w:val="20"/>
                <w:szCs w:val="20"/>
                <w:lang w:val="en-GB"/>
              </w:rPr>
              <w:t xml:space="preserve">. </w:t>
            </w:r>
            <w:r w:rsidR="00E915EC">
              <w:rPr>
                <w:b/>
                <w:bCs/>
                <w:sz w:val="20"/>
                <w:szCs w:val="20"/>
                <w:lang w:val="en-GB"/>
              </w:rPr>
              <w:t>The named case studies in the abstract receive little attention, though this could be valuable.</w:t>
            </w:r>
          </w:p>
        </w:tc>
        <w:tc>
          <w:tcPr>
            <w:tcW w:w="1523" w:type="pct"/>
          </w:tcPr>
          <w:p w14:paraId="0EA3E9DA" w14:textId="77777777" w:rsidR="00F1171E" w:rsidRPr="00900E9B" w:rsidRDefault="00F1171E" w:rsidP="007222C8">
            <w:pPr>
              <w:pStyle w:val="Heading2"/>
              <w:jc w:val="left"/>
              <w:rPr>
                <w:rFonts w:ascii="Times New Roman" w:hAnsi="Times New Roman"/>
                <w:b w:val="0"/>
                <w:lang w:val="en-GB"/>
              </w:rPr>
            </w:pPr>
          </w:p>
        </w:tc>
      </w:tr>
      <w:tr w:rsidR="00F1171E" w:rsidRPr="00900E9B" w14:paraId="5AD64B69" w14:textId="77777777" w:rsidTr="007222C8">
        <w:trPr>
          <w:trHeight w:val="859"/>
        </w:trPr>
        <w:tc>
          <w:tcPr>
            <w:tcW w:w="1265" w:type="pct"/>
            <w:noWrap/>
          </w:tcPr>
          <w:p w14:paraId="0E3E7B51" w14:textId="77777777"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0E0D8934" w14:textId="77777777" w:rsidR="00713B84" w:rsidRDefault="00713B84" w:rsidP="007222C8">
            <w:pPr>
              <w:pStyle w:val="ListParagraph"/>
              <w:ind w:left="0"/>
              <w:rPr>
                <w:b/>
                <w:bCs/>
                <w:sz w:val="20"/>
                <w:szCs w:val="20"/>
                <w:lang w:val="en-GB"/>
              </w:rPr>
            </w:pPr>
            <w:r>
              <w:rPr>
                <w:b/>
                <w:bCs/>
                <w:sz w:val="20"/>
                <w:szCs w:val="20"/>
                <w:lang w:val="en-GB"/>
              </w:rPr>
              <w:t xml:space="preserve">The article draws on a range of scholarship, which is reflected accurately. </w:t>
            </w:r>
          </w:p>
          <w:p w14:paraId="38553AE6" w14:textId="77777777" w:rsidR="00B30A75" w:rsidRDefault="00B30A75" w:rsidP="007222C8">
            <w:pPr>
              <w:pStyle w:val="ListParagraph"/>
              <w:ind w:left="0"/>
              <w:rPr>
                <w:b/>
                <w:bCs/>
                <w:sz w:val="20"/>
                <w:szCs w:val="20"/>
                <w:lang w:val="en-GB"/>
              </w:rPr>
            </w:pPr>
            <w:r>
              <w:rPr>
                <w:b/>
                <w:bCs/>
                <w:sz w:val="20"/>
                <w:szCs w:val="20"/>
                <w:lang w:val="en-GB"/>
              </w:rPr>
              <w:t xml:space="preserve">It would be really valuable to have discussion of case studies/historical and current experience. </w:t>
            </w:r>
            <w:r w:rsidR="000136AB">
              <w:rPr>
                <w:b/>
                <w:bCs/>
                <w:sz w:val="20"/>
                <w:szCs w:val="20"/>
                <w:lang w:val="en-GB"/>
              </w:rPr>
              <w:t xml:space="preserve">Currently there are references to situations, but these are not discussed or described. </w:t>
            </w:r>
            <w:r>
              <w:rPr>
                <w:b/>
                <w:bCs/>
                <w:sz w:val="20"/>
                <w:szCs w:val="20"/>
                <w:lang w:val="en-GB"/>
              </w:rPr>
              <w:t>Alternatively,</w:t>
            </w:r>
            <w:r w:rsidR="004B278A">
              <w:rPr>
                <w:b/>
                <w:bCs/>
                <w:sz w:val="20"/>
                <w:szCs w:val="20"/>
                <w:lang w:val="en-GB"/>
              </w:rPr>
              <w:t xml:space="preserve"> it would be important</w:t>
            </w:r>
            <w:r>
              <w:rPr>
                <w:b/>
                <w:bCs/>
                <w:sz w:val="20"/>
                <w:szCs w:val="20"/>
                <w:lang w:val="en-GB"/>
              </w:rPr>
              <w:t xml:space="preserve"> to frame this clearly as a conceptual exercise which does not enter into discussion of prior examples or current conflict situations. The article would be so much stronger if its purpose was matched either with discussion of how examples show good and poor practice working, or if </w:t>
            </w:r>
            <w:proofErr w:type="gramStart"/>
            <w:r>
              <w:rPr>
                <w:b/>
                <w:bCs/>
                <w:sz w:val="20"/>
                <w:szCs w:val="20"/>
                <w:lang w:val="en-GB"/>
              </w:rPr>
              <w:t>there</w:t>
            </w:r>
            <w:proofErr w:type="gramEnd"/>
            <w:r>
              <w:rPr>
                <w:b/>
                <w:bCs/>
                <w:sz w:val="20"/>
                <w:szCs w:val="20"/>
                <w:lang w:val="en-GB"/>
              </w:rPr>
              <w:t xml:space="preserve"> purpose was clearly identified as conceptual, a necessary preparatory step for practitioners but not an engagement with practice.</w:t>
            </w:r>
          </w:p>
          <w:p w14:paraId="38C16D6F" w14:textId="77777777" w:rsidR="009A191B" w:rsidRDefault="00713B84" w:rsidP="007222C8">
            <w:pPr>
              <w:pStyle w:val="ListParagraph"/>
              <w:ind w:left="0"/>
              <w:rPr>
                <w:b/>
                <w:bCs/>
                <w:sz w:val="20"/>
                <w:szCs w:val="20"/>
                <w:lang w:val="en-GB"/>
              </w:rPr>
            </w:pPr>
            <w:r>
              <w:rPr>
                <w:b/>
                <w:bCs/>
                <w:sz w:val="20"/>
                <w:szCs w:val="20"/>
                <w:lang w:val="en-GB"/>
              </w:rPr>
              <w:t xml:space="preserve">It is possible that readers will agree with the position outlined that a </w:t>
            </w:r>
            <w:r w:rsidR="00DF2D6F">
              <w:rPr>
                <w:b/>
                <w:bCs/>
                <w:sz w:val="20"/>
                <w:szCs w:val="20"/>
                <w:lang w:val="en-GB"/>
              </w:rPr>
              <w:t xml:space="preserve">foundation that is philosophical, ethical and African will be of transformative value, evading the existing political obstacles. But it would be more convincing to all readers if this was demonstrated historically, or validated by explaining how it will have an impact on political processes and actors. </w:t>
            </w:r>
          </w:p>
          <w:p w14:paraId="6F901A08" w14:textId="77777777" w:rsidR="00DF2D6F" w:rsidRDefault="00DF2D6F" w:rsidP="007222C8">
            <w:pPr>
              <w:pStyle w:val="ListParagraph"/>
              <w:ind w:left="0"/>
              <w:rPr>
                <w:b/>
                <w:bCs/>
                <w:sz w:val="20"/>
                <w:szCs w:val="20"/>
                <w:lang w:val="en-GB"/>
              </w:rPr>
            </w:pPr>
            <w:r>
              <w:rPr>
                <w:b/>
                <w:bCs/>
                <w:sz w:val="20"/>
                <w:szCs w:val="20"/>
                <w:lang w:val="en-GB"/>
              </w:rPr>
              <w:t>The article sees ubuntu as a common African heritage. It would be useful to be clearer about how this can be seen, for the reader who wonders if it is so.</w:t>
            </w:r>
          </w:p>
          <w:p w14:paraId="06439587" w14:textId="77777777" w:rsidR="00DF2D6F" w:rsidRDefault="00647CB2" w:rsidP="007222C8">
            <w:pPr>
              <w:pStyle w:val="ListParagraph"/>
              <w:ind w:left="0"/>
              <w:rPr>
                <w:b/>
                <w:bCs/>
                <w:sz w:val="20"/>
                <w:szCs w:val="20"/>
                <w:lang w:val="en-GB"/>
              </w:rPr>
            </w:pPr>
            <w:r>
              <w:rPr>
                <w:b/>
                <w:bCs/>
                <w:sz w:val="20"/>
                <w:szCs w:val="20"/>
                <w:lang w:val="en-GB"/>
              </w:rPr>
              <w:t xml:space="preserve">The case studies which show that religious leadership councils have played a role in building peace may be understood in two ways: either as demonstrating a transformative and authentic </w:t>
            </w:r>
            <w:proofErr w:type="spellStart"/>
            <w:r>
              <w:rPr>
                <w:b/>
                <w:bCs/>
                <w:sz w:val="20"/>
                <w:szCs w:val="20"/>
                <w:lang w:val="en-GB"/>
              </w:rPr>
              <w:t>embdeed</w:t>
            </w:r>
            <w:proofErr w:type="spellEnd"/>
            <w:r>
              <w:rPr>
                <w:b/>
                <w:bCs/>
                <w:sz w:val="20"/>
                <w:szCs w:val="20"/>
                <w:lang w:val="en-GB"/>
              </w:rPr>
              <w:t xml:space="preserve"> cultural form, or as playing distinctive political roles allocated to religious leaders as political actors. This could be addressed explicitly.</w:t>
            </w:r>
          </w:p>
          <w:p w14:paraId="69CC0FD1" w14:textId="77777777" w:rsidR="00647CB2" w:rsidRDefault="0097281C" w:rsidP="007222C8">
            <w:pPr>
              <w:pStyle w:val="ListParagraph"/>
              <w:ind w:left="0"/>
              <w:rPr>
                <w:b/>
                <w:bCs/>
                <w:sz w:val="20"/>
                <w:szCs w:val="20"/>
                <w:lang w:val="en-GB"/>
              </w:rPr>
            </w:pPr>
            <w:r>
              <w:rPr>
                <w:b/>
                <w:bCs/>
                <w:sz w:val="20"/>
                <w:szCs w:val="20"/>
                <w:lang w:val="en-GB"/>
              </w:rPr>
              <w:t xml:space="preserve">It would help to include comment on cases where the limits to interreligious dialogue for peacebuilding were met, or the limits to the use of religion in peacebuilding were met. </w:t>
            </w:r>
          </w:p>
          <w:p w14:paraId="5487B278" w14:textId="77777777" w:rsidR="0097281C" w:rsidRDefault="0097281C" w:rsidP="007222C8">
            <w:pPr>
              <w:pStyle w:val="ListParagraph"/>
              <w:ind w:left="0"/>
              <w:rPr>
                <w:b/>
                <w:bCs/>
                <w:sz w:val="20"/>
                <w:szCs w:val="20"/>
                <w:lang w:val="en-GB"/>
              </w:rPr>
            </w:pPr>
            <w:r>
              <w:rPr>
                <w:b/>
                <w:bCs/>
                <w:sz w:val="20"/>
                <w:szCs w:val="20"/>
                <w:lang w:val="en-GB"/>
              </w:rPr>
              <w:t>For instance, there is a critical literature on the use of religion by Desmond Tutu in the TRC, and relatedly on his approach to victim rights, and on the use of amnesties. Would this critique be shared in other African conflict/post-conflict situations?</w:t>
            </w:r>
            <w:r w:rsidR="00DE501E">
              <w:rPr>
                <w:b/>
                <w:bCs/>
                <w:sz w:val="20"/>
                <w:szCs w:val="20"/>
                <w:lang w:val="en-GB"/>
              </w:rPr>
              <w:t xml:space="preserve"> Is the South African model widely accepted as </w:t>
            </w:r>
            <w:proofErr w:type="spellStart"/>
            <w:r w:rsidR="00DE501E">
              <w:rPr>
                <w:b/>
                <w:bCs/>
                <w:sz w:val="20"/>
                <w:szCs w:val="20"/>
                <w:lang w:val="en-GB"/>
              </w:rPr>
              <w:t>theAfrican</w:t>
            </w:r>
            <w:proofErr w:type="spellEnd"/>
            <w:r w:rsidR="00DE501E">
              <w:rPr>
                <w:b/>
                <w:bCs/>
                <w:sz w:val="20"/>
                <w:szCs w:val="20"/>
                <w:lang w:val="en-GB"/>
              </w:rPr>
              <w:t xml:space="preserve"> model, or should care be taken to examine the experience and potential for developing approaches across the continent?</w:t>
            </w:r>
          </w:p>
          <w:p w14:paraId="74D694DC" w14:textId="77777777" w:rsidR="00DE501E" w:rsidRDefault="00C410FA" w:rsidP="007222C8">
            <w:pPr>
              <w:pStyle w:val="ListParagraph"/>
              <w:ind w:left="0"/>
              <w:rPr>
                <w:b/>
                <w:bCs/>
                <w:sz w:val="20"/>
                <w:szCs w:val="20"/>
                <w:lang w:val="en-GB"/>
              </w:rPr>
            </w:pPr>
            <w:r>
              <w:rPr>
                <w:b/>
                <w:bCs/>
                <w:sz w:val="20"/>
                <w:szCs w:val="20"/>
                <w:lang w:val="en-GB"/>
              </w:rPr>
              <w:t>“</w:t>
            </w:r>
            <w:r>
              <w:t>State actors must recognize the moral and cultural authority of religious institutions and integrate them as partners in policymaking (Boutros-Ghali, 1995).”</w:t>
            </w:r>
          </w:p>
          <w:p w14:paraId="6719B202" w14:textId="77777777" w:rsidR="0097281C" w:rsidRDefault="00C410FA" w:rsidP="007222C8">
            <w:pPr>
              <w:pStyle w:val="ListParagraph"/>
              <w:ind w:left="0"/>
              <w:rPr>
                <w:b/>
                <w:bCs/>
                <w:sz w:val="20"/>
                <w:szCs w:val="20"/>
                <w:lang w:val="en-GB"/>
              </w:rPr>
            </w:pPr>
            <w:r>
              <w:rPr>
                <w:b/>
                <w:bCs/>
                <w:sz w:val="20"/>
                <w:szCs w:val="20"/>
                <w:lang w:val="en-GB"/>
              </w:rPr>
              <w:t>Should state actors be careful not to allocate an assumed authority which may be contested and which may not properly describe relationships between religious institutions and communities and affected individuals?</w:t>
            </w:r>
          </w:p>
          <w:p w14:paraId="5FCEDAC1" w14:textId="77777777" w:rsidR="00A85258" w:rsidRPr="00483DAE" w:rsidRDefault="00A85258" w:rsidP="007222C8">
            <w:pPr>
              <w:pStyle w:val="ListParagraph"/>
              <w:ind w:left="0"/>
              <w:rPr>
                <w:b/>
                <w:bCs/>
                <w:sz w:val="20"/>
                <w:szCs w:val="20"/>
                <w:lang w:val="en-GB"/>
              </w:rPr>
            </w:pPr>
          </w:p>
          <w:p w14:paraId="1DAB0AC3" w14:textId="77777777" w:rsidR="001B3169" w:rsidRDefault="00365EC7" w:rsidP="007222C8">
            <w:pPr>
              <w:pStyle w:val="ListParagraph"/>
              <w:ind w:left="0"/>
              <w:rPr>
                <w:b/>
                <w:bCs/>
                <w:sz w:val="20"/>
                <w:szCs w:val="20"/>
                <w:lang w:val="en-GB"/>
              </w:rPr>
            </w:pPr>
            <w:r w:rsidRPr="00483DAE">
              <w:rPr>
                <w:b/>
                <w:bCs/>
                <w:sz w:val="20"/>
                <w:szCs w:val="20"/>
                <w:lang w:val="en-GB"/>
              </w:rPr>
              <w:t>The term ‘post-conflict’ is a challenged term in the peacebuilding literature. It has classically been seen to imply the end of armed violence and an assumed end to conflict in a political process. This would</w:t>
            </w:r>
            <w:r>
              <w:rPr>
                <w:b/>
                <w:bCs/>
                <w:sz w:val="20"/>
                <w:szCs w:val="20"/>
                <w:lang w:val="en-GB"/>
              </w:rPr>
              <w:t xml:space="preserve"> be </w:t>
            </w:r>
            <w:r>
              <w:rPr>
                <w:b/>
                <w:bCs/>
                <w:sz w:val="20"/>
                <w:szCs w:val="20"/>
                <w:lang w:val="en-GB"/>
              </w:rPr>
              <w:lastRenderedPageBreak/>
              <w:t xml:space="preserve">critiqued as a liberal approach to peacebuilding, or as carrying liberal assumptions about state building. The literature on conflict transformation would assume there is a continuing conflict after armed violence ends, and that the conflict needs to be seen and engaged with for parties and affected populations to see justice. This would mean that interreligious peacebuilding and religious actors have to be seen in their relation to the nature of ongoing conflicts, and not be assumed to be objective or distant in order to be valuable. </w:t>
            </w:r>
          </w:p>
          <w:p w14:paraId="45C89CDA" w14:textId="77777777" w:rsidR="00C410FA" w:rsidRDefault="00C410FA" w:rsidP="007222C8">
            <w:pPr>
              <w:pStyle w:val="ListParagraph"/>
              <w:ind w:left="0"/>
              <w:rPr>
                <w:b/>
                <w:bCs/>
                <w:sz w:val="20"/>
                <w:szCs w:val="20"/>
                <w:lang w:val="en-GB"/>
              </w:rPr>
            </w:pPr>
          </w:p>
          <w:p w14:paraId="3C363202" w14:textId="77777777" w:rsidR="00C410FA" w:rsidRDefault="00C410FA" w:rsidP="007222C8">
            <w:pPr>
              <w:pStyle w:val="ListParagraph"/>
              <w:ind w:left="0"/>
              <w:rPr>
                <w:b/>
                <w:bCs/>
                <w:sz w:val="20"/>
                <w:szCs w:val="20"/>
                <w:lang w:val="en-GB"/>
              </w:rPr>
            </w:pPr>
          </w:p>
          <w:p w14:paraId="06295644" w14:textId="77777777" w:rsidR="00DF2D6F" w:rsidRPr="00900E9B" w:rsidRDefault="00DF2D6F" w:rsidP="007222C8">
            <w:pPr>
              <w:pStyle w:val="ListParagraph"/>
              <w:ind w:left="0"/>
              <w:rPr>
                <w:b/>
                <w:bCs/>
                <w:sz w:val="20"/>
                <w:szCs w:val="20"/>
                <w:lang w:val="en-GB"/>
              </w:rPr>
            </w:pPr>
          </w:p>
        </w:tc>
        <w:tc>
          <w:tcPr>
            <w:tcW w:w="1523" w:type="pct"/>
          </w:tcPr>
          <w:p w14:paraId="7ADF1284" w14:textId="77777777" w:rsidR="00F1171E" w:rsidRPr="00900E9B" w:rsidRDefault="00F1171E" w:rsidP="007222C8">
            <w:pPr>
              <w:pStyle w:val="Heading2"/>
              <w:jc w:val="left"/>
              <w:rPr>
                <w:rFonts w:ascii="Times New Roman" w:hAnsi="Times New Roman"/>
                <w:b w:val="0"/>
                <w:lang w:val="en-GB"/>
              </w:rPr>
            </w:pPr>
          </w:p>
        </w:tc>
      </w:tr>
      <w:tr w:rsidR="00F1171E" w:rsidRPr="00900E9B" w14:paraId="3F644328" w14:textId="77777777" w:rsidTr="007222C8">
        <w:trPr>
          <w:trHeight w:val="703"/>
        </w:trPr>
        <w:tc>
          <w:tcPr>
            <w:tcW w:w="1265" w:type="pct"/>
            <w:noWrap/>
          </w:tcPr>
          <w:p w14:paraId="6A17E5EA"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31DC3BFE"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68F64E05" w14:textId="77777777" w:rsidR="0007797A" w:rsidRDefault="0007797A" w:rsidP="0007797A">
            <w:pPr>
              <w:pStyle w:val="ListParagraph"/>
              <w:ind w:left="0"/>
              <w:rPr>
                <w:b/>
                <w:bCs/>
                <w:sz w:val="20"/>
                <w:szCs w:val="20"/>
                <w:lang w:val="en-GB"/>
              </w:rPr>
            </w:pPr>
            <w:r>
              <w:rPr>
                <w:b/>
                <w:bCs/>
                <w:sz w:val="20"/>
                <w:szCs w:val="20"/>
                <w:lang w:val="en-GB"/>
              </w:rPr>
              <w:t>The references are mostly from more than a decade ago. It would help to have more recent publications as well.</w:t>
            </w:r>
            <w:r w:rsidR="00D3088F">
              <w:rPr>
                <w:b/>
                <w:bCs/>
                <w:sz w:val="20"/>
                <w:szCs w:val="20"/>
                <w:lang w:val="en-GB"/>
              </w:rPr>
              <w:t xml:space="preserve"> The case studies referred to may come with a literature that is worth noting, engaging, or discussing. </w:t>
            </w:r>
            <w:r w:rsidR="001E2DCF">
              <w:rPr>
                <w:b/>
                <w:bCs/>
                <w:sz w:val="20"/>
                <w:szCs w:val="20"/>
                <w:lang w:val="en-GB"/>
              </w:rPr>
              <w:t>Does this literature recognise the essential need for the transformative ethical approach – or are religious actors treated as having essential roles which do not require examination?</w:t>
            </w:r>
          </w:p>
          <w:p w14:paraId="4C1C1259" w14:textId="77777777" w:rsidR="00F1171E" w:rsidRPr="00900E9B" w:rsidRDefault="00F1171E" w:rsidP="007222C8">
            <w:pPr>
              <w:pStyle w:val="ListParagraph"/>
              <w:ind w:left="0"/>
              <w:rPr>
                <w:b/>
                <w:bCs/>
                <w:sz w:val="20"/>
                <w:szCs w:val="20"/>
                <w:lang w:val="en-GB"/>
              </w:rPr>
            </w:pPr>
          </w:p>
        </w:tc>
        <w:tc>
          <w:tcPr>
            <w:tcW w:w="1523" w:type="pct"/>
          </w:tcPr>
          <w:p w14:paraId="6BF8B5D3" w14:textId="77777777" w:rsidR="00F1171E" w:rsidRPr="00900E9B" w:rsidRDefault="00F1171E" w:rsidP="007222C8">
            <w:pPr>
              <w:pStyle w:val="Heading2"/>
              <w:jc w:val="left"/>
              <w:rPr>
                <w:rFonts w:ascii="Times New Roman" w:hAnsi="Times New Roman"/>
                <w:b w:val="0"/>
                <w:lang w:val="en-GB"/>
              </w:rPr>
            </w:pPr>
          </w:p>
        </w:tc>
      </w:tr>
      <w:tr w:rsidR="00F1171E" w:rsidRPr="00900E9B" w14:paraId="7501534E" w14:textId="77777777" w:rsidTr="007222C8">
        <w:trPr>
          <w:trHeight w:val="386"/>
        </w:trPr>
        <w:tc>
          <w:tcPr>
            <w:tcW w:w="1265" w:type="pct"/>
            <w:noWrap/>
          </w:tcPr>
          <w:p w14:paraId="047137C4" w14:textId="77777777" w:rsidR="00F1171E" w:rsidRPr="00900E9B" w:rsidRDefault="00F1171E" w:rsidP="007222C8">
            <w:pPr>
              <w:pStyle w:val="Heading2"/>
              <w:jc w:val="left"/>
              <w:rPr>
                <w:rFonts w:ascii="Times New Roman" w:hAnsi="Times New Roman"/>
                <w:b w:val="0"/>
                <w:lang w:val="en-GB"/>
              </w:rPr>
            </w:pPr>
          </w:p>
          <w:p w14:paraId="067512B4"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545B3538" w14:textId="77777777" w:rsidR="00F1171E" w:rsidRPr="00900E9B" w:rsidRDefault="00F1171E" w:rsidP="007222C8">
            <w:pPr>
              <w:rPr>
                <w:sz w:val="20"/>
                <w:szCs w:val="20"/>
                <w:lang w:val="en-GB"/>
              </w:rPr>
            </w:pPr>
          </w:p>
        </w:tc>
        <w:tc>
          <w:tcPr>
            <w:tcW w:w="2212" w:type="pct"/>
          </w:tcPr>
          <w:p w14:paraId="4A15772A" w14:textId="77777777" w:rsidR="00F1171E" w:rsidRPr="00900E9B" w:rsidRDefault="00F1171E" w:rsidP="007222C8">
            <w:pPr>
              <w:rPr>
                <w:sz w:val="20"/>
                <w:szCs w:val="20"/>
                <w:lang w:val="en-GB"/>
              </w:rPr>
            </w:pPr>
          </w:p>
          <w:p w14:paraId="34896D96" w14:textId="77777777" w:rsidR="00F1171E" w:rsidRPr="00900E9B" w:rsidRDefault="005319D5" w:rsidP="007222C8">
            <w:pPr>
              <w:rPr>
                <w:sz w:val="20"/>
                <w:szCs w:val="20"/>
                <w:lang w:val="en-GB"/>
              </w:rPr>
            </w:pPr>
            <w:r>
              <w:rPr>
                <w:sz w:val="20"/>
                <w:szCs w:val="20"/>
                <w:lang w:val="en-GB"/>
              </w:rPr>
              <w:t>This is well edited.</w:t>
            </w:r>
          </w:p>
          <w:p w14:paraId="173DD97A" w14:textId="77777777" w:rsidR="00F1171E" w:rsidRPr="00900E9B" w:rsidRDefault="00F1171E" w:rsidP="007222C8">
            <w:pPr>
              <w:rPr>
                <w:sz w:val="20"/>
                <w:szCs w:val="20"/>
                <w:lang w:val="en-GB"/>
              </w:rPr>
            </w:pPr>
          </w:p>
          <w:p w14:paraId="3ACCE9D3" w14:textId="77777777" w:rsidR="00F1171E" w:rsidRPr="00900E9B" w:rsidRDefault="00F1171E" w:rsidP="007222C8">
            <w:pPr>
              <w:rPr>
                <w:sz w:val="20"/>
                <w:szCs w:val="20"/>
                <w:lang w:val="en-GB"/>
              </w:rPr>
            </w:pPr>
          </w:p>
          <w:p w14:paraId="62330896" w14:textId="77777777" w:rsidR="00F1171E" w:rsidRPr="00900E9B" w:rsidRDefault="00F1171E" w:rsidP="007222C8">
            <w:pPr>
              <w:rPr>
                <w:sz w:val="20"/>
                <w:szCs w:val="20"/>
                <w:lang w:val="en-GB"/>
              </w:rPr>
            </w:pPr>
          </w:p>
        </w:tc>
        <w:tc>
          <w:tcPr>
            <w:tcW w:w="1523" w:type="pct"/>
          </w:tcPr>
          <w:p w14:paraId="5ADD4087" w14:textId="77777777" w:rsidR="00F1171E" w:rsidRPr="00900E9B" w:rsidRDefault="00F1171E" w:rsidP="007222C8">
            <w:pPr>
              <w:rPr>
                <w:sz w:val="20"/>
                <w:szCs w:val="20"/>
                <w:lang w:val="en-GB"/>
              </w:rPr>
            </w:pPr>
          </w:p>
        </w:tc>
      </w:tr>
      <w:tr w:rsidR="00F1171E" w:rsidRPr="00900E9B" w14:paraId="1C09B557" w14:textId="77777777" w:rsidTr="007222C8">
        <w:trPr>
          <w:trHeight w:val="1178"/>
        </w:trPr>
        <w:tc>
          <w:tcPr>
            <w:tcW w:w="1265" w:type="pct"/>
            <w:noWrap/>
          </w:tcPr>
          <w:p w14:paraId="4EE5D6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2625CB0" w14:textId="77777777" w:rsidR="00F1171E" w:rsidRPr="00900E9B" w:rsidRDefault="00F1171E" w:rsidP="007222C8">
            <w:pPr>
              <w:pStyle w:val="Heading2"/>
              <w:jc w:val="left"/>
              <w:rPr>
                <w:rFonts w:ascii="Times New Roman" w:hAnsi="Times New Roman"/>
                <w:b w:val="0"/>
                <w:lang w:val="en-GB"/>
              </w:rPr>
            </w:pPr>
          </w:p>
        </w:tc>
        <w:tc>
          <w:tcPr>
            <w:tcW w:w="2212" w:type="pct"/>
          </w:tcPr>
          <w:p w14:paraId="728ABFA0" w14:textId="77777777" w:rsidR="00F1171E" w:rsidRPr="00900E9B" w:rsidRDefault="00F1171E" w:rsidP="007222C8">
            <w:pPr>
              <w:rPr>
                <w:sz w:val="20"/>
                <w:szCs w:val="20"/>
                <w:lang w:val="en-GB"/>
              </w:rPr>
            </w:pPr>
          </w:p>
          <w:p w14:paraId="4FE64859" w14:textId="77777777" w:rsidR="00F1171E" w:rsidRDefault="00AB3086" w:rsidP="007222C8">
            <w:pPr>
              <w:rPr>
                <w:sz w:val="20"/>
                <w:szCs w:val="20"/>
                <w:lang w:val="en-GB"/>
              </w:rPr>
            </w:pPr>
            <w:r>
              <w:rPr>
                <w:sz w:val="20"/>
                <w:szCs w:val="20"/>
                <w:lang w:val="en-GB"/>
              </w:rPr>
              <w:t>If it were clarified that the only purpose here is to outline a conceptual approach, and not to reflect on how well this is exemplified in African case studies, then I see little work may be needed. In this case, it may still be important to clarify the extent to which there is an African approach, or a range of African approaches, and the extent to which this favours certain types of institutional actor and state-backed or independent process.</w:t>
            </w:r>
          </w:p>
          <w:p w14:paraId="50725579" w14:textId="77777777" w:rsidR="00AB3086" w:rsidRPr="00900E9B" w:rsidRDefault="00AB3086" w:rsidP="007222C8">
            <w:pPr>
              <w:rPr>
                <w:sz w:val="20"/>
                <w:szCs w:val="20"/>
                <w:lang w:val="en-GB"/>
              </w:rPr>
            </w:pPr>
            <w:r>
              <w:rPr>
                <w:sz w:val="20"/>
                <w:szCs w:val="20"/>
                <w:lang w:val="en-GB"/>
              </w:rPr>
              <w:t>If there is scope for discussion of case studies, there is more work to do, but this may have a persuasive value that a purely conceptual approach may not.</w:t>
            </w:r>
          </w:p>
          <w:p w14:paraId="4D45E650" w14:textId="77777777" w:rsidR="00F1171E" w:rsidRPr="00900E9B" w:rsidRDefault="00F1171E" w:rsidP="007222C8">
            <w:pPr>
              <w:rPr>
                <w:sz w:val="20"/>
                <w:szCs w:val="20"/>
                <w:lang w:val="en-GB"/>
              </w:rPr>
            </w:pPr>
          </w:p>
          <w:p w14:paraId="0DA15F5C" w14:textId="77777777" w:rsidR="00F1171E" w:rsidRPr="00900E9B" w:rsidRDefault="00F1171E" w:rsidP="007222C8">
            <w:pPr>
              <w:rPr>
                <w:sz w:val="20"/>
                <w:szCs w:val="20"/>
                <w:lang w:val="en-GB"/>
              </w:rPr>
            </w:pPr>
          </w:p>
        </w:tc>
        <w:tc>
          <w:tcPr>
            <w:tcW w:w="1523" w:type="pct"/>
          </w:tcPr>
          <w:p w14:paraId="02D40D2A" w14:textId="77777777" w:rsidR="00F1171E" w:rsidRPr="00900E9B" w:rsidRDefault="00F1171E" w:rsidP="007222C8">
            <w:pPr>
              <w:rPr>
                <w:sz w:val="20"/>
                <w:szCs w:val="20"/>
                <w:lang w:val="en-GB"/>
              </w:rPr>
            </w:pPr>
          </w:p>
        </w:tc>
      </w:tr>
    </w:tbl>
    <w:p w14:paraId="09590590" w14:textId="77777777" w:rsidR="00F1171E" w:rsidRDefault="00F1171E" w:rsidP="00F1171E">
      <w:pPr>
        <w:pStyle w:val="BodyText"/>
        <w:rPr>
          <w:rFonts w:ascii="Times New Roman" w:hAnsi="Times New Roman"/>
          <w:b/>
          <w:bCs/>
          <w:sz w:val="20"/>
          <w:szCs w:val="20"/>
          <w:u w:val="single"/>
          <w:lang w:val="en-GB"/>
        </w:rPr>
      </w:pPr>
    </w:p>
    <w:p w14:paraId="3737199D" w14:textId="77777777" w:rsidR="00F1171E" w:rsidRPr="00900E9B" w:rsidRDefault="00F1171E" w:rsidP="00F1171E">
      <w:pPr>
        <w:pStyle w:val="BodyText"/>
        <w:rPr>
          <w:rFonts w:ascii="Times New Roman" w:hAnsi="Times New Roman"/>
          <w:b/>
          <w:bCs/>
          <w:sz w:val="20"/>
          <w:szCs w:val="20"/>
          <w:u w:val="single"/>
          <w:lang w:val="en-GB"/>
        </w:rPr>
      </w:pPr>
    </w:p>
    <w:p w14:paraId="57DE6DA2"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900E9B" w14:paraId="167212AC"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0B20B24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0063F9C8"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E1233BE" w14:textId="77777777" w:rsidTr="007222C8">
        <w:trPr>
          <w:trHeight w:val="935"/>
        </w:trPr>
        <w:tc>
          <w:tcPr>
            <w:tcW w:w="1615" w:type="pct"/>
            <w:noWrap/>
            <w:tcMar>
              <w:top w:w="0" w:type="dxa"/>
              <w:left w:w="108" w:type="dxa"/>
              <w:bottom w:w="0" w:type="dxa"/>
              <w:right w:w="108" w:type="dxa"/>
            </w:tcMar>
            <w:vAlign w:val="center"/>
          </w:tcPr>
          <w:p w14:paraId="31431FFC"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772EE409"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5CEF2959"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6243E556" w14:textId="77777777" w:rsidTr="007222C8">
        <w:trPr>
          <w:trHeight w:val="697"/>
        </w:trPr>
        <w:tc>
          <w:tcPr>
            <w:tcW w:w="1615" w:type="pct"/>
            <w:noWrap/>
            <w:tcMar>
              <w:top w:w="0" w:type="dxa"/>
              <w:left w:w="108" w:type="dxa"/>
              <w:bottom w:w="0" w:type="dxa"/>
              <w:right w:w="108" w:type="dxa"/>
            </w:tcMar>
            <w:vAlign w:val="center"/>
          </w:tcPr>
          <w:p w14:paraId="7B57D5E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73B56BCF" w14:textId="77777777" w:rsidR="00F1171E" w:rsidRPr="00933A6F" w:rsidRDefault="00F1171E" w:rsidP="007222C8">
            <w:pPr>
              <w:pStyle w:val="NormalWeb"/>
              <w:spacing w:before="0" w:beforeAutospacing="0" w:after="0" w:afterAutospacing="0"/>
              <w:rPr>
                <w:rFonts w:ascii="Times New Roman" w:hAnsi="Times New Roman" w:cs="Times New Roman"/>
                <w:sz w:val="20"/>
                <w:szCs w:val="20"/>
              </w:rPr>
            </w:pPr>
          </w:p>
        </w:tc>
        <w:tc>
          <w:tcPr>
            <w:tcW w:w="2043" w:type="pct"/>
            <w:tcMar>
              <w:top w:w="0" w:type="dxa"/>
              <w:left w:w="108" w:type="dxa"/>
              <w:bottom w:w="0" w:type="dxa"/>
              <w:right w:w="108" w:type="dxa"/>
            </w:tcMar>
            <w:vAlign w:val="center"/>
          </w:tcPr>
          <w:p w14:paraId="11F5D844"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1F766A1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1CD1CA55" w14:textId="77777777" w:rsidR="00F1171E" w:rsidRPr="00900E9B" w:rsidRDefault="005319D5" w:rsidP="007222C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vAlign w:val="center"/>
          </w:tcPr>
          <w:p w14:paraId="374BD2A8" w14:textId="77777777" w:rsidR="00F1171E" w:rsidRPr="00900E9B" w:rsidRDefault="00F1171E" w:rsidP="007222C8">
            <w:pPr>
              <w:rPr>
                <w:rFonts w:eastAsia="Arial Unicode MS"/>
                <w:sz w:val="20"/>
                <w:szCs w:val="20"/>
                <w:lang w:val="en-GB"/>
              </w:rPr>
            </w:pPr>
          </w:p>
          <w:p w14:paraId="72DD3E36" w14:textId="77777777" w:rsidR="00F1171E" w:rsidRPr="00900E9B" w:rsidRDefault="00F1171E" w:rsidP="007222C8">
            <w:pPr>
              <w:rPr>
                <w:rFonts w:eastAsia="Arial Unicode MS"/>
                <w:sz w:val="20"/>
                <w:szCs w:val="20"/>
                <w:lang w:val="en-GB"/>
              </w:rPr>
            </w:pPr>
          </w:p>
          <w:p w14:paraId="2CA88CE3" w14:textId="77777777" w:rsidR="00F1171E" w:rsidRPr="00900E9B" w:rsidRDefault="00F1171E" w:rsidP="007222C8">
            <w:pPr>
              <w:rPr>
                <w:rFonts w:eastAsia="Arial Unicode MS"/>
                <w:sz w:val="20"/>
                <w:szCs w:val="20"/>
                <w:lang w:val="en-GB"/>
              </w:rPr>
            </w:pPr>
          </w:p>
          <w:p w14:paraId="5931B04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2C84F3F7" w14:textId="77777777" w:rsidR="00933A6F" w:rsidRDefault="00933A6F" w:rsidP="00933A6F">
      <w:pPr>
        <w:pStyle w:val="Affiliation"/>
        <w:spacing w:after="0" w:line="240" w:lineRule="auto"/>
        <w:jc w:val="left"/>
        <w:rPr>
          <w:rFonts w:ascii="Arial" w:hAnsi="Arial" w:cs="Arial"/>
          <w:b/>
          <w:sz w:val="16"/>
          <w:szCs w:val="16"/>
        </w:rPr>
      </w:pPr>
    </w:p>
    <w:p w14:paraId="0390288B" w14:textId="77777777" w:rsidR="00933A6F" w:rsidRPr="005F4EDD" w:rsidRDefault="00933A6F" w:rsidP="00933A6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C701FDB" w14:textId="77777777" w:rsidR="00933A6F" w:rsidRDefault="00933A6F" w:rsidP="00933A6F">
      <w:pPr>
        <w:pStyle w:val="Affiliation"/>
        <w:spacing w:after="0" w:line="240" w:lineRule="auto"/>
        <w:jc w:val="left"/>
        <w:rPr>
          <w:rFonts w:ascii="Arial" w:hAnsi="Arial" w:cs="Arial"/>
          <w:sz w:val="16"/>
          <w:szCs w:val="16"/>
        </w:rPr>
      </w:pPr>
    </w:p>
    <w:p w14:paraId="0482F9B7" w14:textId="77777777" w:rsidR="00933A6F" w:rsidRDefault="00933A6F" w:rsidP="00933A6F">
      <w:r>
        <w:rPr>
          <w:rFonts w:ascii="Calibri" w:hAnsi="Calibri" w:cs="Calibri"/>
          <w:color w:val="000000"/>
        </w:rPr>
        <w:t>George R. Wilkes, KCL, UK</w:t>
      </w:r>
      <w:r>
        <w:rPr>
          <w:rFonts w:ascii="Calibri" w:hAnsi="Calibri" w:cs="Calibri"/>
          <w:color w:val="000000"/>
        </w:rPr>
        <w:br/>
      </w:r>
    </w:p>
    <w:p w14:paraId="1204DA9C" w14:textId="77777777" w:rsidR="004C3DF1" w:rsidRPr="00933A6F" w:rsidRDefault="004C3DF1">
      <w:pPr>
        <w:rPr>
          <w:rFonts w:ascii="Arial" w:hAnsi="Arial" w:cs="Arial"/>
          <w:b/>
          <w:sz w:val="20"/>
          <w:szCs w:val="20"/>
        </w:rPr>
      </w:pPr>
    </w:p>
    <w:sectPr w:rsidR="004C3DF1" w:rsidRPr="00933A6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F22F" w14:textId="77777777" w:rsidR="00DD4D2F" w:rsidRPr="0000007A" w:rsidRDefault="00DD4D2F" w:rsidP="0099583E">
      <w:r>
        <w:separator/>
      </w:r>
    </w:p>
  </w:endnote>
  <w:endnote w:type="continuationSeparator" w:id="0">
    <w:p w14:paraId="62D10460" w14:textId="77777777" w:rsidR="00DD4D2F" w:rsidRPr="0000007A" w:rsidRDefault="00DD4D2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18D3"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9D15" w14:textId="77777777" w:rsidR="00DD4D2F" w:rsidRPr="0000007A" w:rsidRDefault="00DD4D2F" w:rsidP="0099583E">
      <w:r>
        <w:separator/>
      </w:r>
    </w:p>
  </w:footnote>
  <w:footnote w:type="continuationSeparator" w:id="0">
    <w:p w14:paraId="76B52D81" w14:textId="77777777" w:rsidR="00DD4D2F" w:rsidRPr="0000007A" w:rsidRDefault="00DD4D2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CC3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5A6B3B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7499434"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59907454">
    <w:abstractNumId w:val="3"/>
  </w:num>
  <w:num w:numId="2" w16cid:durableId="2007124245">
    <w:abstractNumId w:val="6"/>
  </w:num>
  <w:num w:numId="3" w16cid:durableId="1264416187">
    <w:abstractNumId w:val="5"/>
  </w:num>
  <w:num w:numId="4" w16cid:durableId="1979065725">
    <w:abstractNumId w:val="7"/>
  </w:num>
  <w:num w:numId="5" w16cid:durableId="1414278195">
    <w:abstractNumId w:val="4"/>
  </w:num>
  <w:num w:numId="6" w16cid:durableId="1873687659">
    <w:abstractNumId w:val="0"/>
  </w:num>
  <w:num w:numId="7" w16cid:durableId="477963473">
    <w:abstractNumId w:val="1"/>
  </w:num>
  <w:num w:numId="8" w16cid:durableId="1268731120">
    <w:abstractNumId w:val="9"/>
  </w:num>
  <w:num w:numId="9" w16cid:durableId="1464932562">
    <w:abstractNumId w:val="8"/>
  </w:num>
  <w:num w:numId="10" w16cid:durableId="1574272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36AB"/>
    <w:rsid w:val="000168A9"/>
    <w:rsid w:val="00021981"/>
    <w:rsid w:val="000234E1"/>
    <w:rsid w:val="0002598E"/>
    <w:rsid w:val="00037D52"/>
    <w:rsid w:val="000450FC"/>
    <w:rsid w:val="00054BC4"/>
    <w:rsid w:val="00056CB0"/>
    <w:rsid w:val="0006257C"/>
    <w:rsid w:val="000627FE"/>
    <w:rsid w:val="0007151E"/>
    <w:rsid w:val="00071CF4"/>
    <w:rsid w:val="0007797A"/>
    <w:rsid w:val="00081012"/>
    <w:rsid w:val="00084D7C"/>
    <w:rsid w:val="00087DC4"/>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01E2"/>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3169"/>
    <w:rsid w:val="001B5029"/>
    <w:rsid w:val="001D3A1D"/>
    <w:rsid w:val="001E2DCF"/>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486E"/>
    <w:rsid w:val="002D60EF"/>
    <w:rsid w:val="002E10DF"/>
    <w:rsid w:val="002E1211"/>
    <w:rsid w:val="002E2339"/>
    <w:rsid w:val="002E2722"/>
    <w:rsid w:val="002E5C81"/>
    <w:rsid w:val="002E6D86"/>
    <w:rsid w:val="002E7787"/>
    <w:rsid w:val="002F6935"/>
    <w:rsid w:val="00312559"/>
    <w:rsid w:val="003204B8"/>
    <w:rsid w:val="00326D7D"/>
    <w:rsid w:val="0033018A"/>
    <w:rsid w:val="0033692F"/>
    <w:rsid w:val="00353718"/>
    <w:rsid w:val="00365EC7"/>
    <w:rsid w:val="00374F93"/>
    <w:rsid w:val="00377F1D"/>
    <w:rsid w:val="00394901"/>
    <w:rsid w:val="003A04E7"/>
    <w:rsid w:val="003A1C45"/>
    <w:rsid w:val="003A4991"/>
    <w:rsid w:val="003A6E1A"/>
    <w:rsid w:val="003B1D0B"/>
    <w:rsid w:val="003B2172"/>
    <w:rsid w:val="003D1BDE"/>
    <w:rsid w:val="003E746A"/>
    <w:rsid w:val="00401C12"/>
    <w:rsid w:val="004029DB"/>
    <w:rsid w:val="00421DBF"/>
    <w:rsid w:val="0042465A"/>
    <w:rsid w:val="00435B36"/>
    <w:rsid w:val="00442B24"/>
    <w:rsid w:val="004430CD"/>
    <w:rsid w:val="0044519B"/>
    <w:rsid w:val="00452F40"/>
    <w:rsid w:val="00457AB1"/>
    <w:rsid w:val="00457BC0"/>
    <w:rsid w:val="00461309"/>
    <w:rsid w:val="00462996"/>
    <w:rsid w:val="00474129"/>
    <w:rsid w:val="00477844"/>
    <w:rsid w:val="00483DAE"/>
    <w:rsid w:val="004847FF"/>
    <w:rsid w:val="00495DBB"/>
    <w:rsid w:val="004B03BF"/>
    <w:rsid w:val="004B0965"/>
    <w:rsid w:val="004B278A"/>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7DE4"/>
    <w:rsid w:val="00510920"/>
    <w:rsid w:val="0052339F"/>
    <w:rsid w:val="00530A2D"/>
    <w:rsid w:val="005319D5"/>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47CB2"/>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24DC"/>
    <w:rsid w:val="006B3FE8"/>
    <w:rsid w:val="006C3797"/>
    <w:rsid w:val="006D467C"/>
    <w:rsid w:val="006E01EE"/>
    <w:rsid w:val="006E6014"/>
    <w:rsid w:val="006E7D6E"/>
    <w:rsid w:val="00700A1D"/>
    <w:rsid w:val="00700EF2"/>
    <w:rsid w:val="00701186"/>
    <w:rsid w:val="00707BE1"/>
    <w:rsid w:val="00713B84"/>
    <w:rsid w:val="007238EB"/>
    <w:rsid w:val="007317C3"/>
    <w:rsid w:val="0073332F"/>
    <w:rsid w:val="00734756"/>
    <w:rsid w:val="00734BFB"/>
    <w:rsid w:val="0073538B"/>
    <w:rsid w:val="00737BC9"/>
    <w:rsid w:val="0074253C"/>
    <w:rsid w:val="007426E6"/>
    <w:rsid w:val="0075112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7E7F"/>
    <w:rsid w:val="008C2F62"/>
    <w:rsid w:val="008C4B1F"/>
    <w:rsid w:val="008C75AD"/>
    <w:rsid w:val="008D020E"/>
    <w:rsid w:val="008E5067"/>
    <w:rsid w:val="008F036B"/>
    <w:rsid w:val="008F36E4"/>
    <w:rsid w:val="0090720F"/>
    <w:rsid w:val="0091410B"/>
    <w:rsid w:val="009245E3"/>
    <w:rsid w:val="00933A6F"/>
    <w:rsid w:val="00942DEE"/>
    <w:rsid w:val="00944F67"/>
    <w:rsid w:val="009553EC"/>
    <w:rsid w:val="00955E45"/>
    <w:rsid w:val="00962B70"/>
    <w:rsid w:val="00967C62"/>
    <w:rsid w:val="0097281C"/>
    <w:rsid w:val="00982766"/>
    <w:rsid w:val="009852C4"/>
    <w:rsid w:val="0099583E"/>
    <w:rsid w:val="009A0242"/>
    <w:rsid w:val="009A191B"/>
    <w:rsid w:val="009A59ED"/>
    <w:rsid w:val="009B101F"/>
    <w:rsid w:val="009B239B"/>
    <w:rsid w:val="009C5642"/>
    <w:rsid w:val="009E13C3"/>
    <w:rsid w:val="009E6A30"/>
    <w:rsid w:val="009E7621"/>
    <w:rsid w:val="009F07D4"/>
    <w:rsid w:val="009F29EB"/>
    <w:rsid w:val="009F4C4C"/>
    <w:rsid w:val="009F7A71"/>
    <w:rsid w:val="00A001A0"/>
    <w:rsid w:val="00A0230D"/>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5258"/>
    <w:rsid w:val="00AA41B3"/>
    <w:rsid w:val="00AA49A2"/>
    <w:rsid w:val="00AA5338"/>
    <w:rsid w:val="00AB1ED6"/>
    <w:rsid w:val="00AB3086"/>
    <w:rsid w:val="00AB397D"/>
    <w:rsid w:val="00AB638A"/>
    <w:rsid w:val="00AB65BF"/>
    <w:rsid w:val="00AB6E43"/>
    <w:rsid w:val="00AC1349"/>
    <w:rsid w:val="00AD6C51"/>
    <w:rsid w:val="00AE0E9B"/>
    <w:rsid w:val="00AE54CD"/>
    <w:rsid w:val="00AF3016"/>
    <w:rsid w:val="00B03A45"/>
    <w:rsid w:val="00B10A74"/>
    <w:rsid w:val="00B2236C"/>
    <w:rsid w:val="00B22FE6"/>
    <w:rsid w:val="00B3033D"/>
    <w:rsid w:val="00B30A75"/>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10FA"/>
    <w:rsid w:val="00C435C6"/>
    <w:rsid w:val="00C635B6"/>
    <w:rsid w:val="00C70DFC"/>
    <w:rsid w:val="00C712F8"/>
    <w:rsid w:val="00C82466"/>
    <w:rsid w:val="00C84097"/>
    <w:rsid w:val="00CA4B20"/>
    <w:rsid w:val="00CA7853"/>
    <w:rsid w:val="00CB3B37"/>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088F"/>
    <w:rsid w:val="00D32AC2"/>
    <w:rsid w:val="00D37ABF"/>
    <w:rsid w:val="00D40416"/>
    <w:rsid w:val="00D430AB"/>
    <w:rsid w:val="00D4782A"/>
    <w:rsid w:val="00D528DF"/>
    <w:rsid w:val="00D709EB"/>
    <w:rsid w:val="00D759D5"/>
    <w:rsid w:val="00D7603E"/>
    <w:rsid w:val="00D90124"/>
    <w:rsid w:val="00D9392F"/>
    <w:rsid w:val="00D9427C"/>
    <w:rsid w:val="00DA2679"/>
    <w:rsid w:val="00DA3C3D"/>
    <w:rsid w:val="00DA41F5"/>
    <w:rsid w:val="00DB7E1B"/>
    <w:rsid w:val="00DC1D81"/>
    <w:rsid w:val="00DC6FED"/>
    <w:rsid w:val="00DD0C4A"/>
    <w:rsid w:val="00DD274C"/>
    <w:rsid w:val="00DD4D2F"/>
    <w:rsid w:val="00DE501E"/>
    <w:rsid w:val="00DE7D30"/>
    <w:rsid w:val="00DF04E3"/>
    <w:rsid w:val="00DF2D6F"/>
    <w:rsid w:val="00E03C32"/>
    <w:rsid w:val="00E050B3"/>
    <w:rsid w:val="00E3111A"/>
    <w:rsid w:val="00E451EA"/>
    <w:rsid w:val="00E57F4B"/>
    <w:rsid w:val="00E63889"/>
    <w:rsid w:val="00E63A98"/>
    <w:rsid w:val="00E645E9"/>
    <w:rsid w:val="00E64BCC"/>
    <w:rsid w:val="00E65596"/>
    <w:rsid w:val="00E66385"/>
    <w:rsid w:val="00E71C8D"/>
    <w:rsid w:val="00E72360"/>
    <w:rsid w:val="00E72A8E"/>
    <w:rsid w:val="00E915EC"/>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46FA"/>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F2569"/>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511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51126"/>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933A6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9</cp:revision>
  <dcterms:created xsi:type="dcterms:W3CDTF">2025-09-01T15:37:00Z</dcterms:created>
  <dcterms:modified xsi:type="dcterms:W3CDTF">2026-02-27T12:20:00Z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