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D6562E6" w:rsidR="0000007A" w:rsidRPr="00DE7D30" w:rsidRDefault="009F4C4C" w:rsidP="00054BC4">
            <w:pPr>
              <w:pStyle w:val="NormalWeb"/>
              <w:rPr>
                <w:rFonts w:ascii="Arial" w:hAnsi="Arial" w:cs="Arial"/>
                <w:b/>
                <w:bCs/>
                <w:szCs w:val="28"/>
                <w:u w:val="single"/>
              </w:rPr>
            </w:pPr>
            <w:hyperlink r:id="rId7" w:history="1">
              <w:r w:rsidRPr="009F4C4C">
                <w:rPr>
                  <w:rStyle w:val="Hyperlink"/>
                  <w:rFonts w:ascii="Arial" w:hAnsi="Arial" w:cs="Arial"/>
                  <w:b/>
                  <w:bCs/>
                  <w:szCs w:val="28"/>
                </w:rPr>
                <w:t>New Ideas Concerning Arts and Social Studies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68FE06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10A74" w:rsidRPr="00B10A74">
              <w:rPr>
                <w:rFonts w:ascii="Arial" w:hAnsi="Arial" w:cs="Arial"/>
                <w:b/>
                <w:bCs/>
                <w:szCs w:val="28"/>
                <w:lang w:val="en-GB"/>
              </w:rPr>
              <w:t>6314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927F09E" w:rsidR="0000007A" w:rsidRPr="00DE7D30" w:rsidRDefault="00E050B3" w:rsidP="000450FC">
            <w:pPr>
              <w:pStyle w:val="NormalWeb"/>
              <w:spacing w:before="0" w:beforeAutospacing="0" w:after="0" w:afterAutospacing="0"/>
              <w:rPr>
                <w:rFonts w:ascii="Arial" w:hAnsi="Arial" w:cs="Arial"/>
                <w:b/>
                <w:szCs w:val="28"/>
                <w:highlight w:val="yellow"/>
                <w:lang w:val="en-GB"/>
              </w:rPr>
            </w:pPr>
            <w:r w:rsidRPr="00E050B3">
              <w:rPr>
                <w:rFonts w:ascii="Arial" w:hAnsi="Arial" w:cs="Arial"/>
                <w:b/>
                <w:szCs w:val="28"/>
                <w:lang w:val="en-GB"/>
              </w:rPr>
              <w:t>Interreligious Dialogue for Peacebuilding: A Hermeneutical-philosophical Approach to the Ethics of Understanding in a Post-Conflict Africa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B66481B" w:rsidR="00CF0BBB" w:rsidRPr="00DE7D30" w:rsidRDefault="00B10A7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3A1F8A7" w:rsidR="00E03C32" w:rsidRDefault="00751126" w:rsidP="00E03C32">
                  <w:pPr>
                    <w:pStyle w:val="BodyText"/>
                    <w:jc w:val="left"/>
                    <w:rPr>
                      <w:rFonts w:ascii="Arial" w:hAnsi="Arial" w:cs="Arial"/>
                      <w:b/>
                      <w:color w:val="222222"/>
                      <w:sz w:val="32"/>
                      <w:lang w:val="en-US"/>
                    </w:rPr>
                  </w:pPr>
                  <w:r w:rsidRPr="00751126">
                    <w:rPr>
                      <w:rFonts w:ascii="Arial" w:hAnsi="Arial" w:cs="Arial"/>
                      <w:b/>
                      <w:color w:val="222222"/>
                      <w:sz w:val="32"/>
                      <w:lang w:val="en-US"/>
                    </w:rPr>
                    <w:t>Asian Research Journal of Arts &amp;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751126">
                    <w:rPr>
                      <w:rFonts w:ascii="Arial" w:hAnsi="Arial" w:cs="Arial"/>
                      <w:b/>
                      <w:color w:val="222222"/>
                      <w:sz w:val="32"/>
                      <w:lang w:val="en-US"/>
                    </w:rPr>
                    <w:t>33-47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6C68CA42" w:rsidR="00E03C32" w:rsidRPr="007B54A4" w:rsidRDefault="00751126" w:rsidP="00751126">
                  <w:pPr>
                    <w:pStyle w:val="BodyText"/>
                    <w:jc w:val="left"/>
                    <w:rPr>
                      <w:rFonts w:ascii="Arial" w:hAnsi="Arial" w:cs="Arial"/>
                      <w:b/>
                      <w:color w:val="222222"/>
                      <w:sz w:val="32"/>
                      <w:lang w:val="en-US"/>
                    </w:rPr>
                  </w:pPr>
                  <w:r w:rsidRPr="00751126">
                    <w:rPr>
                      <w:rFonts w:ascii="Arial" w:hAnsi="Arial" w:cs="Arial"/>
                      <w:b/>
                      <w:color w:val="222222"/>
                      <w:sz w:val="32"/>
                      <w:lang w:val="en-US"/>
                    </w:rPr>
                    <w:t>DOI: 10.9734/</w:t>
                  </w:r>
                  <w:proofErr w:type="spellStart"/>
                  <w:r w:rsidRPr="00751126">
                    <w:rPr>
                      <w:rFonts w:ascii="Arial" w:hAnsi="Arial" w:cs="Arial"/>
                      <w:b/>
                      <w:color w:val="222222"/>
                      <w:sz w:val="32"/>
                      <w:lang w:val="en-US"/>
                    </w:rPr>
                    <w:t>arjass</w:t>
                  </w:r>
                  <w:proofErr w:type="spellEnd"/>
                  <w:r w:rsidRPr="00751126">
                    <w:rPr>
                      <w:rFonts w:ascii="Arial" w:hAnsi="Arial" w:cs="Arial"/>
                      <w:b/>
                      <w:color w:val="222222"/>
                      <w:sz w:val="32"/>
                      <w:lang w:val="en-US"/>
                    </w:rPr>
                    <w:t>/2025/v23i8748</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7F3312">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DBAE447" w:rsidR="00F1171E" w:rsidRPr="008D017B" w:rsidRDefault="008D017B" w:rsidP="007222C8">
            <w:pPr>
              <w:pStyle w:val="ListParagraph"/>
              <w:ind w:left="0"/>
              <w:rPr>
                <w:sz w:val="20"/>
                <w:szCs w:val="20"/>
                <w:lang w:val="en-GB"/>
              </w:rPr>
            </w:pPr>
            <w:r w:rsidRPr="008D017B">
              <w:rPr>
                <w:sz w:val="20"/>
                <w:szCs w:val="20"/>
                <w:lang w:val="en-GB"/>
              </w:rPr>
              <w:t xml:space="preserve">This manuscript is crucial for the scientific community as it integrates Western hermeneutical philosophy (e.g., Gadamer) with African ethical traditions like Ubuntu, offering a decolonial framework for interreligious dialogue in peacebuilding that challenges Eurocentric models. By addressing the ethical gaps in post-conflict reconciliation in Africa, it contributes to interdisciplinary fields such as religious studies, philosophy, and conflict resolution, providing actionable insights for handling religious </w:t>
            </w:r>
            <w:r>
              <w:rPr>
                <w:sz w:val="20"/>
                <w:szCs w:val="20"/>
                <w:lang w:val="en-GB"/>
              </w:rPr>
              <w:t>dialogue</w:t>
            </w:r>
            <w:r w:rsidRPr="008D017B">
              <w:rPr>
                <w:sz w:val="20"/>
                <w:szCs w:val="20"/>
                <w:lang w:val="en-GB"/>
              </w:rPr>
              <w:t xml:space="preserve"> in regions like Rwanda and Nigeria. Its emphasis on narrative, memory, and mutual understanding advances decolonial thought, encouraging scholars to prioritize indigenous epistemologies in global peace discourses. Furthermore, in a time of rising religious extremism, this work promotes epistemological humility and transformative practices, influencing policy and education to foster sustainable, culturally resonant peace initiatives across the Global South.</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D8493EC" w:rsidR="00F1171E" w:rsidRPr="008D017B" w:rsidRDefault="008D017B" w:rsidP="008D017B">
            <w:pPr>
              <w:rPr>
                <w:sz w:val="20"/>
                <w:szCs w:val="20"/>
                <w:lang w:val="en-GB"/>
              </w:rPr>
            </w:pPr>
            <w:r w:rsidRPr="008D017B">
              <w:rPr>
                <w:sz w:val="20"/>
                <w:szCs w:val="20"/>
                <w:lang w:val="en-GB"/>
              </w:rPr>
              <w:t>Yes, the title is suitable. It accurately captures the core focus on interreligious dialogue, peacebuilding, hermeneutics, philosophy, ethics, and the African post-conflict context, while being concise and informative.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102809C9" w:rsidR="00F1171E" w:rsidRPr="008D017B" w:rsidRDefault="008D017B" w:rsidP="008D017B">
            <w:pPr>
              <w:rPr>
                <w:sz w:val="20"/>
                <w:szCs w:val="20"/>
                <w:lang w:val="en-GB"/>
              </w:rPr>
            </w:pPr>
            <w:r w:rsidRPr="008D017B">
              <w:rPr>
                <w:sz w:val="20"/>
                <w:szCs w:val="20"/>
                <w:lang w:val="en-GB"/>
              </w:rPr>
              <w:t xml:space="preserve">The abstract is comprehensive, effectively summarizing the problem, objectives, methodology, key arguments, and contributions.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39899886" w:rsidR="00F1171E" w:rsidRPr="008D017B" w:rsidRDefault="008D017B" w:rsidP="007222C8">
            <w:pPr>
              <w:pStyle w:val="ListParagraph"/>
              <w:ind w:left="0"/>
              <w:rPr>
                <w:sz w:val="20"/>
                <w:szCs w:val="20"/>
                <w:lang w:val="en-GB"/>
              </w:rPr>
            </w:pPr>
            <w:r w:rsidRPr="008D017B">
              <w:rPr>
                <w:sz w:val="20"/>
                <w:szCs w:val="20"/>
                <w:lang w:val="en-GB"/>
              </w:rPr>
              <w:t xml:space="preserve">Yes, the manuscript is scientifically correct within its philosophical and interdisciplinary scope. As a </w:t>
            </w:r>
            <w:r>
              <w:rPr>
                <w:sz w:val="20"/>
                <w:szCs w:val="20"/>
                <w:lang w:val="en-GB"/>
              </w:rPr>
              <w:t>none empirical study</w:t>
            </w:r>
            <w:r w:rsidRPr="008D017B">
              <w:rPr>
                <w:sz w:val="20"/>
                <w:szCs w:val="20"/>
                <w:lang w:val="en-GB"/>
              </w:rPr>
              <w:t>, it does not involve empirical data but relies on logical argumentation, critical analysis of texts, and contextual illustrations, which are appropriately sourced and coherently presented. The hermeneutical-philosophical framework is applied consistently, and claims about ethics, peacebuilding, and African traditions are substantiated with references, avoiding unsubstantiated assertions.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5BFA2221" w14:textId="31010A94" w:rsidR="008D017B" w:rsidRPr="008D017B" w:rsidRDefault="008D017B" w:rsidP="008D017B">
            <w:pPr>
              <w:rPr>
                <w:sz w:val="20"/>
                <w:szCs w:val="20"/>
                <w:lang w:val="en-GB"/>
              </w:rPr>
            </w:pPr>
            <w:r w:rsidRPr="008D017B">
              <w:rPr>
                <w:sz w:val="20"/>
                <w:szCs w:val="20"/>
                <w:lang w:val="en-GB"/>
              </w:rPr>
              <w:t xml:space="preserve">The references are sufficient in number and cover key thinkers in hermeneutics (Gadamer), African philosophy (Mbiti, Wiredu, Ramose), and peacebuilding (Appleby, </w:t>
            </w:r>
            <w:proofErr w:type="spellStart"/>
            <w:r w:rsidRPr="008D017B">
              <w:rPr>
                <w:sz w:val="20"/>
                <w:szCs w:val="20"/>
                <w:lang w:val="en-GB"/>
              </w:rPr>
              <w:t>Lederach</w:t>
            </w:r>
            <w:proofErr w:type="spellEnd"/>
            <w:r w:rsidRPr="008D017B">
              <w:rPr>
                <w:sz w:val="20"/>
                <w:szCs w:val="20"/>
                <w:lang w:val="en-GB"/>
              </w:rPr>
              <w:t xml:space="preserve">, Tutu), providing a solid foundation. However, they are not entirely recent; the latest is from 2021 (Sachedina), with many from the 1990s-2010s, which may overlook post-2021 developments given the manuscript's focus on contemporary African conflicts. </w:t>
            </w:r>
          </w:p>
          <w:p w14:paraId="2DA52F67" w14:textId="77777777" w:rsidR="008D017B" w:rsidRDefault="008D017B" w:rsidP="008D017B">
            <w:pPr>
              <w:pStyle w:val="ListParagraph"/>
              <w:ind w:left="0"/>
              <w:rPr>
                <w:sz w:val="20"/>
                <w:szCs w:val="20"/>
                <w:lang w:val="en-GB"/>
              </w:rPr>
            </w:pPr>
          </w:p>
          <w:p w14:paraId="24FE0567" w14:textId="1C2ACCD7" w:rsidR="00F1171E" w:rsidRPr="008D017B" w:rsidRDefault="00F1171E" w:rsidP="008D017B">
            <w:pPr>
              <w:pStyle w:val="ListParagraph"/>
              <w:ind w:left="0"/>
              <w:rPr>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3FB94D83" w:rsidR="00F1171E" w:rsidRPr="00900E9B" w:rsidRDefault="008D017B" w:rsidP="007222C8">
            <w:pPr>
              <w:rPr>
                <w:sz w:val="20"/>
                <w:szCs w:val="20"/>
                <w:lang w:val="en-GB"/>
              </w:rPr>
            </w:pPr>
            <w:r w:rsidRPr="008D017B">
              <w:rPr>
                <w:sz w:val="20"/>
                <w:szCs w:val="20"/>
                <w:lang w:val="en-GB"/>
              </w:rPr>
              <w:t>Yes, the language and English quality are suitable for scholarly communications. The writing is formal, precise, and engaging, with clear sentence structure, appropriate academic vocabulary, and logical flow. Minor typographical issues exist</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Default="00F1171E" w:rsidP="007222C8">
            <w:pPr>
              <w:pStyle w:val="NormalWeb"/>
              <w:spacing w:before="0" w:beforeAutospacing="0" w:after="0" w:afterAutospacing="0"/>
              <w:rPr>
                <w:rFonts w:ascii="Times New Roman" w:hAnsi="Times New Roman" w:cs="Times New Roman"/>
                <w:sz w:val="20"/>
                <w:szCs w:val="20"/>
                <w:lang w:val="en-GB"/>
              </w:rPr>
            </w:pPr>
          </w:p>
          <w:p w14:paraId="26160D11" w14:textId="1693BD97" w:rsidR="00FD5C93" w:rsidRPr="00900E9B" w:rsidRDefault="00FD5C93" w:rsidP="007222C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7F81FCC0" w14:textId="77777777" w:rsidR="007F3312" w:rsidRDefault="007F3312" w:rsidP="007F3312">
      <w:pPr>
        <w:pStyle w:val="Affiliation"/>
        <w:spacing w:after="0" w:line="240" w:lineRule="auto"/>
        <w:jc w:val="left"/>
        <w:rPr>
          <w:rFonts w:ascii="Arial" w:hAnsi="Arial" w:cs="Arial"/>
          <w:b/>
          <w:sz w:val="16"/>
          <w:szCs w:val="16"/>
        </w:rPr>
      </w:pPr>
    </w:p>
    <w:p w14:paraId="38CA4FB5" w14:textId="77777777" w:rsidR="007F3312" w:rsidRPr="005F4EDD" w:rsidRDefault="007F3312" w:rsidP="007F331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4609344" w14:textId="77777777" w:rsidR="007F3312" w:rsidRDefault="007F3312" w:rsidP="007F3312">
      <w:pPr>
        <w:pStyle w:val="Affiliation"/>
        <w:spacing w:after="0" w:line="240" w:lineRule="auto"/>
        <w:jc w:val="left"/>
        <w:rPr>
          <w:rFonts w:ascii="Arial" w:hAnsi="Arial" w:cs="Arial"/>
          <w:sz w:val="16"/>
          <w:szCs w:val="16"/>
        </w:rPr>
      </w:pPr>
    </w:p>
    <w:p w14:paraId="47FE809A" w14:textId="77777777" w:rsidR="007F3312" w:rsidRDefault="007F3312" w:rsidP="007F3312">
      <w:r>
        <w:rPr>
          <w:rFonts w:ascii="Calibri" w:hAnsi="Calibri" w:cs="Calibri"/>
          <w:color w:val="000000"/>
        </w:rPr>
        <w:t>Samuel Kofi Boateng Nkrumah-</w:t>
      </w:r>
      <w:proofErr w:type="spellStart"/>
      <w:r>
        <w:rPr>
          <w:rFonts w:ascii="Calibri" w:hAnsi="Calibri" w:cs="Calibri"/>
          <w:color w:val="000000"/>
        </w:rPr>
        <w:t>Pobi</w:t>
      </w:r>
      <w:proofErr w:type="spellEnd"/>
      <w:r>
        <w:rPr>
          <w:rFonts w:ascii="Calibri" w:hAnsi="Calibri" w:cs="Calibri"/>
          <w:color w:val="000000"/>
        </w:rPr>
        <w:t>, SALT University College, Ghana</w:t>
      </w:r>
      <w:r>
        <w:rPr>
          <w:rFonts w:ascii="Calibri" w:hAnsi="Calibri" w:cs="Calibri"/>
          <w:color w:val="000000"/>
        </w:rPr>
        <w:br/>
      </w:r>
    </w:p>
    <w:p w14:paraId="48DC05A4" w14:textId="77777777" w:rsidR="004C3DF1" w:rsidRPr="007F3312" w:rsidRDefault="004C3DF1">
      <w:pPr>
        <w:rPr>
          <w:rFonts w:ascii="Arial" w:hAnsi="Arial" w:cs="Arial"/>
          <w:b/>
          <w:sz w:val="20"/>
          <w:szCs w:val="20"/>
        </w:rPr>
      </w:pPr>
    </w:p>
    <w:sectPr w:rsidR="004C3DF1" w:rsidRPr="007F331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7BC4" w14:textId="77777777" w:rsidR="004F13CD" w:rsidRPr="0000007A" w:rsidRDefault="004F13CD" w:rsidP="0099583E">
      <w:r>
        <w:separator/>
      </w:r>
    </w:p>
  </w:endnote>
  <w:endnote w:type="continuationSeparator" w:id="0">
    <w:p w14:paraId="7CD5B543" w14:textId="77777777" w:rsidR="004F13CD" w:rsidRPr="0000007A" w:rsidRDefault="004F13C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1F1C" w14:textId="77777777" w:rsidR="004F13CD" w:rsidRPr="0000007A" w:rsidRDefault="004F13CD" w:rsidP="0099583E">
      <w:r>
        <w:separator/>
      </w:r>
    </w:p>
  </w:footnote>
  <w:footnote w:type="continuationSeparator" w:id="0">
    <w:p w14:paraId="25367839" w14:textId="77777777" w:rsidR="004F13CD" w:rsidRPr="0000007A" w:rsidRDefault="004F13C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4021152">
    <w:abstractNumId w:val="3"/>
  </w:num>
  <w:num w:numId="2" w16cid:durableId="1559045927">
    <w:abstractNumId w:val="6"/>
  </w:num>
  <w:num w:numId="3" w16cid:durableId="587275112">
    <w:abstractNumId w:val="5"/>
  </w:num>
  <w:num w:numId="4" w16cid:durableId="409158699">
    <w:abstractNumId w:val="7"/>
  </w:num>
  <w:num w:numId="5" w16cid:durableId="428239657">
    <w:abstractNumId w:val="4"/>
  </w:num>
  <w:num w:numId="6" w16cid:durableId="1198470173">
    <w:abstractNumId w:val="0"/>
  </w:num>
  <w:num w:numId="7" w16cid:durableId="1316757455">
    <w:abstractNumId w:val="1"/>
  </w:num>
  <w:num w:numId="8" w16cid:durableId="148209044">
    <w:abstractNumId w:val="9"/>
  </w:num>
  <w:num w:numId="9" w16cid:durableId="710813070">
    <w:abstractNumId w:val="8"/>
  </w:num>
  <w:num w:numId="10" w16cid:durableId="950086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3C29"/>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29DB"/>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13CD"/>
    <w:rsid w:val="004F741F"/>
    <w:rsid w:val="004F78F5"/>
    <w:rsid w:val="004F7BF2"/>
    <w:rsid w:val="00503AB6"/>
    <w:rsid w:val="005047C5"/>
    <w:rsid w:val="0050495C"/>
    <w:rsid w:val="00510920"/>
    <w:rsid w:val="00522FDC"/>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46C2"/>
    <w:rsid w:val="00602F7D"/>
    <w:rsid w:val="00605952"/>
    <w:rsid w:val="00616BE9"/>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126"/>
    <w:rsid w:val="00751520"/>
    <w:rsid w:val="00766889"/>
    <w:rsid w:val="00766A0D"/>
    <w:rsid w:val="00767F8C"/>
    <w:rsid w:val="00780B67"/>
    <w:rsid w:val="00781D07"/>
    <w:rsid w:val="007A62F8"/>
    <w:rsid w:val="007B1099"/>
    <w:rsid w:val="007B54A4"/>
    <w:rsid w:val="007C6CDF"/>
    <w:rsid w:val="007D0246"/>
    <w:rsid w:val="007F331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17B"/>
    <w:rsid w:val="008D020E"/>
    <w:rsid w:val="008E5067"/>
    <w:rsid w:val="008F036B"/>
    <w:rsid w:val="008F36E4"/>
    <w:rsid w:val="00902A7E"/>
    <w:rsid w:val="00905FD6"/>
    <w:rsid w:val="0090720F"/>
    <w:rsid w:val="0091410B"/>
    <w:rsid w:val="009245E3"/>
    <w:rsid w:val="00942DEE"/>
    <w:rsid w:val="00944F67"/>
    <w:rsid w:val="009553EC"/>
    <w:rsid w:val="00955E45"/>
    <w:rsid w:val="00962B70"/>
    <w:rsid w:val="00967C62"/>
    <w:rsid w:val="00981FDF"/>
    <w:rsid w:val="00982766"/>
    <w:rsid w:val="009852C4"/>
    <w:rsid w:val="0099583E"/>
    <w:rsid w:val="009A0242"/>
    <w:rsid w:val="009A59ED"/>
    <w:rsid w:val="009B101F"/>
    <w:rsid w:val="009B239B"/>
    <w:rsid w:val="009C5642"/>
    <w:rsid w:val="009E13C3"/>
    <w:rsid w:val="009E6A30"/>
    <w:rsid w:val="009E7621"/>
    <w:rsid w:val="009F07D4"/>
    <w:rsid w:val="009F29EB"/>
    <w:rsid w:val="009F4C4C"/>
    <w:rsid w:val="009F7A71"/>
    <w:rsid w:val="00A001A0"/>
    <w:rsid w:val="00A0230D"/>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0A74"/>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12F8"/>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50B3"/>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6F25"/>
    <w:rsid w:val="00ED7400"/>
    <w:rsid w:val="00EF326D"/>
    <w:rsid w:val="00EF53FE"/>
    <w:rsid w:val="00F1171E"/>
    <w:rsid w:val="00F12ADB"/>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5C93"/>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511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5112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7F331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2026-02-27T12:20:00Z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