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1013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1013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1013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1013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10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431C1B9" w:rsidR="0000007A" w:rsidRPr="00F10133" w:rsidRDefault="00397B1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101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F1013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101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5B5B3EF" w:rsidR="0000007A" w:rsidRPr="00F1013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00BED"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7161</w:t>
            </w:r>
          </w:p>
        </w:tc>
      </w:tr>
      <w:tr w:rsidR="0000007A" w:rsidRPr="00F1013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101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54A85D" w:rsidR="0000007A" w:rsidRPr="00F10133" w:rsidRDefault="004929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101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Design, Optimization and In Vitro–In Vivo Evaluation of a </w:t>
            </w:r>
            <w:proofErr w:type="spellStart"/>
            <w:r w:rsidRPr="00F10133">
              <w:rPr>
                <w:rFonts w:ascii="Arial" w:hAnsi="Arial" w:cs="Arial"/>
                <w:b/>
                <w:sz w:val="20"/>
                <w:szCs w:val="20"/>
                <w:lang w:val="en-GB"/>
              </w:rPr>
              <w:t>Nisoldipine</w:t>
            </w:r>
            <w:proofErr w:type="spellEnd"/>
            <w:r w:rsidRPr="00F101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Solid Lipid Nanoparticle Transdermal System</w:t>
            </w:r>
          </w:p>
        </w:tc>
      </w:tr>
      <w:tr w:rsidR="00CF0BBB" w:rsidRPr="00F1013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1013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1F83A63" w:rsidR="00CF0BBB" w:rsidRPr="00F10133" w:rsidRDefault="001076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1013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1013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1013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1013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1013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1013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1013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1013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93D01E1" w:rsidR="00640538" w:rsidRPr="00F10133" w:rsidRDefault="00876BF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1013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228D13C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601FDF41" w:rsidR="00E03C32" w:rsidRDefault="00386059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8605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Nanomedicine &amp; Nanotechnology Open Access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1717C1" w:rsidRPr="001717C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8(4): 000270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C41FC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D41A018" w:rsidR="00E03C32" w:rsidRPr="007B54A4" w:rsidRDefault="00A53725" w:rsidP="00A53725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A5372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10.23880/nnoa-16000270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601FDF41" w:rsidR="00E03C32" w:rsidRDefault="00386059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8605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Nanomedicine &amp; Nanotechnology Open Access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1717C1" w:rsidRPr="001717C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8(4): 000270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C41FC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D41A018" w:rsidR="00E03C32" w:rsidRPr="007B54A4" w:rsidRDefault="00A53725" w:rsidP="00A53725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A5372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10.23880/nnoa-16000270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F1013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1013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1013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F1013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1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1013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1013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133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F10133" w:rsidRDefault="00421DBF" w:rsidP="00F101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10133">
              <w:rPr>
                <w:rFonts w:ascii="Arial" w:hAnsi="Arial" w:cs="Arial"/>
                <w:lang w:val="en-GB"/>
              </w:rPr>
              <w:t>Author’s Feedback</w:t>
            </w:r>
            <w:r w:rsidRPr="00F1013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1013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1013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101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1013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003301" w14:textId="724B4668" w:rsidR="00AB1188" w:rsidRPr="00F10133" w:rsidRDefault="00AB1188" w:rsidP="00AB1188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F10133">
              <w:rPr>
                <w:rFonts w:ascii="Arial" w:hAnsi="Arial" w:cs="Arial"/>
                <w:bCs/>
                <w:sz w:val="20"/>
                <w:szCs w:val="20"/>
              </w:rPr>
              <w:t>This  is</w:t>
            </w:r>
            <w:proofErr w:type="gramEnd"/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  really   </w:t>
            </w:r>
            <w:proofErr w:type="gramStart"/>
            <w:r w:rsidRPr="00F10133">
              <w:rPr>
                <w:rFonts w:ascii="Arial" w:hAnsi="Arial" w:cs="Arial"/>
                <w:bCs/>
                <w:sz w:val="20"/>
                <w:szCs w:val="20"/>
              </w:rPr>
              <w:t>new  methods</w:t>
            </w:r>
            <w:proofErr w:type="gramEnd"/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 for medicals </w:t>
            </w:r>
            <w:proofErr w:type="spellStart"/>
            <w:r w:rsidRPr="00F10133">
              <w:rPr>
                <w:rFonts w:ascii="Arial" w:hAnsi="Arial" w:cs="Arial"/>
                <w:bCs/>
                <w:sz w:val="20"/>
                <w:szCs w:val="20"/>
              </w:rPr>
              <w:t>doamins</w:t>
            </w:r>
            <w:proofErr w:type="spellEnd"/>
          </w:p>
          <w:p w14:paraId="044159BF" w14:textId="77777777" w:rsidR="00AB1188" w:rsidRPr="00F10133" w:rsidRDefault="00AB1188" w:rsidP="00AB1188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896D07" w14:textId="6FB16A21" w:rsidR="00AB1188" w:rsidRPr="00F10133" w:rsidRDefault="00AB1188" w:rsidP="00AB1188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Solid lipid nanoparticle–loaded transdermal patches of </w:t>
            </w:r>
            <w:proofErr w:type="spellStart"/>
            <w:r w:rsidRPr="00F10133">
              <w:rPr>
                <w:rFonts w:ascii="Arial" w:hAnsi="Arial" w:cs="Arial"/>
                <w:bCs/>
                <w:sz w:val="20"/>
                <w:szCs w:val="20"/>
              </w:rPr>
              <w:t>Nisoldipine</w:t>
            </w:r>
            <w:proofErr w:type="spellEnd"/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 were designed, optimized, and evaluated to enhance drug delivery and bioavailability. The optimized formulation (N6) demonstrated improved skin permeation and a 2.52-fold increase in bioavailability compared to the marketed oral formulation by avoiding first-pass metabolism.</w:t>
            </w:r>
          </w:p>
          <w:p w14:paraId="7DBC9196" w14:textId="77777777" w:rsidR="00F1171E" w:rsidRPr="00F10133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13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101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101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805CCAB" w:rsidR="00F1171E" w:rsidRPr="00F10133" w:rsidRDefault="00AB118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 Suitable</w:t>
            </w:r>
            <w:proofErr w:type="gramEnd"/>
          </w:p>
        </w:tc>
        <w:tc>
          <w:tcPr>
            <w:tcW w:w="1523" w:type="pct"/>
          </w:tcPr>
          <w:p w14:paraId="405B6701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13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1013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1013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7AEA08" w14:textId="75D3FF16" w:rsidR="00AB1188" w:rsidRPr="00F10133" w:rsidRDefault="00AB1188" w:rsidP="00AB11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1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Abstract </w:t>
            </w:r>
            <w:proofErr w:type="gramStart"/>
            <w:r w:rsidRPr="00F10133">
              <w:rPr>
                <w:rFonts w:ascii="Arial" w:hAnsi="Arial" w:cs="Arial"/>
                <w:b/>
                <w:bCs/>
                <w:sz w:val="20"/>
                <w:szCs w:val="20"/>
              </w:rPr>
              <w:t>is  goodness</w:t>
            </w:r>
            <w:proofErr w:type="gramEnd"/>
          </w:p>
          <w:p w14:paraId="66B4648B" w14:textId="21D3268E" w:rsidR="00AB1188" w:rsidRPr="00F10133" w:rsidRDefault="00AB1188" w:rsidP="00AB1188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F101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SLN-loaded transdermal patches were designed, optimized, and evaluated </w:t>
            </w:r>
          </w:p>
          <w:p w14:paraId="31820CAD" w14:textId="4CD8C3D6" w:rsidR="00AB1188" w:rsidRPr="00F10133" w:rsidRDefault="00AB1188" w:rsidP="00AB1188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 The optimized formulation N6 showed improved skin permeation </w:t>
            </w:r>
          </w:p>
          <w:p w14:paraId="652D1D11" w14:textId="1E53F673" w:rsidR="00AB1188" w:rsidRPr="00F10133" w:rsidRDefault="00AB1188" w:rsidP="00AB1188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 A 2.52-fold increase in bioavailability compared to the marketed oral formulation is correctly stated </w:t>
            </w:r>
          </w:p>
          <w:p w14:paraId="0EC0F550" w14:textId="02E838AE" w:rsidR="00AB1188" w:rsidRPr="00F10133" w:rsidRDefault="00AB1188" w:rsidP="00AB1188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 The improvement being due to avoidance of first-pass metabolism is scientifically valid</w:t>
            </w:r>
          </w:p>
          <w:p w14:paraId="0FB7E83A" w14:textId="77777777" w:rsidR="00F1171E" w:rsidRPr="00F101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13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1013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1652603" w14:textId="2784899C" w:rsidR="00A376A1" w:rsidRPr="00F10133" w:rsidRDefault="00A376A1" w:rsidP="00A376A1">
            <w:pPr>
              <w:pStyle w:val="ListParagraph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The study successfully demonstrated the development of SLN-loaded transdermal patches of </w:t>
            </w:r>
            <w:proofErr w:type="spellStart"/>
            <w:r w:rsidRPr="00F10133">
              <w:rPr>
                <w:rFonts w:ascii="Arial" w:hAnsi="Arial" w:cs="Arial"/>
                <w:bCs/>
                <w:sz w:val="20"/>
                <w:szCs w:val="20"/>
              </w:rPr>
              <w:t>Nisoldipine</w:t>
            </w:r>
            <w:proofErr w:type="spellEnd"/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 using </w:t>
            </w:r>
            <w:proofErr w:type="spellStart"/>
            <w:r w:rsidRPr="00F10133">
              <w:rPr>
                <w:rFonts w:ascii="Arial" w:hAnsi="Arial" w:cs="Arial"/>
                <w:bCs/>
                <w:sz w:val="20"/>
                <w:szCs w:val="20"/>
              </w:rPr>
              <w:t>Dynasan</w:t>
            </w:r>
            <w:proofErr w:type="spellEnd"/>
            <w:r w:rsidRPr="00F10133">
              <w:rPr>
                <w:rFonts w:ascii="Arial" w:hAnsi="Arial" w:cs="Arial"/>
                <w:bCs/>
                <w:sz w:val="20"/>
                <w:szCs w:val="20"/>
              </w:rPr>
              <w:t xml:space="preserve"> 114 and HPMC E15. The formulation showed good drug–excipient compatibility and enhanced skin permeation with the use of </w:t>
            </w:r>
            <w:proofErr w:type="spellStart"/>
            <w:r w:rsidRPr="00F10133">
              <w:rPr>
                <w:rFonts w:ascii="Arial" w:hAnsi="Arial" w:cs="Arial"/>
                <w:bCs/>
                <w:sz w:val="20"/>
                <w:szCs w:val="20"/>
              </w:rPr>
              <w:t>citral</w:t>
            </w:r>
            <w:proofErr w:type="spellEnd"/>
            <w:r w:rsidRPr="00F10133">
              <w:rPr>
                <w:rFonts w:ascii="Arial" w:hAnsi="Arial" w:cs="Arial"/>
                <w:bCs/>
                <w:sz w:val="20"/>
                <w:szCs w:val="20"/>
              </w:rPr>
              <w:t>, with maximum drug release observed at 8% concentration. In vivo studies in Wistar rats revealed a significant improvement in bioavailability of the test formulation (N6) compared to the marketed product, with a relative bioavailability of 2.52. Improved pharmacokinetic parameters were attributed to enhanced solubility, avoidance of first-pass metabolism, and direct systemic delivery, confirming the suitability of SLN-based transdermal patches for poorly soluble and low-bioavailability drugs</w:t>
            </w:r>
          </w:p>
          <w:p w14:paraId="2B5A7721" w14:textId="04AAD188" w:rsidR="00F1171E" w:rsidRPr="00F10133" w:rsidRDefault="00F1171E" w:rsidP="00AB11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13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101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101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01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D9B6846" w:rsidR="00F1171E" w:rsidRPr="00F10133" w:rsidRDefault="00A376A1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</w:t>
            </w:r>
            <w:proofErr w:type="gramStart"/>
            <w:r w:rsidRPr="00F101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 </w:t>
            </w:r>
            <w:proofErr w:type="spellStart"/>
            <w:r w:rsidRPr="00F10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sufficients</w:t>
            </w:r>
            <w:proofErr w:type="spellEnd"/>
            <w:proofErr w:type="gramEnd"/>
            <w:r w:rsidRPr="00F1013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13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1013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101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E140226" w:rsidR="00F1171E" w:rsidRPr="00F10133" w:rsidRDefault="00A376A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>Yes  suitable</w:t>
            </w:r>
            <w:proofErr w:type="gramEnd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proofErr w:type="gramStart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>for  scholarly</w:t>
            </w:r>
            <w:proofErr w:type="gramEnd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 xml:space="preserve">  communication</w:t>
            </w:r>
          </w:p>
          <w:p w14:paraId="41E28118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1013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1013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1013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101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F78C049" w14:textId="77777777" w:rsidR="00F1171E" w:rsidRPr="00F101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A6B3748" w14:textId="17FF7D5B" w:rsidR="00891300" w:rsidRPr="00F10133" w:rsidRDefault="00891300" w:rsidP="008913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64615245" w:rsidR="00F1171E" w:rsidRPr="00F10133" w:rsidRDefault="00A376A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>All  the</w:t>
            </w:r>
            <w:proofErr w:type="gramEnd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 xml:space="preserve"> figures </w:t>
            </w:r>
            <w:proofErr w:type="gramStart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>and  Graphical</w:t>
            </w:r>
            <w:proofErr w:type="gramEnd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proofErr w:type="gramStart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>representation  is</w:t>
            </w:r>
            <w:proofErr w:type="gramEnd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F10133">
              <w:rPr>
                <w:rFonts w:ascii="Arial" w:hAnsi="Arial" w:cs="Arial"/>
                <w:sz w:val="20"/>
                <w:szCs w:val="20"/>
                <w:lang w:val="en-GB"/>
              </w:rPr>
              <w:t>excellents</w:t>
            </w:r>
            <w:proofErr w:type="spellEnd"/>
          </w:p>
          <w:p w14:paraId="15DFD0E8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101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101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101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16757B27" w:rsidR="00F1171E" w:rsidRPr="00F101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023759" w14:textId="77777777" w:rsidR="00891300" w:rsidRPr="00F10133" w:rsidRDefault="0089130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101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101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F101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D5245" w:rsidRPr="00F10133" w14:paraId="47EB8ECD" w14:textId="77777777" w:rsidTr="000D524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C142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F1013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1013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4D203E0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5245" w:rsidRPr="00F10133" w14:paraId="7CEB1497" w14:textId="77777777" w:rsidTr="000D524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33ED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E2B0" w14:textId="77777777" w:rsidR="000D5245" w:rsidRPr="00F10133" w:rsidRDefault="000D524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60BD" w14:textId="77777777" w:rsidR="000D5245" w:rsidRPr="00F10133" w:rsidRDefault="000D524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01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F1013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1013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D5245" w:rsidRPr="00F10133" w14:paraId="5CA90C5D" w14:textId="77777777" w:rsidTr="000D524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CE34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013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D089B7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0FBE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01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01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01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6A8B2D5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E161CF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002A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7D2D6B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441366" w14:textId="77777777" w:rsidR="000D5245" w:rsidRPr="00F10133" w:rsidRDefault="000D5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022D30C9" w14:textId="77777777" w:rsidR="00F1171E" w:rsidRPr="00F101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DC85AF" w14:textId="77777777" w:rsidR="00F10133" w:rsidRPr="00F10133" w:rsidRDefault="00F1013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192F63" w14:textId="77777777" w:rsidR="00F10133" w:rsidRPr="00F10133" w:rsidRDefault="00F10133" w:rsidP="00F1013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E3BB58C" w14:textId="77777777" w:rsidR="00F10133" w:rsidRPr="00F10133" w:rsidRDefault="00F10133" w:rsidP="00F101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0133">
        <w:rPr>
          <w:rFonts w:ascii="Arial" w:hAnsi="Arial" w:cs="Arial"/>
          <w:b/>
          <w:u w:val="single"/>
        </w:rPr>
        <w:t>Reviewer details:</w:t>
      </w:r>
    </w:p>
    <w:p w14:paraId="23B06167" w14:textId="77777777" w:rsidR="00F10133" w:rsidRPr="00F10133" w:rsidRDefault="00F10133" w:rsidP="00F1013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0955FF8" w14:textId="39214462" w:rsidR="00F10133" w:rsidRPr="00F10133" w:rsidRDefault="00F10133" w:rsidP="00F10133">
      <w:pPr>
        <w:pStyle w:val="Affiliation"/>
        <w:spacing w:after="0" w:line="240" w:lineRule="auto"/>
        <w:jc w:val="left"/>
        <w:rPr>
          <w:rFonts w:ascii="Arial" w:hAnsi="Arial" w:cs="Arial"/>
          <w:b/>
          <w:bCs/>
        </w:rPr>
      </w:pPr>
      <w:r w:rsidRPr="00F10133">
        <w:rPr>
          <w:rFonts w:ascii="Arial" w:hAnsi="Arial" w:cs="Arial"/>
          <w:b/>
          <w:bCs/>
          <w:color w:val="000000"/>
        </w:rPr>
        <w:t>V. Srinivasan, Srinivas University, India</w:t>
      </w:r>
      <w:r w:rsidRPr="00F10133">
        <w:rPr>
          <w:rFonts w:ascii="Arial" w:hAnsi="Arial" w:cs="Arial"/>
          <w:b/>
          <w:bCs/>
          <w:color w:val="000000"/>
        </w:rPr>
        <w:br/>
      </w:r>
    </w:p>
    <w:p w14:paraId="5C8FBB81" w14:textId="77777777" w:rsidR="00F10133" w:rsidRPr="00F10133" w:rsidRDefault="00F1013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0133" w:rsidRPr="00F1013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573E" w14:textId="77777777" w:rsidR="007D7FFA" w:rsidRPr="0000007A" w:rsidRDefault="007D7FFA" w:rsidP="0099583E">
      <w:r>
        <w:separator/>
      </w:r>
    </w:p>
  </w:endnote>
  <w:endnote w:type="continuationSeparator" w:id="0">
    <w:p w14:paraId="31366392" w14:textId="77777777" w:rsidR="007D7FFA" w:rsidRPr="0000007A" w:rsidRDefault="007D7FF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72B1" w14:textId="77777777" w:rsidR="007D7FFA" w:rsidRPr="0000007A" w:rsidRDefault="007D7FFA" w:rsidP="0099583E">
      <w:r>
        <w:separator/>
      </w:r>
    </w:p>
  </w:footnote>
  <w:footnote w:type="continuationSeparator" w:id="0">
    <w:p w14:paraId="6C0ADC4C" w14:textId="77777777" w:rsidR="007D7FFA" w:rsidRPr="0000007A" w:rsidRDefault="007D7FF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0300632">
    <w:abstractNumId w:val="3"/>
  </w:num>
  <w:num w:numId="2" w16cid:durableId="237980029">
    <w:abstractNumId w:val="6"/>
  </w:num>
  <w:num w:numId="3" w16cid:durableId="656422630">
    <w:abstractNumId w:val="5"/>
  </w:num>
  <w:num w:numId="4" w16cid:durableId="1779788608">
    <w:abstractNumId w:val="7"/>
  </w:num>
  <w:num w:numId="5" w16cid:durableId="2026789606">
    <w:abstractNumId w:val="4"/>
  </w:num>
  <w:num w:numId="6" w16cid:durableId="99106315">
    <w:abstractNumId w:val="0"/>
  </w:num>
  <w:num w:numId="7" w16cid:durableId="1863663423">
    <w:abstractNumId w:val="1"/>
  </w:num>
  <w:num w:numId="8" w16cid:durableId="307171937">
    <w:abstractNumId w:val="9"/>
  </w:num>
  <w:num w:numId="9" w16cid:durableId="70082853">
    <w:abstractNumId w:val="8"/>
  </w:num>
  <w:num w:numId="10" w16cid:durableId="148970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0BED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594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5245"/>
    <w:rsid w:val="000E5BD8"/>
    <w:rsid w:val="000F6EA8"/>
    <w:rsid w:val="00101322"/>
    <w:rsid w:val="0010767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7C1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6059"/>
    <w:rsid w:val="00394901"/>
    <w:rsid w:val="00397B1B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29FC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13E8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2EF9"/>
    <w:rsid w:val="007A62F8"/>
    <w:rsid w:val="007A67F5"/>
    <w:rsid w:val="007B1099"/>
    <w:rsid w:val="007B54A4"/>
    <w:rsid w:val="007C6CDF"/>
    <w:rsid w:val="007D0246"/>
    <w:rsid w:val="007D7FF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6BF4"/>
    <w:rsid w:val="00877F10"/>
    <w:rsid w:val="00882091"/>
    <w:rsid w:val="00891300"/>
    <w:rsid w:val="00893E75"/>
    <w:rsid w:val="00895D0A"/>
    <w:rsid w:val="008B265C"/>
    <w:rsid w:val="008C2F62"/>
    <w:rsid w:val="008C4B1F"/>
    <w:rsid w:val="008C75AD"/>
    <w:rsid w:val="008D020E"/>
    <w:rsid w:val="008D36B3"/>
    <w:rsid w:val="008E20A8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6A1"/>
    <w:rsid w:val="00A37DE3"/>
    <w:rsid w:val="00A40B00"/>
    <w:rsid w:val="00A4787C"/>
    <w:rsid w:val="00A51369"/>
    <w:rsid w:val="00A519D1"/>
    <w:rsid w:val="00A5303B"/>
    <w:rsid w:val="00A53725"/>
    <w:rsid w:val="00A65C50"/>
    <w:rsid w:val="00A8290F"/>
    <w:rsid w:val="00AA41B3"/>
    <w:rsid w:val="00AA49A2"/>
    <w:rsid w:val="00AA5338"/>
    <w:rsid w:val="00AB118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1FCA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0133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13E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101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2026-02-10T14:38:00Z</dcterms:created>
  <dcterms:modified xsi:type="dcterms:W3CDTF">2026-02-24T10:59:00Z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