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E02E78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E02E78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E02E78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E02E78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E02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E393B2D" w:rsidR="0000007A" w:rsidRPr="00E02E78" w:rsidRDefault="00D357BE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hyperlink r:id="rId7" w:history="1">
              <w:r w:rsidR="00FB5694" w:rsidRPr="00E02E78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Medical Science: Updates and Prospects</w:t>
              </w:r>
            </w:hyperlink>
          </w:p>
        </w:tc>
      </w:tr>
      <w:tr w:rsidR="0000007A" w:rsidRPr="00E02E78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E02E7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07A239E4" w:rsidR="0000007A" w:rsidRPr="00E02E78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253F3F"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7214</w:t>
            </w:r>
          </w:p>
        </w:tc>
      </w:tr>
      <w:tr w:rsidR="0000007A" w:rsidRPr="00E02E78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E02E78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467FE1D7" w:rsidR="0000007A" w:rsidRPr="00E02E78" w:rsidRDefault="00AC446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E02E78">
              <w:rPr>
                <w:rFonts w:ascii="Arial" w:hAnsi="Arial" w:cs="Arial"/>
                <w:b/>
                <w:sz w:val="20"/>
                <w:szCs w:val="20"/>
                <w:lang w:val="en-GB"/>
              </w:rPr>
              <w:t>Electroencephalography in the ICU: Monitoring the Critically Ill Brain</w:t>
            </w:r>
          </w:p>
        </w:tc>
      </w:tr>
      <w:tr w:rsidR="00CF0BBB" w:rsidRPr="00E02E78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E02E78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7066FC54" w:rsidR="00CF0BBB" w:rsidRPr="00E02E78" w:rsidRDefault="00B211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E02E78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E02E78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7599C49" w14:textId="77777777" w:rsidR="00626025" w:rsidRPr="00E02E78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E02E78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E02E78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02E78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E02E78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E02E78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E02E78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E02E78" w:rsidRDefault="00D357BE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E02E78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1026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604D98B" w:rsidR="00E03C32" w:rsidRDefault="00C8746C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C8746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Bangladesh Critical Care Journal, 2(1), 28–34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 w:rsidR="00432A5F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2014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3BEAD330" w:rsidR="00E03C32" w:rsidRPr="007B54A4" w:rsidRDefault="00E91A4C" w:rsidP="00E91A4C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E91A4C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DOI: </w:t>
                  </w:r>
                  <w:hyperlink r:id="rId8" w:history="1">
                    <w:r w:rsidRPr="003F00BE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https://doi.org/10.3329/bccj.v2i1.19954</w:t>
                    </w:r>
                  </w:hyperlink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E02E78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E02E78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E02E78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E02E78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2E78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E02E78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02E78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E02E78">
              <w:rPr>
                <w:rFonts w:ascii="Arial" w:hAnsi="Arial" w:cs="Arial"/>
                <w:lang w:val="en-GB"/>
              </w:rPr>
              <w:t>Reviewer’s comment</w:t>
            </w:r>
          </w:p>
          <w:p w14:paraId="674EDCCA" w14:textId="2AFB7F5C" w:rsidR="00421DBF" w:rsidRPr="00E02E78" w:rsidRDefault="00421DBF" w:rsidP="001503A7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E02E78">
              <w:rPr>
                <w:rFonts w:ascii="Arial" w:hAnsi="Arial" w:cs="Arial"/>
                <w:lang w:val="en-GB"/>
              </w:rPr>
              <w:t>Author’s Feedback</w:t>
            </w:r>
            <w:r w:rsidRPr="00E02E78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E02E78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E02E78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E02E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E02E78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3C39A7E1" w:rsidR="00F1171E" w:rsidRPr="00E02E78" w:rsidRDefault="00B60A67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Book chapter is valuable to the scientific community by synthesising the role of EEG monitoring in ICU settings, particularly emphasising non-conclusive seizures. It bridges gaps between practical implementation, highlighting </w:t>
            </w:r>
            <w:proofErr w:type="spellStart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cEEG’s</w:t>
            </w:r>
            <w:proofErr w:type="spellEnd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utility for early detection of treatable conditions such as NCSE, PEDs, and ischemia, which recent reviews confirm improve neurological outcomes when addressed promptly.</w:t>
            </w:r>
          </w:p>
        </w:tc>
        <w:tc>
          <w:tcPr>
            <w:tcW w:w="1523" w:type="pct"/>
          </w:tcPr>
          <w:p w14:paraId="462A339C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2E78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E02E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E02E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573B00C7" w:rsidR="00F1171E" w:rsidRPr="00E02E78" w:rsidRDefault="00B60A67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The title is suitable, precise and specific.</w:t>
            </w:r>
          </w:p>
        </w:tc>
        <w:tc>
          <w:tcPr>
            <w:tcW w:w="1523" w:type="pct"/>
          </w:tcPr>
          <w:p w14:paraId="405B6701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2E78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E02E7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E02E78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0E4A435C" w:rsidR="00F1171E" w:rsidRPr="00E02E78" w:rsidRDefault="00AD7008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is comprehensive. Add prevalence stats (</w:t>
            </w:r>
            <w:proofErr w:type="spellStart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eg</w:t>
            </w:r>
            <w:proofErr w:type="spellEnd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NCSz</w:t>
            </w:r>
            <w:proofErr w:type="spellEnd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in 8-48% of comatose patients) with citations, specify </w:t>
            </w:r>
            <w:proofErr w:type="spellStart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cEEG</w:t>
            </w:r>
            <w:proofErr w:type="spellEnd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duration guidelines.</w:t>
            </w:r>
          </w:p>
        </w:tc>
        <w:tc>
          <w:tcPr>
            <w:tcW w:w="1523" w:type="pct"/>
          </w:tcPr>
          <w:p w14:paraId="1D54B730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2E78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E02E78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18E798C4" w:rsidR="00F1171E" w:rsidRPr="00E02E78" w:rsidRDefault="00AD700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This manuscript is scientifically correct. Minor issues include overrating </w:t>
            </w:r>
            <w:proofErr w:type="spellStart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rEEG</w:t>
            </w:r>
            <w:proofErr w:type="spellEnd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limitations without noting modern </w:t>
            </w:r>
            <w:proofErr w:type="spellStart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qEEG</w:t>
            </w:r>
            <w:proofErr w:type="spellEnd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improvements; aetiologies like post-TBI seizures, less than 1% are due to </w:t>
            </w:r>
            <w:proofErr w:type="spellStart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propylaxis</w:t>
            </w:r>
            <w:proofErr w:type="spellEnd"/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, need updated incidence from recent research papers.</w:t>
            </w:r>
          </w:p>
        </w:tc>
        <w:tc>
          <w:tcPr>
            <w:tcW w:w="1523" w:type="pct"/>
          </w:tcPr>
          <w:p w14:paraId="4898F764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2E78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E02E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E02E78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19812338" w:rsidR="00F1171E" w:rsidRPr="00E02E78" w:rsidRDefault="00AD7008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References are sufficient in quantity; web links (references 1-4) are not suitable for research work. Recent gaps: No post-2020 reviews on </w:t>
            </w:r>
            <w:proofErr w:type="spellStart"/>
            <w:r w:rsidRPr="00E02E78">
              <w:rPr>
                <w:rFonts w:ascii="Arial" w:hAnsi="Arial" w:cs="Arial"/>
                <w:b/>
                <w:bCs/>
                <w:sz w:val="20"/>
                <w:szCs w:val="20"/>
              </w:rPr>
              <w:t>qEEG</w:t>
            </w:r>
            <w:proofErr w:type="spellEnd"/>
            <w:r w:rsidRPr="00E02E78">
              <w:rPr>
                <w:rFonts w:ascii="Arial" w:hAnsi="Arial" w:cs="Arial"/>
                <w:b/>
                <w:bCs/>
                <w:sz w:val="20"/>
                <w:szCs w:val="20"/>
              </w:rPr>
              <w:t>/AI advances or COVID-19 ICU EEG data.</w:t>
            </w:r>
          </w:p>
        </w:tc>
        <w:tc>
          <w:tcPr>
            <w:tcW w:w="1523" w:type="pct"/>
          </w:tcPr>
          <w:p w14:paraId="40220055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E02E78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E02E78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E02E78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CBA4B2A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1B4E9F5D" w:rsidR="00F1171E" w:rsidRPr="00E02E78" w:rsidRDefault="00AD7008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E02E78">
              <w:rPr>
                <w:rFonts w:ascii="Arial" w:hAnsi="Arial" w:cs="Arial"/>
                <w:sz w:val="20"/>
                <w:szCs w:val="20"/>
                <w:lang w:val="en-GB"/>
              </w:rPr>
              <w:t>English is adequate, but include correction of grammatical errors and typos.</w:t>
            </w:r>
          </w:p>
          <w:p w14:paraId="297F52DB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bookmarkStart w:id="0" w:name="_GoBack"/>
            <w:bookmarkEnd w:id="0"/>
          </w:p>
          <w:p w14:paraId="149A6CEF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E02E78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E02E78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E02E78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E02E78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E02E78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58C99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E02E78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18DE16F" w14:textId="77777777" w:rsidR="00F1171E" w:rsidRPr="00E02E7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419DE" w:rsidRPr="00E02E78" w14:paraId="33006E77" w14:textId="77777777" w:rsidTr="00AB6321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300AE" w14:textId="77777777" w:rsidR="00B419DE" w:rsidRPr="00E02E78" w:rsidRDefault="00B419DE" w:rsidP="00AB63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E02E78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E02E78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7CFDE328" w14:textId="77777777" w:rsidR="00B419DE" w:rsidRPr="00E02E78" w:rsidRDefault="00B419DE" w:rsidP="00AB6321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419DE" w:rsidRPr="00E02E78" w14:paraId="4B8C38BC" w14:textId="77777777" w:rsidTr="00AB6321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9AABAA" w14:textId="77777777" w:rsidR="00B419DE" w:rsidRPr="00E02E78" w:rsidRDefault="00B419DE" w:rsidP="00AB63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B869D4" w14:textId="77777777" w:rsidR="00B419DE" w:rsidRPr="00E02E78" w:rsidRDefault="00B419DE" w:rsidP="00AB6321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E02E78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27C0D863" w14:textId="77777777" w:rsidR="00B419DE" w:rsidRPr="00E02E78" w:rsidRDefault="00B419DE" w:rsidP="00AB6321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E02E78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E02E78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2C3A16DF" w14:textId="77777777" w:rsidR="00B419DE" w:rsidRPr="00E02E78" w:rsidRDefault="00B419DE" w:rsidP="00AB6321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419DE" w:rsidRPr="00E02E78" w14:paraId="6ED44F08" w14:textId="77777777" w:rsidTr="00AB6321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696853" w14:textId="77777777" w:rsidR="00B419DE" w:rsidRPr="00E02E78" w:rsidRDefault="00B419DE" w:rsidP="00AB6321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E02E78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2FD424CD" w14:textId="77777777" w:rsidR="00B419DE" w:rsidRPr="00E02E78" w:rsidRDefault="00B419DE" w:rsidP="00AB63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8E7B" w14:textId="77777777" w:rsidR="00B419DE" w:rsidRPr="00E02E78" w:rsidRDefault="00B419DE" w:rsidP="00AB6321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E02E7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E02E7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E02E78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762B05DB" w14:textId="77777777" w:rsidR="00B419DE" w:rsidRPr="00E02E78" w:rsidRDefault="00B419DE" w:rsidP="00AB63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6B8CA874" w14:textId="77777777" w:rsidR="00B419DE" w:rsidRPr="00E02E78" w:rsidRDefault="00B419DE" w:rsidP="00AB63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0E275AC3" w14:textId="77777777" w:rsidR="00B419DE" w:rsidRPr="00E02E78" w:rsidRDefault="00B419DE" w:rsidP="00AB63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16D19E9E" w14:textId="77777777" w:rsidR="00B419DE" w:rsidRPr="00E02E78" w:rsidRDefault="00B419DE" w:rsidP="00AB63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2BEDA96" w14:textId="77777777" w:rsidR="00B419DE" w:rsidRPr="00E02E78" w:rsidRDefault="00B419DE" w:rsidP="00AB6321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099B9CF4" w14:textId="77777777" w:rsidR="00E02E78" w:rsidRPr="00E02E78" w:rsidRDefault="00E02E78" w:rsidP="00E02E78">
      <w:pPr>
        <w:rPr>
          <w:rFonts w:ascii="Arial" w:hAnsi="Arial" w:cs="Arial"/>
          <w:b/>
          <w:sz w:val="20"/>
          <w:szCs w:val="20"/>
        </w:rPr>
      </w:pPr>
    </w:p>
    <w:p w14:paraId="3D4C9A62" w14:textId="31E0E388" w:rsidR="00B419DE" w:rsidRPr="00E02E78" w:rsidRDefault="00E02E78" w:rsidP="00E02E78">
      <w:pPr>
        <w:rPr>
          <w:rFonts w:ascii="Arial" w:hAnsi="Arial" w:cs="Arial"/>
          <w:sz w:val="20"/>
          <w:szCs w:val="20"/>
        </w:rPr>
      </w:pPr>
      <w:r w:rsidRPr="00E02E78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3ECB65C9" w14:textId="77777777" w:rsidR="00B419DE" w:rsidRPr="00E02E78" w:rsidRDefault="00B419DE" w:rsidP="00B419DE">
      <w:pPr>
        <w:rPr>
          <w:rFonts w:ascii="Arial" w:hAnsi="Arial" w:cs="Arial"/>
          <w:bCs/>
          <w:sz w:val="20"/>
          <w:szCs w:val="20"/>
          <w:u w:val="single"/>
          <w:lang w:val="en-GB"/>
        </w:rPr>
      </w:pPr>
    </w:p>
    <w:bookmarkEnd w:id="2"/>
    <w:p w14:paraId="1C0CB51A" w14:textId="1FEFA4AB" w:rsidR="00B419DE" w:rsidRPr="00E02E78" w:rsidRDefault="00E02E78" w:rsidP="00E02E78">
      <w:pPr>
        <w:rPr>
          <w:rFonts w:ascii="Arial" w:hAnsi="Arial" w:cs="Arial"/>
          <w:b/>
          <w:sz w:val="20"/>
          <w:szCs w:val="20"/>
        </w:rPr>
      </w:pPr>
      <w:r w:rsidRPr="00E02E78">
        <w:rPr>
          <w:rFonts w:ascii="Arial" w:hAnsi="Arial" w:cs="Arial"/>
          <w:b/>
          <w:sz w:val="20"/>
          <w:szCs w:val="20"/>
        </w:rPr>
        <w:t xml:space="preserve">Sameera </w:t>
      </w:r>
      <w:proofErr w:type="spellStart"/>
      <w:r w:rsidRPr="00E02E78">
        <w:rPr>
          <w:rFonts w:ascii="Arial" w:hAnsi="Arial" w:cs="Arial"/>
          <w:b/>
          <w:sz w:val="20"/>
          <w:szCs w:val="20"/>
        </w:rPr>
        <w:t>Tarannum</w:t>
      </w:r>
      <w:proofErr w:type="spellEnd"/>
      <w:r w:rsidRPr="00E02E78">
        <w:rPr>
          <w:rFonts w:ascii="Arial" w:hAnsi="Arial" w:cs="Arial"/>
          <w:b/>
          <w:sz w:val="20"/>
          <w:szCs w:val="20"/>
        </w:rPr>
        <w:t xml:space="preserve">, </w:t>
      </w:r>
      <w:r w:rsidRPr="00E02E78">
        <w:rPr>
          <w:rFonts w:ascii="Arial" w:hAnsi="Arial" w:cs="Arial"/>
          <w:b/>
          <w:sz w:val="20"/>
          <w:szCs w:val="20"/>
        </w:rPr>
        <w:t>Osmania University</w:t>
      </w:r>
      <w:r w:rsidRPr="00E02E78">
        <w:rPr>
          <w:rFonts w:ascii="Arial" w:hAnsi="Arial" w:cs="Arial"/>
          <w:b/>
          <w:sz w:val="20"/>
          <w:szCs w:val="20"/>
        </w:rPr>
        <w:t xml:space="preserve">, </w:t>
      </w:r>
      <w:r w:rsidRPr="00E02E78">
        <w:rPr>
          <w:rFonts w:ascii="Arial" w:hAnsi="Arial" w:cs="Arial"/>
          <w:b/>
          <w:sz w:val="20"/>
          <w:szCs w:val="20"/>
        </w:rPr>
        <w:t>India</w:t>
      </w:r>
    </w:p>
    <w:p w14:paraId="1B0E4DC5" w14:textId="77777777" w:rsidR="00F1171E" w:rsidRPr="00E02E78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F1171E" w:rsidRPr="00E02E78" w:rsidSect="0017545C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47B6FE" w14:textId="77777777" w:rsidR="00D357BE" w:rsidRPr="0000007A" w:rsidRDefault="00D357BE" w:rsidP="0099583E">
      <w:r>
        <w:separator/>
      </w:r>
    </w:p>
  </w:endnote>
  <w:endnote w:type="continuationSeparator" w:id="0">
    <w:p w14:paraId="2A4BC57A" w14:textId="77777777" w:rsidR="00D357BE" w:rsidRPr="0000007A" w:rsidRDefault="00D357BE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89ED10" w14:textId="77777777" w:rsidR="00D357BE" w:rsidRPr="0000007A" w:rsidRDefault="00D357BE" w:rsidP="0099583E">
      <w:r>
        <w:separator/>
      </w:r>
    </w:p>
  </w:footnote>
  <w:footnote w:type="continuationSeparator" w:id="0">
    <w:p w14:paraId="03A3E0F4" w14:textId="77777777" w:rsidR="00D357BE" w:rsidRPr="0000007A" w:rsidRDefault="00D357BE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03A7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B5029"/>
    <w:rsid w:val="001D3A1D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3F3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21DBF"/>
    <w:rsid w:val="0042465A"/>
    <w:rsid w:val="00432A5F"/>
    <w:rsid w:val="00435B36"/>
    <w:rsid w:val="00442B24"/>
    <w:rsid w:val="004430CD"/>
    <w:rsid w:val="0044432B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67E5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A1EA6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56FF8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04A2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C4463"/>
    <w:rsid w:val="00AD6C51"/>
    <w:rsid w:val="00AD7008"/>
    <w:rsid w:val="00AE0E9B"/>
    <w:rsid w:val="00AE54CD"/>
    <w:rsid w:val="00AF3016"/>
    <w:rsid w:val="00B03A45"/>
    <w:rsid w:val="00B16CF6"/>
    <w:rsid w:val="00B211E8"/>
    <w:rsid w:val="00B2236C"/>
    <w:rsid w:val="00B22FE6"/>
    <w:rsid w:val="00B3033D"/>
    <w:rsid w:val="00B334D9"/>
    <w:rsid w:val="00B37FF7"/>
    <w:rsid w:val="00B419DE"/>
    <w:rsid w:val="00B53059"/>
    <w:rsid w:val="00B562D2"/>
    <w:rsid w:val="00B60A67"/>
    <w:rsid w:val="00B62087"/>
    <w:rsid w:val="00B62F41"/>
    <w:rsid w:val="00B63782"/>
    <w:rsid w:val="00B66599"/>
    <w:rsid w:val="00B760E1"/>
    <w:rsid w:val="00B82FFC"/>
    <w:rsid w:val="00B87439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8746C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03CF6"/>
    <w:rsid w:val="00D1283A"/>
    <w:rsid w:val="00D12970"/>
    <w:rsid w:val="00D17979"/>
    <w:rsid w:val="00D2075F"/>
    <w:rsid w:val="00D24CBE"/>
    <w:rsid w:val="00D27A79"/>
    <w:rsid w:val="00D32AC2"/>
    <w:rsid w:val="00D357BE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2E78"/>
    <w:rsid w:val="00E03C32"/>
    <w:rsid w:val="00E11BEA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1A4C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07502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694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329/bccj.v2i1.1995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ookstore.bookpi.org/product/medical-science-updates-and-prospects-vol-1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421</Words>
  <Characters>2405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2821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Editor-11</cp:lastModifiedBy>
  <cp:revision>117</cp:revision>
  <dcterms:created xsi:type="dcterms:W3CDTF">2023-08-30T09:21:00Z</dcterms:created>
  <dcterms:modified xsi:type="dcterms:W3CDTF">2026-03-06T06:03:00Z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