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66D0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66D0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66D0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66D0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66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E54920C" w:rsidR="0000007A" w:rsidRPr="00266D0D" w:rsidRDefault="005927B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66D0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266D0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66D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75AA89A" w:rsidR="0000007A" w:rsidRPr="00266D0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62EA4"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7302</w:t>
            </w:r>
          </w:p>
        </w:tc>
      </w:tr>
      <w:tr w:rsidR="0000007A" w:rsidRPr="00266D0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66D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2C07FEE" w:rsidR="0000007A" w:rsidRPr="00266D0D" w:rsidRDefault="00555AE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66D0D">
              <w:rPr>
                <w:rFonts w:ascii="Arial" w:hAnsi="Arial" w:cs="Arial"/>
                <w:b/>
                <w:sz w:val="20"/>
                <w:szCs w:val="20"/>
                <w:lang w:val="en-GB"/>
              </w:rPr>
              <w:t>Intellectual Disability in Rural India: Recent Advances, Persistent Challenges and Emerging Trends</w:t>
            </w:r>
          </w:p>
        </w:tc>
      </w:tr>
      <w:tr w:rsidR="00CF0BBB" w:rsidRPr="00266D0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66D0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9B9055B" w:rsidR="00CF0BBB" w:rsidRPr="00266D0D" w:rsidRDefault="008D319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266D0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266D0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266D0D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266D0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266D0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66D0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66D0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66D0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66D0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82CDBB8" w:rsidR="00640538" w:rsidRPr="00266D0D" w:rsidRDefault="005B7BFC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66D0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523D63DC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21144371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4910F92" w:rsidR="00E03C32" w:rsidRDefault="00587FFC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87FF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Journal of Education, Society and </w:t>
                            </w:r>
                            <w:proofErr w:type="spellStart"/>
                            <w:r w:rsidRPr="00587FF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Behavioural</w:t>
                            </w:r>
                            <w:proofErr w:type="spellEnd"/>
                            <w:r w:rsidRPr="00587FF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Science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37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587FF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17-30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5D1EA0EA" w:rsidR="00E03C32" w:rsidRPr="007B54A4" w:rsidRDefault="00587FFC" w:rsidP="00587FFC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87FF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587FF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jesbs</w:t>
                            </w:r>
                            <w:proofErr w:type="spellEnd"/>
                            <w:r w:rsidRPr="00587FF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/2024/v37i51320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4910F92" w:rsidR="00E03C32" w:rsidRDefault="00587FFC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87FF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Journal of Education, Society and </w:t>
                      </w:r>
                      <w:proofErr w:type="spellStart"/>
                      <w:r w:rsidRPr="00587FF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Behavioural</w:t>
                      </w:r>
                      <w:proofErr w:type="spellEnd"/>
                      <w:r w:rsidRPr="00587FF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Science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37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587FF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17-30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5D1EA0EA" w:rsidR="00E03C32" w:rsidRPr="007B54A4" w:rsidRDefault="00587FFC" w:rsidP="00587FFC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87FF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587FF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jesbs</w:t>
                      </w:r>
                      <w:proofErr w:type="spellEnd"/>
                      <w:r w:rsidRPr="00587FF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/2024/v37i51320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266D0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66D0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66D0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266D0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66D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6D0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66D0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66D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66D0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66D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66D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6D0D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266D0D" w:rsidRDefault="00421DBF" w:rsidP="00FD70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66D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66D0D">
              <w:rPr>
                <w:rFonts w:ascii="Arial" w:hAnsi="Arial" w:cs="Arial"/>
                <w:lang w:val="en-GB"/>
              </w:rPr>
              <w:t>Author’s Feedback</w:t>
            </w:r>
            <w:r w:rsidRPr="00266D0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66D0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66D0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66D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66D0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CEDC147" w:rsidR="00F1171E" w:rsidRPr="00266D0D" w:rsidRDefault="005A5BA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topic need to well discussed in the present scenario while an epidemiological shift is happening from communicable diseases. </w:t>
            </w:r>
            <w:proofErr w:type="spellStart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disability, if intervened at an early age cannot heal the disease but can contribute to a better life of affected individual and care giver. Hence, awareness, source of knowledge, need for early screening especially community based is significant. I am working in this field especially in rural community </w:t>
            </w:r>
            <w:proofErr w:type="gramStart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since</w:t>
            </w:r>
            <w:proofErr w:type="gramEnd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4 years and appreciating the effort of the author </w:t>
            </w:r>
            <w:proofErr w:type="gramStart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 selecting</w:t>
            </w:r>
            <w:proofErr w:type="gramEnd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topic and inviting attention of healthcare </w:t>
            </w:r>
            <w:proofErr w:type="spellStart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proffesionals</w:t>
            </w:r>
            <w:proofErr w:type="spellEnd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this field.</w:t>
            </w:r>
          </w:p>
        </w:tc>
        <w:tc>
          <w:tcPr>
            <w:tcW w:w="1523" w:type="pct"/>
          </w:tcPr>
          <w:p w14:paraId="462A339C" w14:textId="77777777" w:rsidR="00F1171E" w:rsidRPr="00266D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6D0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66D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66D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66D0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EFCDCE9" w:rsidR="00F1171E" w:rsidRPr="00266D0D" w:rsidRDefault="005A5BA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catchy and attractive. But I doubt whether it serves in </w:t>
            </w:r>
            <w:r w:rsidR="00586C07"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content.</w:t>
            </w:r>
          </w:p>
        </w:tc>
        <w:tc>
          <w:tcPr>
            <w:tcW w:w="1523" w:type="pct"/>
          </w:tcPr>
          <w:p w14:paraId="405B6701" w14:textId="77777777" w:rsidR="00F1171E" w:rsidRPr="00266D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6D0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66D0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66D0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66D0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A3B6A82" w:rsidR="00F1171E" w:rsidRPr="00266D0D" w:rsidRDefault="00586C0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could have been </w:t>
            </w:r>
            <w:proofErr w:type="spellStart"/>
            <w:proofErr w:type="gramStart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structured.A</w:t>
            </w:r>
            <w:proofErr w:type="spellEnd"/>
            <w:proofErr w:type="gramEnd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small pretext about the flow of topics in the chapter would have been better.</w:t>
            </w:r>
          </w:p>
        </w:tc>
        <w:tc>
          <w:tcPr>
            <w:tcW w:w="1523" w:type="pct"/>
          </w:tcPr>
          <w:p w14:paraId="1D54B730" w14:textId="77777777" w:rsidR="00F1171E" w:rsidRPr="00266D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6D0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66D0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4349E47" w:rsidR="00F1171E" w:rsidRPr="00266D0D" w:rsidRDefault="00586C0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scientific and gives an insight about the subject. But </w:t>
            </w:r>
            <w:proofErr w:type="spellStart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repetetions</w:t>
            </w:r>
            <w:proofErr w:type="spellEnd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should be handled. More clinically relevant </w:t>
            </w:r>
            <w:proofErr w:type="spellStart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informations</w:t>
            </w:r>
            <w:proofErr w:type="spellEnd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would have been helpful. As the author used a descriptive pattern from multiple articles, an analytical data based on multiple articles (</w:t>
            </w:r>
            <w:proofErr w:type="spellStart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eg.</w:t>
            </w:r>
            <w:proofErr w:type="spellEnd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Using forest plot) would have been more scientific. Though telemedicine is emerging, a child with ID </w:t>
            </w:r>
            <w:proofErr w:type="gramStart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be diagnosed and categorised for which IQ test, Biochemical evaluation for inborn errors of metabolism </w:t>
            </w:r>
            <w:r w:rsidR="00E67ECB"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along with MRI is required which is failed to explain in the main manuscript. Rather than genetic disorder due to consanguineous marriage more predisposition related articles are available. So timely </w:t>
            </w:r>
            <w:proofErr w:type="spellStart"/>
            <w:r w:rsidR="00E67ECB"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updation</w:t>
            </w:r>
            <w:proofErr w:type="spellEnd"/>
            <w:r w:rsidR="00E67ECB"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information is recommended.</w:t>
            </w:r>
          </w:p>
        </w:tc>
        <w:tc>
          <w:tcPr>
            <w:tcW w:w="1523" w:type="pct"/>
          </w:tcPr>
          <w:p w14:paraId="4898F764" w14:textId="77777777" w:rsidR="00F1171E" w:rsidRPr="00266D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6D0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66D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66D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6D0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D7AEA1D" w:rsidR="00F1171E" w:rsidRPr="00266D0D" w:rsidRDefault="00E67EC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very old and failed to include recent advances.</w:t>
            </w:r>
          </w:p>
        </w:tc>
        <w:tc>
          <w:tcPr>
            <w:tcW w:w="1523" w:type="pct"/>
          </w:tcPr>
          <w:p w14:paraId="40220055" w14:textId="77777777" w:rsidR="00F1171E" w:rsidRPr="00266D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6D0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66D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66D0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66D0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66D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66D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31D8016" w:rsidR="00F1171E" w:rsidRPr="00266D0D" w:rsidRDefault="00E67EC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  <w:p w14:paraId="41E28118" w14:textId="77777777" w:rsidR="00F1171E" w:rsidRPr="00266D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266D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66D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66D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66D0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66D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0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66D0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66D0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66D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66D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266D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422F3151" w:rsidR="00F1171E" w:rsidRPr="00266D0D" w:rsidRDefault="00E67EC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6D0D">
              <w:rPr>
                <w:rFonts w:ascii="Arial" w:hAnsi="Arial" w:cs="Arial"/>
                <w:sz w:val="20"/>
                <w:szCs w:val="20"/>
                <w:lang w:val="en-GB"/>
              </w:rPr>
              <w:t xml:space="preserve">Addition of data from experts in this field by in depth interview or </w:t>
            </w:r>
            <w:proofErr w:type="spellStart"/>
            <w:r w:rsidRPr="00266D0D">
              <w:rPr>
                <w:rFonts w:ascii="Arial" w:hAnsi="Arial" w:cs="Arial"/>
                <w:sz w:val="20"/>
                <w:szCs w:val="20"/>
                <w:lang w:val="en-GB"/>
              </w:rPr>
              <w:t>delphi</w:t>
            </w:r>
            <w:proofErr w:type="spellEnd"/>
            <w:r w:rsidRPr="00266D0D">
              <w:rPr>
                <w:rFonts w:ascii="Arial" w:hAnsi="Arial" w:cs="Arial"/>
                <w:sz w:val="20"/>
                <w:szCs w:val="20"/>
                <w:lang w:val="en-GB"/>
              </w:rPr>
              <w:t xml:space="preserve"> technique will give more insights.</w:t>
            </w:r>
          </w:p>
          <w:p w14:paraId="15DFD0E8" w14:textId="77777777" w:rsidR="00F1171E" w:rsidRPr="00266D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66D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66D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66D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266D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266D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266D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266D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266D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1DF16E" w14:textId="77777777" w:rsidR="00266D0D" w:rsidRPr="00266D0D" w:rsidRDefault="00266D0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266D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266D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266D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A8189E" w:rsidRPr="00266D0D" w14:paraId="417C4C14" w14:textId="77777777" w:rsidTr="002274B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A059" w14:textId="77777777" w:rsidR="00A8189E" w:rsidRPr="00266D0D" w:rsidRDefault="00A8189E" w:rsidP="002274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66D0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66D0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E56580A" w14:textId="77777777" w:rsidR="00A8189E" w:rsidRPr="00266D0D" w:rsidRDefault="00A8189E" w:rsidP="002274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8189E" w:rsidRPr="00266D0D" w14:paraId="05C36CC4" w14:textId="77777777" w:rsidTr="002274B5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69F0" w14:textId="77777777" w:rsidR="00A8189E" w:rsidRPr="00266D0D" w:rsidRDefault="00A8189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11C0" w14:textId="77777777" w:rsidR="00A8189E" w:rsidRPr="00266D0D" w:rsidRDefault="00A8189E" w:rsidP="002274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6D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285CC5E" w14:textId="77777777" w:rsidR="00A8189E" w:rsidRPr="00266D0D" w:rsidRDefault="00A8189E" w:rsidP="002274B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6D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6D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FDEEEB" w14:textId="77777777" w:rsidR="00A8189E" w:rsidRPr="00266D0D" w:rsidRDefault="00A8189E" w:rsidP="002274B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189E" w:rsidRPr="00266D0D" w14:paraId="05464327" w14:textId="77777777" w:rsidTr="002274B5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41F2" w14:textId="77777777" w:rsidR="00A8189E" w:rsidRPr="00266D0D" w:rsidRDefault="00A8189E" w:rsidP="002274B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66D0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75EA7DD" w14:textId="77777777" w:rsidR="00A8189E" w:rsidRPr="00266D0D" w:rsidRDefault="00A8189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A9467" w14:textId="77777777" w:rsidR="00A8189E" w:rsidRPr="00266D0D" w:rsidRDefault="00A8189E" w:rsidP="002274B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66D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66D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66D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EFBFDB6" w14:textId="77777777" w:rsidR="00A8189E" w:rsidRPr="00266D0D" w:rsidRDefault="00A8189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40F97C" w14:textId="77777777" w:rsidR="00A8189E" w:rsidRPr="00266D0D" w:rsidRDefault="00A8189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BAFDB63" w14:textId="77777777" w:rsidR="00A8189E" w:rsidRPr="00266D0D" w:rsidRDefault="00A8189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800BC6" w14:textId="77777777" w:rsidR="00A8189E" w:rsidRPr="00266D0D" w:rsidRDefault="00A8189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50AE93" w14:textId="77777777" w:rsidR="00A8189E" w:rsidRPr="00266D0D" w:rsidRDefault="00A8189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38AEB7C" w14:textId="77777777" w:rsidR="00A8189E" w:rsidRPr="00266D0D" w:rsidRDefault="00A8189E" w:rsidP="00A8189E">
      <w:pPr>
        <w:rPr>
          <w:rFonts w:ascii="Arial" w:hAnsi="Arial" w:cs="Arial"/>
          <w:sz w:val="20"/>
          <w:szCs w:val="20"/>
        </w:rPr>
      </w:pPr>
    </w:p>
    <w:p w14:paraId="3378D65B" w14:textId="77777777" w:rsidR="00A8189E" w:rsidRPr="00266D0D" w:rsidRDefault="00A8189E" w:rsidP="00A8189E">
      <w:pPr>
        <w:rPr>
          <w:rFonts w:ascii="Arial" w:hAnsi="Arial" w:cs="Arial"/>
          <w:sz w:val="20"/>
          <w:szCs w:val="20"/>
        </w:rPr>
      </w:pPr>
    </w:p>
    <w:p w14:paraId="58314C08" w14:textId="77777777" w:rsidR="00266D0D" w:rsidRPr="00266D0D" w:rsidRDefault="00266D0D" w:rsidP="00266D0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66D0D">
        <w:rPr>
          <w:rFonts w:ascii="Arial" w:hAnsi="Arial" w:cs="Arial"/>
          <w:b/>
          <w:u w:val="single"/>
        </w:rPr>
        <w:t>Reviewer details:</w:t>
      </w:r>
    </w:p>
    <w:p w14:paraId="3DC42086" w14:textId="77777777" w:rsidR="00A8189E" w:rsidRPr="00266D0D" w:rsidRDefault="00A8189E" w:rsidP="00A8189E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9E4514" w14:textId="21CF3062" w:rsidR="00266D0D" w:rsidRPr="00266D0D" w:rsidRDefault="00266D0D" w:rsidP="00A8189E">
      <w:pPr>
        <w:rPr>
          <w:rFonts w:ascii="Arial" w:hAnsi="Arial" w:cs="Arial"/>
          <w:bCs/>
          <w:sz w:val="20"/>
          <w:szCs w:val="20"/>
          <w:u w:val="single"/>
        </w:rPr>
      </w:pPr>
      <w:r w:rsidRPr="00266D0D">
        <w:rPr>
          <w:rFonts w:ascii="Arial" w:hAnsi="Arial" w:cs="Arial"/>
          <w:b/>
          <w:bCs/>
          <w:color w:val="000000"/>
          <w:sz w:val="20"/>
          <w:szCs w:val="20"/>
        </w:rPr>
        <w:t>Gokul Santhosh</w:t>
      </w:r>
      <w:r w:rsidRPr="00266D0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266D0D">
        <w:rPr>
          <w:rFonts w:ascii="Arial" w:hAnsi="Arial" w:cs="Arial"/>
          <w:b/>
          <w:bCs/>
          <w:color w:val="000000"/>
          <w:sz w:val="20"/>
          <w:szCs w:val="20"/>
        </w:rPr>
        <w:t>Employee State Insurance Corporation (ESIC) Medical College, India</w:t>
      </w:r>
      <w:r w:rsidRPr="00266D0D">
        <w:rPr>
          <w:rFonts w:ascii="Arial" w:hAnsi="Arial" w:cs="Arial"/>
          <w:color w:val="000000"/>
          <w:sz w:val="20"/>
          <w:szCs w:val="20"/>
        </w:rPr>
        <w:br/>
      </w:r>
    </w:p>
    <w:bookmarkEnd w:id="1"/>
    <w:p w14:paraId="282088C0" w14:textId="77777777" w:rsidR="00A8189E" w:rsidRPr="00266D0D" w:rsidRDefault="00A8189E" w:rsidP="00A8189E">
      <w:pPr>
        <w:rPr>
          <w:rFonts w:ascii="Arial" w:hAnsi="Arial" w:cs="Arial"/>
          <w:sz w:val="20"/>
          <w:szCs w:val="20"/>
        </w:rPr>
      </w:pPr>
    </w:p>
    <w:p w14:paraId="4437A01F" w14:textId="77777777" w:rsidR="00F1171E" w:rsidRPr="00266D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266D0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D8FF" w14:textId="77777777" w:rsidR="00964D64" w:rsidRPr="0000007A" w:rsidRDefault="00964D64" w:rsidP="0099583E">
      <w:r>
        <w:separator/>
      </w:r>
    </w:p>
  </w:endnote>
  <w:endnote w:type="continuationSeparator" w:id="0">
    <w:p w14:paraId="195EDE22" w14:textId="77777777" w:rsidR="00964D64" w:rsidRPr="0000007A" w:rsidRDefault="00964D6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B425" w14:textId="77777777" w:rsidR="00964D64" w:rsidRPr="0000007A" w:rsidRDefault="00964D64" w:rsidP="0099583E">
      <w:r>
        <w:separator/>
      </w:r>
    </w:p>
  </w:footnote>
  <w:footnote w:type="continuationSeparator" w:id="0">
    <w:p w14:paraId="63FF4179" w14:textId="77777777" w:rsidR="00964D64" w:rsidRPr="0000007A" w:rsidRDefault="00964D6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6777627">
    <w:abstractNumId w:val="3"/>
  </w:num>
  <w:num w:numId="2" w16cid:durableId="440149872">
    <w:abstractNumId w:val="6"/>
  </w:num>
  <w:num w:numId="3" w16cid:durableId="777985553">
    <w:abstractNumId w:val="5"/>
  </w:num>
  <w:num w:numId="4" w16cid:durableId="1549680075">
    <w:abstractNumId w:val="7"/>
  </w:num>
  <w:num w:numId="5" w16cid:durableId="1123960260">
    <w:abstractNumId w:val="4"/>
  </w:num>
  <w:num w:numId="6" w16cid:durableId="924654294">
    <w:abstractNumId w:val="0"/>
  </w:num>
  <w:num w:numId="7" w16cid:durableId="1871412579">
    <w:abstractNumId w:val="1"/>
  </w:num>
  <w:num w:numId="8" w16cid:durableId="617835815">
    <w:abstractNumId w:val="9"/>
  </w:num>
  <w:num w:numId="9" w16cid:durableId="1144857344">
    <w:abstractNumId w:val="8"/>
  </w:num>
  <w:num w:numId="10" w16cid:durableId="600843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6D0D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2EA4"/>
    <w:rsid w:val="00372CE3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4975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5AE0"/>
    <w:rsid w:val="00557CD3"/>
    <w:rsid w:val="00560D3C"/>
    <w:rsid w:val="00565D90"/>
    <w:rsid w:val="00567DE0"/>
    <w:rsid w:val="005735A5"/>
    <w:rsid w:val="005757CF"/>
    <w:rsid w:val="00580903"/>
    <w:rsid w:val="00581FF9"/>
    <w:rsid w:val="00586C07"/>
    <w:rsid w:val="00587FFC"/>
    <w:rsid w:val="005927BA"/>
    <w:rsid w:val="005A4F17"/>
    <w:rsid w:val="005A5BA3"/>
    <w:rsid w:val="005B3509"/>
    <w:rsid w:val="005B7BFC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319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4D64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00D8"/>
    <w:rsid w:val="00A51369"/>
    <w:rsid w:val="00A519D1"/>
    <w:rsid w:val="00A5303B"/>
    <w:rsid w:val="00A65C50"/>
    <w:rsid w:val="00A8189E"/>
    <w:rsid w:val="00A8290F"/>
    <w:rsid w:val="00A91D88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0734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2EE7"/>
    <w:rsid w:val="00DE7D30"/>
    <w:rsid w:val="00DF04E3"/>
    <w:rsid w:val="00E03C32"/>
    <w:rsid w:val="00E30E83"/>
    <w:rsid w:val="00E3111A"/>
    <w:rsid w:val="00E451EA"/>
    <w:rsid w:val="00E57F4B"/>
    <w:rsid w:val="00E63889"/>
    <w:rsid w:val="00E63A98"/>
    <w:rsid w:val="00E645E9"/>
    <w:rsid w:val="00E65596"/>
    <w:rsid w:val="00E66385"/>
    <w:rsid w:val="00E67ECB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D70D0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F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87F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266D0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2026-03-06T17:29:00Z</dcterms:created>
  <dcterms:modified xsi:type="dcterms:W3CDTF">2026-03-12T11:50:00Z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