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Reviewer Report" w:id="1"/>
      <w:bookmarkEnd w:id="1"/>
      <w:r>
        <w:rPr>
          <w:b w:val="0"/>
        </w:rPr>
      </w:r>
      <w:r>
        <w:rPr/>
        <w:t>Reviewer</w:t>
      </w:r>
      <w:r>
        <w:rPr>
          <w:spacing w:val="-13"/>
        </w:rPr>
        <w:t> </w:t>
      </w:r>
      <w:r>
        <w:rPr>
          <w:spacing w:val="-2"/>
        </w:rPr>
        <w:t>Report</w:t>
      </w:r>
    </w:p>
    <w:p>
      <w:pPr>
        <w:spacing w:line="247" w:lineRule="auto" w:before="272"/>
        <w:ind w:left="0" w:right="120" w:firstLine="0"/>
        <w:jc w:val="left"/>
        <w:rPr>
          <w:sz w:val="24"/>
        </w:rPr>
      </w:pPr>
      <w:r>
        <w:rPr>
          <w:b/>
          <w:sz w:val="24"/>
        </w:rPr>
        <w:t>Manuscript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sz w:val="24"/>
        </w:rPr>
        <w:t>Coefficient Bounds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New</w:t>
      </w:r>
      <w:r>
        <w:rPr>
          <w:spacing w:val="-9"/>
          <w:sz w:val="24"/>
        </w:rPr>
        <w:t> </w:t>
      </w:r>
      <w:r>
        <w:rPr>
          <w:sz w:val="24"/>
        </w:rPr>
        <w:t>Subclass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Bi-Univalent Functions Associated with the Salagean Differential Operator</w:t>
      </w:r>
    </w:p>
    <w:p>
      <w:pPr>
        <w:pStyle w:val="BodyText"/>
        <w:spacing w:line="273" w:lineRule="auto" w:before="272"/>
        <w:ind w:left="0" w:right="120" w:firstLine="0"/>
      </w:pPr>
      <w:r>
        <w:rPr/>
        <w:t>The</w:t>
      </w:r>
      <w:r>
        <w:rPr>
          <w:spacing w:val="-8"/>
        </w:rPr>
        <w:t> </w:t>
      </w:r>
      <w:r>
        <w:rPr/>
        <w:t>authors</w:t>
      </w:r>
      <w:r>
        <w:rPr>
          <w:spacing w:val="-1"/>
        </w:rPr>
        <w:t> </w:t>
      </w:r>
      <w:r>
        <w:rPr/>
        <w:t>introduce</w:t>
      </w:r>
      <w:r>
        <w:rPr>
          <w:spacing w:val="-8"/>
        </w:rPr>
        <w:t> </w:t>
      </w:r>
      <w:r>
        <w:rPr/>
        <w:t>a new</w:t>
      </w:r>
      <w:r>
        <w:rPr>
          <w:spacing w:val="-7"/>
        </w:rPr>
        <w:t> </w:t>
      </w:r>
      <w:r>
        <w:rPr/>
        <w:t>subclass of</w:t>
      </w:r>
      <w:r>
        <w:rPr>
          <w:spacing w:val="-3"/>
        </w:rPr>
        <w:t> </w:t>
      </w:r>
      <w:r>
        <w:rPr/>
        <w:t>analytic</w:t>
      </w:r>
      <w:r>
        <w:rPr>
          <w:spacing w:val="-3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defined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unit disk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derive</w:t>
      </w:r>
      <w:r>
        <w:rPr>
          <w:spacing w:val="-8"/>
        </w:rPr>
        <w:t> </w:t>
      </w:r>
      <w:r>
        <w:rPr/>
        <w:t>bounds</w:t>
      </w:r>
      <w:r>
        <w:rPr>
          <w:spacing w:val="-1"/>
        </w:rPr>
        <w:t> </w:t>
      </w:r>
      <w:r>
        <w:rPr/>
        <w:t>for the initial Taylor–Maclaurin coefficients. The obtained results contribute to the ongoing research on coefficient problems for bi-univalent functions and may be useful for further developments in analytic function theory. The results appear to generalize some previously known results in the literature.</w:t>
      </w:r>
    </w:p>
    <w:p>
      <w:pPr>
        <w:spacing w:line="268" w:lineRule="auto" w:before="210"/>
        <w:ind w:left="0" w:right="12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manuscript</w:t>
      </w:r>
      <w:r>
        <w:rPr>
          <w:spacing w:val="-2"/>
          <w:sz w:val="22"/>
        </w:rPr>
        <w:t> </w:t>
      </w:r>
      <w:r>
        <w:rPr>
          <w:sz w:val="22"/>
        </w:rPr>
        <w:t>presents</w:t>
      </w:r>
      <w:r>
        <w:rPr>
          <w:spacing w:val="-3"/>
          <w:sz w:val="22"/>
        </w:rPr>
        <w:t> </w:t>
      </w:r>
      <w:r>
        <w:rPr>
          <w:sz w:val="22"/>
        </w:rPr>
        <w:t>interesting</w:t>
      </w:r>
      <w:r>
        <w:rPr>
          <w:spacing w:val="-7"/>
          <w:sz w:val="22"/>
        </w:rPr>
        <w:t> </w:t>
      </w: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b/>
          <w:sz w:val="22"/>
        </w:rPr>
        <w:t>geometric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function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theory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requires </w:t>
      </w:r>
      <w:r>
        <w:rPr>
          <w:b/>
          <w:sz w:val="22"/>
        </w:rPr>
        <w:t>minor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 moderate revisions </w:t>
      </w:r>
      <w:r>
        <w:rPr>
          <w:sz w:val="22"/>
        </w:rPr>
        <w:t>before it can be considered for publication.</w:t>
      </w:r>
    </w:p>
    <w:p>
      <w:pPr>
        <w:pStyle w:val="BodyText"/>
        <w:spacing w:before="211"/>
        <w:ind w:left="0" w:firstLine="0"/>
      </w:pPr>
      <w:r>
        <w:rPr/>
        <w:t>Minor</w:t>
      </w:r>
      <w:r>
        <w:rPr>
          <w:spacing w:val="-2"/>
        </w:rPr>
        <w:t> </w:t>
      </w:r>
      <w:r>
        <w:rPr/>
        <w:t>grammatical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formatting</w:t>
      </w:r>
      <w:r>
        <w:rPr>
          <w:spacing w:val="-8"/>
        </w:rPr>
        <w:t> </w:t>
      </w:r>
      <w:r>
        <w:rPr/>
        <w:t>errors</w:t>
      </w:r>
      <w:r>
        <w:rPr>
          <w:spacing w:val="-2"/>
        </w:rPr>
        <w:t> </w:t>
      </w:r>
      <w:r>
        <w:rPr/>
        <w:t>appear throughout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manuscript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2"/>
        </w:rPr>
        <w:t>corrected.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37" w:lineRule="auto" w:before="243" w:after="0"/>
        <w:ind w:left="721" w:right="511" w:hanging="361"/>
        <w:jc w:val="left"/>
        <w:rPr>
          <w:sz w:val="22"/>
        </w:rPr>
      </w:pPr>
      <w:r>
        <w:rPr>
          <w:sz w:val="22"/>
        </w:rPr>
        <w:t>For these</w:t>
      </w:r>
      <w:r>
        <w:rPr>
          <w:spacing w:val="-8"/>
          <w:sz w:val="22"/>
        </w:rPr>
        <w:t> </w:t>
      </w:r>
      <w:r>
        <w:rPr>
          <w:sz w:val="22"/>
        </w:rPr>
        <w:t>subclasses, sharp</w:t>
      </w:r>
      <w:r>
        <w:rPr>
          <w:spacing w:val="-6"/>
          <w:sz w:val="22"/>
        </w:rPr>
        <w:t> </w:t>
      </w:r>
      <w:r>
        <w:rPr>
          <w:sz w:val="22"/>
        </w:rPr>
        <w:t>estimates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-8"/>
          <w:sz w:val="22"/>
        </w:rPr>
        <w:t> </w:t>
      </w:r>
      <w:r>
        <w:rPr>
          <w:sz w:val="22"/>
        </w:rPr>
        <w:t>coefficients |b2|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|b3|</w:t>
      </w:r>
      <w:r>
        <w:rPr>
          <w:spacing w:val="40"/>
          <w:sz w:val="22"/>
        </w:rPr>
        <w:t> </w:t>
      </w:r>
      <w:r>
        <w:rPr>
          <w:sz w:val="22"/>
        </w:rPr>
        <w:t>obtained</w:t>
      </w:r>
      <w:r>
        <w:rPr>
          <w:spacing w:val="40"/>
          <w:sz w:val="22"/>
        </w:rPr>
        <w:t> </w:t>
      </w:r>
      <w:r>
        <w:rPr>
          <w:sz w:val="22"/>
        </w:rPr>
        <w:t>→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these subclasses, upper bounds for the coefficients |b₂| and |b₃| are obtained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2"/>
        </w:rPr>
      </w:pPr>
      <w:r>
        <w:rPr>
          <w:sz w:val="22"/>
        </w:rPr>
        <w:t>seeSalagean</w:t>
      </w:r>
      <w:r>
        <w:rPr>
          <w:spacing w:val="-7"/>
          <w:sz w:val="22"/>
        </w:rPr>
        <w:t> </w:t>
      </w:r>
      <w:r>
        <w:rPr>
          <w:sz w:val="22"/>
        </w:rPr>
        <w:t>(1983)</w:t>
      </w:r>
      <w:r>
        <w:rPr>
          <w:spacing w:val="-3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see</w:t>
      </w:r>
      <w:r>
        <w:rPr>
          <w:spacing w:val="-8"/>
          <w:sz w:val="22"/>
        </w:rPr>
        <w:t> </w:t>
      </w:r>
      <w:r>
        <w:rPr>
          <w:sz w:val="22"/>
        </w:rPr>
        <w:t>Salagean</w:t>
      </w:r>
      <w:r>
        <w:rPr>
          <w:spacing w:val="-2"/>
          <w:sz w:val="22"/>
        </w:rPr>
        <w:t> (1983)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0" w:after="0"/>
        <w:ind w:left="719" w:right="0" w:hanging="359"/>
        <w:jc w:val="left"/>
        <w:rPr>
          <w:sz w:val="22"/>
        </w:rPr>
      </w:pPr>
      <w:r>
        <w:rPr>
          <w:sz w:val="22"/>
        </w:rPr>
        <w:t>Salagean</w:t>
      </w:r>
      <w:r>
        <w:rPr>
          <w:spacing w:val="-8"/>
          <w:sz w:val="22"/>
        </w:rPr>
        <w:t> </w:t>
      </w:r>
      <w:r>
        <w:rPr>
          <w:sz w:val="22"/>
        </w:rPr>
        <w:t>→</w:t>
      </w:r>
      <w:r>
        <w:rPr>
          <w:spacing w:val="51"/>
          <w:sz w:val="22"/>
        </w:rPr>
        <w:t> </w:t>
      </w:r>
      <w:r>
        <w:rPr>
          <w:sz w:val="22"/>
        </w:rPr>
        <w:t>Sălăgean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operator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9" w:after="0"/>
        <w:ind w:left="71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find</w:t>
      </w:r>
      <w:r>
        <w:rPr>
          <w:spacing w:val="-6"/>
          <w:sz w:val="22"/>
        </w:rPr>
        <w:t> </w:t>
      </w:r>
      <w:r>
        <w:rPr>
          <w:sz w:val="22"/>
        </w:rPr>
        <w:t>application in</w:t>
      </w:r>
      <w:r>
        <w:rPr>
          <w:spacing w:val="-5"/>
          <w:sz w:val="22"/>
        </w:rPr>
        <w:t> </w:t>
      </w:r>
      <w:r>
        <w:rPr>
          <w:sz w:val="22"/>
        </w:rPr>
        <w:t>Davids</w:t>
      </w:r>
      <w:r>
        <w:rPr>
          <w:spacing w:val="4"/>
          <w:sz w:val="22"/>
        </w:rPr>
        <w:t> </w:t>
      </w:r>
      <w:r>
        <w:rPr>
          <w:sz w:val="22"/>
        </w:rPr>
        <w:t>et al.</w:t>
      </w:r>
      <w:r>
        <w:rPr>
          <w:spacing w:val="2"/>
          <w:sz w:val="22"/>
        </w:rPr>
        <w:t> </w:t>
      </w:r>
      <w:r>
        <w:rPr>
          <w:sz w:val="22"/>
        </w:rPr>
        <w:t>(2025)</w:t>
      </w:r>
      <w:r>
        <w:rPr>
          <w:spacing w:val="-11"/>
          <w:sz w:val="22"/>
        </w:rPr>
        <w:t> </w:t>
      </w:r>
      <w:r>
        <w:rPr>
          <w:sz w:val="22"/>
        </w:rPr>
        <w:t>→</w:t>
      </w:r>
      <w:r>
        <w:rPr>
          <w:spacing w:val="5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5"/>
          <w:sz w:val="22"/>
        </w:rPr>
        <w:t> </w:t>
      </w:r>
      <w:r>
        <w:rPr>
          <w:sz w:val="22"/>
        </w:rPr>
        <w:t>applications </w:t>
      </w:r>
      <w:r>
        <w:rPr>
          <w:spacing w:val="-5"/>
          <w:sz w:val="22"/>
        </w:rPr>
        <w:t>in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5" w:after="0"/>
        <w:ind w:left="719" w:right="0" w:hanging="359"/>
        <w:jc w:val="left"/>
        <w:rPr>
          <w:sz w:val="22"/>
        </w:rPr>
      </w:pP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(1.6)</w:t>
      </w:r>
      <w:r>
        <w:rPr>
          <w:spacing w:val="57"/>
          <w:sz w:val="22"/>
        </w:rPr>
        <w:t> </w:t>
      </w:r>
      <w:r>
        <w:rPr>
          <w:sz w:val="22"/>
        </w:rPr>
        <w:t>(1.7) →</w:t>
      </w:r>
      <w:r>
        <w:rPr>
          <w:spacing w:val="49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(1.6) and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(1.7)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0" w:after="0"/>
        <w:ind w:left="719" w:right="0" w:hanging="359"/>
        <w:jc w:val="left"/>
        <w:rPr>
          <w:sz w:val="22"/>
        </w:rPr>
      </w:pP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reduce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class</w:t>
      </w:r>
      <w:r>
        <w:rPr>
          <w:spacing w:val="56"/>
          <w:sz w:val="22"/>
        </w:rPr>
        <w:t> </w:t>
      </w:r>
      <w:r>
        <w:rPr>
          <w:sz w:val="22"/>
        </w:rPr>
        <w:t>→</w:t>
      </w:r>
      <w:r>
        <w:rPr>
          <w:spacing w:val="50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reduces 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class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6" w:after="0"/>
        <w:ind w:left="719" w:right="0" w:hanging="359"/>
        <w:jc w:val="left"/>
        <w:rPr>
          <w:sz w:val="22"/>
        </w:rPr>
      </w:pPr>
      <w:r>
        <w:rPr>
          <w:sz w:val="22"/>
        </w:rPr>
        <w:t>λ</w:t>
      </w:r>
      <w:r>
        <w:rPr>
          <w:spacing w:val="-1"/>
          <w:sz w:val="22"/>
        </w:rPr>
        <w:t> </w:t>
      </w:r>
      <w:r>
        <w:rPr>
          <w:sz w:val="22"/>
        </w:rPr>
        <w:t>=</w:t>
      </w:r>
      <w:r>
        <w:rPr>
          <w:spacing w:val="2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-7"/>
          <w:sz w:val="22"/>
        </w:rPr>
        <w:t> </w:t>
      </w:r>
      <w:r>
        <w:rPr>
          <w:sz w:val="22"/>
        </w:rPr>
        <w:t>=</w:t>
      </w:r>
      <w:r>
        <w:rPr>
          <w:spacing w:val="1"/>
          <w:sz w:val="22"/>
        </w:rPr>
        <w:t> </w:t>
      </w:r>
      <w:r>
        <w:rPr>
          <w:sz w:val="22"/>
        </w:rPr>
        <w:t>0</w:t>
      </w:r>
      <w:r>
        <w:rPr>
          <w:spacing w:val="55"/>
          <w:sz w:val="22"/>
        </w:rPr>
        <w:t> </w:t>
      </w:r>
      <w:r>
        <w:rPr>
          <w:sz w:val="22"/>
        </w:rPr>
        <w:t>→</w:t>
      </w:r>
      <w:r>
        <w:rPr>
          <w:spacing w:val="1"/>
          <w:sz w:val="22"/>
        </w:rPr>
        <w:t> </w:t>
      </w:r>
      <w:r>
        <w:rPr>
          <w:sz w:val="22"/>
        </w:rPr>
        <w:t>λ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2"/>
          <w:sz w:val="22"/>
        </w:rPr>
        <w:t> </w:t>
      </w:r>
      <w:r>
        <w:rPr>
          <w:sz w:val="22"/>
        </w:rPr>
        <w:t>1,</w:t>
      </w:r>
      <w:r>
        <w:rPr>
          <w:spacing w:val="3"/>
          <w:sz w:val="22"/>
        </w:rPr>
        <w:t> </w:t>
      </w:r>
      <w:r>
        <w:rPr>
          <w:sz w:val="22"/>
        </w:rPr>
        <w:t>m</w:t>
      </w:r>
      <w:r>
        <w:rPr>
          <w:spacing w:val="-7"/>
          <w:sz w:val="22"/>
        </w:rPr>
        <w:t> </w:t>
      </w:r>
      <w:r>
        <w:rPr>
          <w:sz w:val="22"/>
        </w:rPr>
        <w:t>=</w:t>
      </w:r>
      <w:r>
        <w:rPr>
          <w:spacing w:val="2"/>
          <w:sz w:val="22"/>
        </w:rPr>
        <w:t> </w:t>
      </w:r>
      <w:r>
        <w:rPr>
          <w:spacing w:val="-10"/>
          <w:sz w:val="22"/>
        </w:rPr>
        <w:t>0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9" w:after="0"/>
        <w:ind w:left="719" w:right="0" w:hanging="359"/>
        <w:jc w:val="left"/>
        <w:rPr>
          <w:sz w:val="22"/>
        </w:rPr>
      </w:pPr>
      <w:r>
        <w:rPr>
          <w:sz w:val="22"/>
        </w:rPr>
        <w:t>g</w:t>
      </w:r>
      <w:r>
        <w:rPr>
          <w:spacing w:val="-6"/>
          <w:sz w:val="22"/>
        </w:rPr>
        <w:t> </w:t>
      </w:r>
      <w:r>
        <w:rPr>
          <w:sz w:val="22"/>
        </w:rPr>
        <w:t>denotes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analytic</w:t>
      </w:r>
      <w:r>
        <w:rPr>
          <w:spacing w:val="-3"/>
          <w:sz w:val="22"/>
        </w:rPr>
        <w:t> </w:t>
      </w:r>
      <w:r>
        <w:rPr>
          <w:sz w:val="22"/>
        </w:rPr>
        <w:t>continuation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h</w:t>
      </w:r>
      <w:r>
        <w:rPr>
          <w:sz w:val="22"/>
          <w:vertAlign w:val="superscript"/>
        </w:rPr>
        <w:t>-1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→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denotes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inverse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function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56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h.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6" w:after="0"/>
        <w:ind w:left="719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Sagsöz,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Orhan,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H.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this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incomplete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reference,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double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check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references.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719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right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2026-03-09T06:47:56Z</dcterms:created>
  <dcterms:modified xsi:type="dcterms:W3CDTF">2026-03-09T06:47:56Z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www.ilovepdf.com</vt:lpwstr>
  </property>
</Properties>
</file>