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33AFD" w:rsidRPr="0083368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33AFD" w:rsidRPr="0083368A" w:rsidRDefault="00233AFD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3AFD" w:rsidRPr="0083368A" w:rsidTr="00107C72">
        <w:trPr>
          <w:trHeight w:val="290"/>
        </w:trPr>
        <w:tc>
          <w:tcPr>
            <w:tcW w:w="1186" w:type="pct"/>
          </w:tcPr>
          <w:p w:rsidR="00233AFD" w:rsidRPr="0083368A" w:rsidRDefault="00233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D96069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33AFD" w:rsidRPr="0083368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Medical and Pharmaceutical Sciences </w:t>
              </w:r>
            </w:hyperlink>
          </w:p>
        </w:tc>
      </w:tr>
      <w:tr w:rsidR="00233AFD" w:rsidRPr="0083368A" w:rsidTr="00107C72">
        <w:trPr>
          <w:trHeight w:val="290"/>
        </w:trPr>
        <w:tc>
          <w:tcPr>
            <w:tcW w:w="1186" w:type="pct"/>
          </w:tcPr>
          <w:p w:rsidR="00233AFD" w:rsidRPr="0083368A" w:rsidRDefault="00233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1A395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Ms_JAMPS_155584</w:t>
            </w:r>
          </w:p>
        </w:tc>
      </w:tr>
      <w:tr w:rsidR="00233AFD" w:rsidRPr="0083368A" w:rsidTr="00107C72">
        <w:trPr>
          <w:trHeight w:val="650"/>
        </w:trPr>
        <w:tc>
          <w:tcPr>
            <w:tcW w:w="1186" w:type="pct"/>
          </w:tcPr>
          <w:p w:rsidR="00233AFD" w:rsidRPr="0083368A" w:rsidRDefault="00233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1A39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A Retrospective Assessment of Clinical Risk Factors Associated with Pulmonary Embolism Cases</w:t>
            </w:r>
          </w:p>
        </w:tc>
      </w:tr>
      <w:tr w:rsidR="00233AFD" w:rsidRPr="0083368A" w:rsidTr="00107C72">
        <w:trPr>
          <w:trHeight w:val="332"/>
        </w:trPr>
        <w:tc>
          <w:tcPr>
            <w:tcW w:w="1186" w:type="pct"/>
          </w:tcPr>
          <w:p w:rsidR="00233AFD" w:rsidRPr="0083368A" w:rsidRDefault="00233AF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233AF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33AFD" w:rsidRPr="0083368A" w:rsidRDefault="00233AFD" w:rsidP="00233AF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33AFD" w:rsidRPr="0083368A" w:rsidRDefault="00233AFD" w:rsidP="00233AF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3368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33AFD" w:rsidRPr="0083368A" w:rsidRDefault="00233AFD" w:rsidP="00233AF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33AFD" w:rsidRPr="0083368A" w:rsidRDefault="00233AFD" w:rsidP="00233AF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33AFD" w:rsidRPr="0083368A" w:rsidTr="00352CCB">
        <w:tc>
          <w:tcPr>
            <w:tcW w:w="1789" w:type="pct"/>
            <w:noWrap/>
          </w:tcPr>
          <w:p w:rsidR="00233AFD" w:rsidRPr="0083368A" w:rsidRDefault="00233AF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33AFD" w:rsidRPr="0083368A" w:rsidRDefault="00233AF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368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33AFD" w:rsidRPr="0083368A" w:rsidRDefault="00233AF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336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336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33AFD" w:rsidRPr="0083368A" w:rsidRDefault="00233AF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705694">
        <w:trPr>
          <w:trHeight w:val="6209"/>
        </w:trPr>
        <w:tc>
          <w:tcPr>
            <w:tcW w:w="1789" w:type="pct"/>
            <w:noWrap/>
          </w:tcPr>
          <w:p w:rsidR="000A171D" w:rsidRPr="0083368A" w:rsidRDefault="000A171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manuscript is generally well put together and focuses on an important clinical issue.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It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offers useful insights, particularly since data from this region are not widely available.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objectives are clear, and the overall flow of the paper is easy to follow.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statistical results could be presented a bit more clearly to make them easier to understand.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Some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of the tables would benefit from slight formatting improvements for better readability.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There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are a few minor language and grammatical issues that can be refined.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small sample size is a limitation and should be highlighted more clearly while discussing the results. </w:t>
            </w:r>
          </w:p>
          <w:p w:rsidR="00352CCB" w:rsidRPr="0083368A" w:rsidRDefault="00352CCB" w:rsidP="00352C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The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 xml:space="preserve"> discussion section can be strengthened by linking the findings more directly with the results. </w:t>
            </w:r>
          </w:p>
          <w:p w:rsidR="00233AFD" w:rsidRPr="0083368A" w:rsidRDefault="00352CCB" w:rsidP="00352CC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3368A">
              <w:rPr>
                <w:rFonts w:ascii="Arial" w:hAnsi="Arial" w:cs="Arial"/>
                <w:sz w:val="20"/>
                <w:szCs w:val="20"/>
              </w:rPr>
              <w:t>  Overall</w:t>
            </w:r>
            <w:proofErr w:type="gramEnd"/>
            <w:r w:rsidRPr="0083368A">
              <w:rPr>
                <w:rFonts w:ascii="Arial" w:hAnsi="Arial" w:cs="Arial"/>
                <w:sz w:val="20"/>
                <w:szCs w:val="20"/>
              </w:rPr>
              <w:t>, the manuscript is good and can be improved further with a few minor revisions.</w:t>
            </w:r>
          </w:p>
          <w:p w:rsidR="000A171D" w:rsidRPr="0083368A" w:rsidRDefault="000A171D" w:rsidP="00352CC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A171D" w:rsidRPr="0083368A" w:rsidRDefault="000A171D" w:rsidP="000A171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deals with an important clinical problem by examining the risk factors associated with pulmonary embolism in a real-world healthcare setting.</w:t>
            </w:r>
          </w:p>
          <w:p w:rsidR="000A171D" w:rsidRPr="0083368A" w:rsidRDefault="000A171D" w:rsidP="000A171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Data from regions like sub-Saharan Africa are still limited, so the study adds useful and relevant information to the existing body of knowledge. The focus</w:t>
            </w:r>
          </w:p>
          <w:p w:rsidR="000A171D" w:rsidRPr="0083368A" w:rsidRDefault="000A171D" w:rsidP="000A171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modifiable risk factors, especially immobilization, is particularly meaningful from a practical and preventive standpoint. Overall, the findings can help </w:t>
            </w:r>
          </w:p>
          <w:p w:rsidR="000A171D" w:rsidRPr="0083368A" w:rsidRDefault="000A171D" w:rsidP="000A17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clinicians better understand patient risk, improve early identification, and support more effective management of pulmonary embolism cases.</w:t>
            </w:r>
          </w:p>
        </w:tc>
        <w:tc>
          <w:tcPr>
            <w:tcW w:w="1367" w:type="pct"/>
          </w:tcPr>
          <w:p w:rsidR="00233AFD" w:rsidRPr="0083368A" w:rsidRDefault="00233AF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33AFD" w:rsidRPr="0083368A" w:rsidRDefault="00233AFD" w:rsidP="00233AFD">
      <w:pPr>
        <w:rPr>
          <w:rFonts w:ascii="Arial" w:hAnsi="Arial" w:cs="Arial"/>
          <w:sz w:val="20"/>
          <w:szCs w:val="20"/>
          <w:lang w:val="en-GB"/>
        </w:rPr>
      </w:pPr>
    </w:p>
    <w:p w:rsidR="00233AFD" w:rsidRPr="0083368A" w:rsidRDefault="00233AFD" w:rsidP="00233AFD">
      <w:pPr>
        <w:rPr>
          <w:rFonts w:ascii="Arial" w:hAnsi="Arial" w:cs="Arial"/>
          <w:sz w:val="20"/>
          <w:szCs w:val="20"/>
          <w:lang w:val="en-GB"/>
        </w:rPr>
      </w:pPr>
    </w:p>
    <w:p w:rsidR="00233AFD" w:rsidRPr="0083368A" w:rsidRDefault="00233AFD" w:rsidP="00233AFD">
      <w:pPr>
        <w:rPr>
          <w:rFonts w:ascii="Arial" w:hAnsi="Arial" w:cs="Arial"/>
          <w:sz w:val="20"/>
          <w:szCs w:val="20"/>
          <w:lang w:val="en-GB"/>
        </w:rPr>
      </w:pPr>
    </w:p>
    <w:p w:rsidR="00233AFD" w:rsidRPr="0083368A" w:rsidRDefault="00233AFD" w:rsidP="00233AFD">
      <w:pPr>
        <w:pStyle w:val="Heading2"/>
        <w:jc w:val="left"/>
        <w:rPr>
          <w:rFonts w:ascii="Arial" w:hAnsi="Arial" w:cs="Arial"/>
          <w:lang w:val="en-GB" w:eastAsia="en-US"/>
        </w:rPr>
      </w:pPr>
      <w:r w:rsidRPr="0083368A">
        <w:rPr>
          <w:rFonts w:ascii="Arial" w:hAnsi="Arial" w:cs="Arial"/>
          <w:highlight w:val="yellow"/>
          <w:lang w:val="en-GB" w:eastAsia="en-US"/>
        </w:rPr>
        <w:t>PART  2</w:t>
      </w:r>
    </w:p>
    <w:p w:rsidR="00233AFD" w:rsidRPr="0083368A" w:rsidRDefault="00233AFD" w:rsidP="00233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33AFD" w:rsidRPr="0083368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33AFD" w:rsidRPr="0083368A" w:rsidRDefault="00233AF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3AFD" w:rsidRPr="0083368A" w:rsidRDefault="00233A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3AFD" w:rsidRPr="0083368A" w:rsidTr="00107C72">
        <w:tc>
          <w:tcPr>
            <w:tcW w:w="1790" w:type="pct"/>
            <w:noWrap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33AFD" w:rsidRPr="0083368A" w:rsidRDefault="00233AF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368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33AFD" w:rsidRPr="0083368A" w:rsidRDefault="00233AF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336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3368A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68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68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68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68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68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1262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368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3AFD" w:rsidRPr="0083368A" w:rsidTr="00107C72">
        <w:trPr>
          <w:trHeight w:val="703"/>
        </w:trPr>
        <w:tc>
          <w:tcPr>
            <w:tcW w:w="1790" w:type="pct"/>
            <w:noWrap/>
          </w:tcPr>
          <w:p w:rsidR="00233AFD" w:rsidRPr="0083368A" w:rsidRDefault="00233AF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33AFD" w:rsidRPr="0083368A" w:rsidRDefault="00233AF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33AFD" w:rsidRPr="0083368A" w:rsidRDefault="00233AF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33AFD" w:rsidRPr="0083368A" w:rsidRDefault="00352C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33AFD" w:rsidRPr="0083368A" w:rsidRDefault="00233AF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33AFD" w:rsidRPr="0083368A" w:rsidRDefault="00233AFD" w:rsidP="00233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33AFD" w:rsidRPr="0083368A" w:rsidRDefault="00233AFD" w:rsidP="00233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33AFD" w:rsidRPr="0083368A" w:rsidRDefault="00233AFD" w:rsidP="00233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33AFD" w:rsidRPr="0083368A" w:rsidTr="00352CC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368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33AFD" w:rsidRPr="0083368A" w:rsidTr="00352CC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33AFD" w:rsidRPr="0083368A" w:rsidTr="00352CC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3AFD" w:rsidRPr="0083368A" w:rsidRDefault="00352C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3368A">
              <w:rPr>
                <w:rFonts w:ascii="Arial" w:hAnsi="Arial" w:cs="Arial"/>
                <w:sz w:val="20"/>
                <w:szCs w:val="20"/>
              </w:rPr>
              <w:t>The manuscript can be considered for publication after minor revisions addressing clarity, formatting, and language issues.</w:t>
            </w:r>
          </w:p>
          <w:p w:rsidR="006F6AD7" w:rsidRPr="0083368A" w:rsidRDefault="006F6A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368A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generally well-structured and presents relevant findings. However, a few minor revisions would improve the overall quality. Specifically, some sections could benefit from clearer presentation of statistical results, and there are minor formatting inconsistencies in tables and headings. Language </w:t>
            </w:r>
            <w:r w:rsidRPr="0083368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polishing would also enhance readability. The sample size is relatively small, which limits strong conclusions, but the study still provides useful insights.</w:t>
            </w:r>
          </w:p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AFD" w:rsidRPr="0083368A" w:rsidRDefault="00233A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33AFD" w:rsidRPr="0083368A" w:rsidRDefault="00233AFD" w:rsidP="00233AF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3421A" w:rsidRPr="0083368A" w:rsidRDefault="00A3421A" w:rsidP="00A3421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3368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3368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A3421A" w:rsidRPr="0083368A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83368A" w:rsidRDefault="00A3421A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421A" w:rsidRPr="0083368A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83368A" w:rsidRDefault="00A3421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21A" w:rsidRPr="0083368A" w:rsidRDefault="00A3421A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368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A3421A" w:rsidRPr="0083368A" w:rsidRDefault="00A3421A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36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36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3421A" w:rsidRPr="0083368A" w:rsidRDefault="00A3421A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21A" w:rsidRPr="0083368A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83368A" w:rsidRDefault="00A3421A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368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3421A" w:rsidRPr="0083368A" w:rsidRDefault="00A3421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21A" w:rsidRPr="0083368A" w:rsidRDefault="00A3421A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36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36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36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3421A" w:rsidRPr="0083368A" w:rsidRDefault="00A3421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A3421A" w:rsidRPr="0083368A" w:rsidRDefault="00A3421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421A" w:rsidRPr="0083368A" w:rsidRDefault="00A3421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3421A" w:rsidRPr="0083368A" w:rsidRDefault="00A3421A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3368A" w:rsidRPr="0083368A" w:rsidRDefault="0083368A" w:rsidP="0083368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3368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3368A" w:rsidRPr="0083368A" w:rsidRDefault="0083368A" w:rsidP="0083368A">
      <w:pPr>
        <w:rPr>
          <w:rFonts w:ascii="Arial" w:hAnsi="Arial" w:cs="Arial"/>
          <w:sz w:val="20"/>
          <w:szCs w:val="20"/>
        </w:rPr>
      </w:pPr>
      <w:r w:rsidRPr="0083368A">
        <w:rPr>
          <w:rFonts w:ascii="Arial" w:hAnsi="Arial" w:cs="Arial"/>
          <w:color w:val="000000"/>
          <w:sz w:val="20"/>
          <w:szCs w:val="20"/>
        </w:rPr>
        <w:t>N. Sujata Gupta</w:t>
      </w:r>
      <w:r w:rsidRPr="0083368A">
        <w:rPr>
          <w:rFonts w:ascii="Arial" w:hAnsi="Arial" w:cs="Arial"/>
          <w:sz w:val="20"/>
          <w:szCs w:val="20"/>
        </w:rPr>
        <w:t xml:space="preserve">, </w:t>
      </w:r>
      <w:r w:rsidRPr="0083368A">
        <w:rPr>
          <w:rFonts w:ascii="Arial" w:hAnsi="Arial" w:cs="Arial"/>
          <w:color w:val="000000"/>
          <w:sz w:val="20"/>
          <w:szCs w:val="20"/>
        </w:rPr>
        <w:t xml:space="preserve">Chaitanya Bharathi Institute of </w:t>
      </w:r>
      <w:proofErr w:type="gramStart"/>
      <w:r w:rsidRPr="0083368A">
        <w:rPr>
          <w:rFonts w:ascii="Arial" w:hAnsi="Arial" w:cs="Arial"/>
          <w:color w:val="000000"/>
          <w:sz w:val="20"/>
          <w:szCs w:val="20"/>
        </w:rPr>
        <w:t xml:space="preserve">Technology </w:t>
      </w:r>
      <w:r w:rsidRPr="0083368A">
        <w:rPr>
          <w:rFonts w:ascii="Arial" w:hAnsi="Arial" w:cs="Arial"/>
          <w:sz w:val="20"/>
          <w:szCs w:val="20"/>
        </w:rPr>
        <w:t>,</w:t>
      </w:r>
      <w:proofErr w:type="gramEnd"/>
      <w:r w:rsidRPr="0083368A">
        <w:rPr>
          <w:rFonts w:ascii="Arial" w:hAnsi="Arial" w:cs="Arial"/>
          <w:sz w:val="20"/>
          <w:szCs w:val="20"/>
        </w:rPr>
        <w:t xml:space="preserve"> </w:t>
      </w:r>
      <w:r w:rsidRPr="0083368A">
        <w:rPr>
          <w:rFonts w:ascii="Arial" w:hAnsi="Arial" w:cs="Arial"/>
          <w:color w:val="000000"/>
          <w:sz w:val="20"/>
          <w:szCs w:val="20"/>
        </w:rPr>
        <w:t>India</w:t>
      </w:r>
    </w:p>
    <w:p w:rsidR="00A3421A" w:rsidRPr="0083368A" w:rsidRDefault="00A3421A" w:rsidP="00A3421A">
      <w:pPr>
        <w:rPr>
          <w:rFonts w:ascii="Arial" w:hAnsi="Arial" w:cs="Arial"/>
          <w:sz w:val="20"/>
          <w:szCs w:val="20"/>
        </w:rPr>
      </w:pPr>
    </w:p>
    <w:p w:rsidR="00233AFD" w:rsidRPr="0083368A" w:rsidRDefault="00233AFD" w:rsidP="00233AF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233AFD" w:rsidRPr="0083368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069" w:rsidRPr="0000007A" w:rsidRDefault="00D96069" w:rsidP="0099583E">
      <w:r>
        <w:separator/>
      </w:r>
    </w:p>
  </w:endnote>
  <w:endnote w:type="continuationSeparator" w:id="0">
    <w:p w:rsidR="00D96069" w:rsidRPr="0000007A" w:rsidRDefault="00D9606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AFD" w:rsidRDefault="00233AFD" w:rsidP="00233AFD">
    <w:pPr>
      <w:pStyle w:val="Footer"/>
      <w:jc w:val="right"/>
    </w:pPr>
  </w:p>
  <w:p w:rsidR="00233AFD" w:rsidRDefault="00233AFD" w:rsidP="00233AF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233AFD" w:rsidRDefault="00233AFD" w:rsidP="00233AF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33AFD" w:rsidRDefault="00233AFD" w:rsidP="00233AF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069" w:rsidRPr="0000007A" w:rsidRDefault="00D96069" w:rsidP="0099583E">
      <w:r>
        <w:separator/>
      </w:r>
    </w:p>
  </w:footnote>
  <w:footnote w:type="continuationSeparator" w:id="0">
    <w:p w:rsidR="00D96069" w:rsidRPr="0000007A" w:rsidRDefault="00D9606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AFD" w:rsidRDefault="00233AFD" w:rsidP="00233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33AFD" w:rsidP="00233AF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7102"/>
    <w:multiLevelType w:val="multilevel"/>
    <w:tmpl w:val="35A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4041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171D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3954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3AFD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0D71"/>
    <w:rsid w:val="002D64A9"/>
    <w:rsid w:val="002D7EA9"/>
    <w:rsid w:val="002E1211"/>
    <w:rsid w:val="002E173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0C22"/>
    <w:rsid w:val="00323B57"/>
    <w:rsid w:val="00330845"/>
    <w:rsid w:val="00335412"/>
    <w:rsid w:val="0033692F"/>
    <w:rsid w:val="00346223"/>
    <w:rsid w:val="00352CCB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0F24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AD7"/>
    <w:rsid w:val="006F6F2F"/>
    <w:rsid w:val="00701186"/>
    <w:rsid w:val="00705694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3B90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3368A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17215"/>
    <w:rsid w:val="00A25245"/>
    <w:rsid w:val="00A279A8"/>
    <w:rsid w:val="00A31AAC"/>
    <w:rsid w:val="00A32905"/>
    <w:rsid w:val="00A33A28"/>
    <w:rsid w:val="00A3421A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069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2026-03-23T05:51:00Z</dcterms:created>
  <dcterms:modified xsi:type="dcterms:W3CDTF">2026-03-26T07:28:00Z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