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3BEC3" w14:textId="77777777" w:rsidR="007C7E19" w:rsidRPr="007C7E19" w:rsidRDefault="007C7E19" w:rsidP="007C7E19">
      <w:pPr>
        <w:pStyle w:val="Title"/>
        <w:spacing w:after="0"/>
        <w:rPr>
          <w:rFonts w:ascii="Arial" w:hAnsi="Arial" w:cs="Arial"/>
          <w:i/>
          <w:sz w:val="40"/>
          <w:u w:val="single"/>
        </w:rPr>
      </w:pPr>
      <w:r w:rsidRPr="007C7E19">
        <w:rPr>
          <w:rFonts w:ascii="Arial" w:hAnsi="Arial" w:cs="Arial"/>
          <w:i/>
          <w:sz w:val="40"/>
          <w:u w:val="single"/>
        </w:rPr>
        <w:t>Original Research Article</w:t>
      </w:r>
    </w:p>
    <w:p w14:paraId="17EAFCAB" w14:textId="5DA5D4E8" w:rsidR="00B01FCD" w:rsidRPr="002C4F6E" w:rsidRDefault="00FA3288" w:rsidP="0021138E">
      <w:pPr>
        <w:pStyle w:val="Title"/>
        <w:spacing w:after="0"/>
        <w:jc w:val="both"/>
        <w:rPr>
          <w:rFonts w:ascii="Arial" w:hAnsi="Arial" w:cs="Arial"/>
          <w:i/>
          <w:iCs/>
        </w:rPr>
        <w:sectPr w:rsidR="00B01FCD" w:rsidRPr="002C4F6E" w:rsidSect="00A40A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Hlk223964893"/>
      <w:r w:rsidRPr="00FA3288">
        <w:rPr>
          <w:rFonts w:ascii="Arial" w:hAnsi="Arial" w:cs="Arial"/>
        </w:rPr>
        <w:t>Physicochemical</w:t>
      </w:r>
      <w:r w:rsidR="0021138E">
        <w:rPr>
          <w:rFonts w:ascii="Arial" w:hAnsi="Arial" w:cs="Arial"/>
        </w:rPr>
        <w:t xml:space="preserve"> </w:t>
      </w:r>
      <w:r w:rsidRPr="00FA3288">
        <w:rPr>
          <w:rFonts w:ascii="Arial" w:hAnsi="Arial" w:cs="Arial"/>
        </w:rPr>
        <w:t xml:space="preserve">profiles and antifungal efficacy of essential oils from </w:t>
      </w:r>
      <w:r w:rsidRPr="00FA3288">
        <w:rPr>
          <w:rFonts w:ascii="Arial" w:hAnsi="Arial" w:cs="Arial"/>
          <w:i/>
          <w:iCs/>
        </w:rPr>
        <w:t>Citrus</w:t>
      </w:r>
      <w:r w:rsidRPr="00FA3288">
        <w:rPr>
          <w:rFonts w:ascii="Arial" w:hAnsi="Arial" w:cs="Arial"/>
        </w:rPr>
        <w:t xml:space="preserve"> </w:t>
      </w:r>
      <w:r w:rsidRPr="00FA3288">
        <w:rPr>
          <w:rFonts w:ascii="Arial" w:hAnsi="Arial" w:cs="Arial"/>
          <w:i/>
          <w:iCs/>
        </w:rPr>
        <w:t>sinensis</w:t>
      </w:r>
      <w:r w:rsidRPr="00FA3288">
        <w:rPr>
          <w:rFonts w:ascii="Arial" w:hAnsi="Arial" w:cs="Arial"/>
        </w:rPr>
        <w:t xml:space="preserve"> and </w:t>
      </w:r>
      <w:r w:rsidRPr="00FA3288">
        <w:rPr>
          <w:rFonts w:ascii="Arial" w:hAnsi="Arial" w:cs="Arial"/>
          <w:i/>
          <w:iCs/>
        </w:rPr>
        <w:t>Citrus aurantifolia</w:t>
      </w:r>
      <w:r>
        <w:rPr>
          <w:rFonts w:ascii="Arial" w:hAnsi="Arial" w:cs="Arial"/>
          <w:i/>
          <w:iCs/>
        </w:rPr>
        <w:t xml:space="preserve"> </w:t>
      </w:r>
    </w:p>
    <w:bookmarkEnd w:id="0"/>
    <w:p w14:paraId="67618B1C" w14:textId="77777777" w:rsidR="00FA3288" w:rsidRDefault="00FA3288" w:rsidP="00441B6F">
      <w:pPr>
        <w:pStyle w:val="AbstHead"/>
        <w:spacing w:after="0"/>
        <w:jc w:val="both"/>
        <w:rPr>
          <w:rFonts w:ascii="Arial" w:hAnsi="Arial" w:cs="Arial"/>
        </w:rPr>
        <w:sectPr w:rsidR="00FA3288" w:rsidSect="00A40A69">
          <w:headerReference w:type="even" r:id="rId14"/>
          <w:headerReference w:type="default" r:id="rId15"/>
          <w:footerReference w:type="default" r:id="rId16"/>
          <w:headerReference w:type="first" r:id="rId17"/>
          <w:type w:val="continuous"/>
          <w:pgSz w:w="12240" w:h="15840"/>
          <w:pgMar w:top="1701" w:right="1701" w:bottom="1701" w:left="1701" w:header="720" w:footer="1123" w:gutter="0"/>
          <w:cols w:space="720"/>
          <w:docGrid w:linePitch="272"/>
        </w:sectPr>
      </w:pPr>
    </w:p>
    <w:p w14:paraId="2CEBEDC3" w14:textId="4DF2F67F"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20D09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8"/>
      </w:tblGrid>
      <w:tr w:rsidR="00296529" w:rsidRPr="001E44FE" w14:paraId="6B440E3A" w14:textId="77777777" w:rsidTr="001E44FE">
        <w:tc>
          <w:tcPr>
            <w:tcW w:w="9576" w:type="dxa"/>
            <w:shd w:val="clear" w:color="auto" w:fill="F2F2F2"/>
          </w:tcPr>
          <w:p w14:paraId="2E3DD413" w14:textId="13BD60C6" w:rsidR="00E86F0D" w:rsidRPr="00E86F0D" w:rsidRDefault="00E86F0D" w:rsidP="00E86F0D">
            <w:pPr>
              <w:pStyle w:val="Body"/>
              <w:spacing w:after="0"/>
              <w:rPr>
                <w:rFonts w:ascii="Arial" w:eastAsia="Calibri" w:hAnsi="Arial" w:cs="Arial"/>
                <w:szCs w:val="22"/>
              </w:rPr>
            </w:pPr>
            <w:r w:rsidRPr="00E86F0D">
              <w:rPr>
                <w:rFonts w:ascii="Arial" w:eastAsia="Calibri" w:hAnsi="Arial" w:cs="Arial"/>
                <w:szCs w:val="22"/>
              </w:rPr>
              <w:t>Citrus essential oils represent an important socio-economic resource due to their wide range of applications. This study investigated the physicochemical properties and antifungal activity of orange (</w:t>
            </w:r>
            <w:r w:rsidRPr="00E86F0D">
              <w:rPr>
                <w:rFonts w:ascii="Arial" w:eastAsia="Calibri" w:hAnsi="Arial" w:cs="Arial"/>
                <w:i/>
                <w:iCs/>
                <w:szCs w:val="22"/>
              </w:rPr>
              <w:t>Citrus sinensis</w:t>
            </w:r>
            <w:r w:rsidRPr="00E86F0D">
              <w:rPr>
                <w:rFonts w:ascii="Arial" w:eastAsia="Calibri" w:hAnsi="Arial" w:cs="Arial"/>
                <w:szCs w:val="22"/>
              </w:rPr>
              <w:t>) and lime (</w:t>
            </w:r>
            <w:r w:rsidRPr="00E86F0D">
              <w:rPr>
                <w:rFonts w:ascii="Arial" w:eastAsia="Calibri" w:hAnsi="Arial" w:cs="Arial"/>
                <w:i/>
                <w:iCs/>
                <w:szCs w:val="22"/>
              </w:rPr>
              <w:t>Citrus aurantifolia</w:t>
            </w:r>
            <w:r w:rsidRPr="00E86F0D">
              <w:rPr>
                <w:rFonts w:ascii="Arial" w:eastAsia="Calibri" w:hAnsi="Arial" w:cs="Arial"/>
                <w:szCs w:val="22"/>
              </w:rPr>
              <w:t>) essential oils (EO). Essential oils were obtained by hydrodistillation of fruit peels, and physicochemical parameters</w:t>
            </w:r>
            <w:r>
              <w:rPr>
                <w:rFonts w:ascii="Arial" w:eastAsia="Calibri" w:hAnsi="Arial" w:cs="Arial"/>
                <w:szCs w:val="22"/>
              </w:rPr>
              <w:t xml:space="preserve"> </w:t>
            </w:r>
            <w:r w:rsidRPr="00E86F0D">
              <w:rPr>
                <w:rFonts w:ascii="Arial" w:eastAsia="Calibri" w:hAnsi="Arial" w:cs="Arial"/>
                <w:szCs w:val="22"/>
              </w:rPr>
              <w:t>including acid value, ester value, refractive index, and density</w:t>
            </w:r>
            <w:r>
              <w:rPr>
                <w:rFonts w:ascii="Arial" w:eastAsia="Calibri" w:hAnsi="Arial" w:cs="Arial"/>
                <w:szCs w:val="22"/>
              </w:rPr>
              <w:t xml:space="preserve"> </w:t>
            </w:r>
            <w:r w:rsidRPr="00E86F0D">
              <w:rPr>
                <w:rFonts w:ascii="Arial" w:eastAsia="Calibri" w:hAnsi="Arial" w:cs="Arial"/>
                <w:szCs w:val="22"/>
              </w:rPr>
              <w:t xml:space="preserve">were determined in accordance with ISO standards. Antifungal activity was evaluated against </w:t>
            </w:r>
            <w:r w:rsidRPr="00E86F0D">
              <w:rPr>
                <w:rFonts w:ascii="Arial" w:eastAsia="Calibri" w:hAnsi="Arial" w:cs="Arial"/>
                <w:i/>
                <w:iCs/>
                <w:szCs w:val="22"/>
              </w:rPr>
              <w:t>Aspergillus flavus</w:t>
            </w:r>
            <w:r w:rsidRPr="00E86F0D">
              <w:rPr>
                <w:rFonts w:ascii="Arial" w:eastAsia="Calibri" w:hAnsi="Arial" w:cs="Arial"/>
                <w:szCs w:val="22"/>
              </w:rPr>
              <w:t xml:space="preserve"> and </w:t>
            </w:r>
            <w:r w:rsidRPr="00E86F0D">
              <w:rPr>
                <w:rFonts w:ascii="Arial" w:eastAsia="Calibri" w:hAnsi="Arial" w:cs="Arial"/>
                <w:i/>
                <w:iCs/>
                <w:szCs w:val="22"/>
              </w:rPr>
              <w:t>Aspergillus parasiticus</w:t>
            </w:r>
            <w:r w:rsidRPr="00E86F0D">
              <w:rPr>
                <w:rFonts w:ascii="Arial" w:eastAsia="Calibri" w:hAnsi="Arial" w:cs="Arial"/>
                <w:szCs w:val="22"/>
              </w:rPr>
              <w:t xml:space="preserve"> using a broth microdilution assay to determine minimum inhibitory concentrations (MICs) and minimum fungicidal concentrations (MFCs). </w:t>
            </w:r>
            <w:r w:rsidR="008F3525" w:rsidRPr="008F3525">
              <w:rPr>
                <w:rFonts w:ascii="Arial" w:eastAsia="Calibri" w:hAnsi="Arial" w:cs="Arial"/>
                <w:szCs w:val="22"/>
              </w:rPr>
              <w:t>Each assay was performed in triplicate</w:t>
            </w:r>
            <w:r w:rsidR="008F3525">
              <w:rPr>
                <w:rFonts w:ascii="Arial" w:eastAsia="Calibri" w:hAnsi="Arial" w:cs="Arial"/>
                <w:szCs w:val="22"/>
              </w:rPr>
              <w:t>.</w:t>
            </w:r>
            <w:r w:rsidR="008F3525" w:rsidRPr="008F3525">
              <w:rPr>
                <w:rFonts w:ascii="Arial" w:eastAsia="Calibri" w:hAnsi="Arial" w:cs="Arial"/>
                <w:szCs w:val="22"/>
              </w:rPr>
              <w:t xml:space="preserve"> </w:t>
            </w:r>
            <w:r w:rsidRPr="00E86F0D">
              <w:rPr>
                <w:rFonts w:ascii="Arial" w:eastAsia="Calibri" w:hAnsi="Arial" w:cs="Arial"/>
                <w:szCs w:val="22"/>
              </w:rPr>
              <w:t>Statistical analyses were performed using GraphPad Prism 5 software.</w:t>
            </w:r>
            <w:r>
              <w:rPr>
                <w:rFonts w:ascii="Arial" w:eastAsia="Calibri" w:hAnsi="Arial" w:cs="Arial"/>
                <w:szCs w:val="22"/>
              </w:rPr>
              <w:t xml:space="preserve"> </w:t>
            </w:r>
            <w:r w:rsidRPr="00E86F0D">
              <w:rPr>
                <w:rFonts w:ascii="Arial" w:eastAsia="Calibri" w:hAnsi="Arial" w:cs="Arial"/>
                <w:szCs w:val="22"/>
              </w:rPr>
              <w:t xml:space="preserve">Extraction yields were 0.90% for orange and 1.22% for lime. </w:t>
            </w:r>
            <w:r w:rsidRPr="008F3525">
              <w:rPr>
                <w:rFonts w:ascii="Arial" w:eastAsia="Calibri" w:hAnsi="Arial" w:cs="Arial"/>
                <w:i/>
                <w:iCs/>
                <w:szCs w:val="22"/>
              </w:rPr>
              <w:t>Citrus sinensis</w:t>
            </w:r>
            <w:r w:rsidRPr="00E86F0D">
              <w:rPr>
                <w:rFonts w:ascii="Arial" w:eastAsia="Calibri" w:hAnsi="Arial" w:cs="Arial"/>
                <w:szCs w:val="22"/>
              </w:rPr>
              <w:t xml:space="preserve"> EO exhibited a low relative density (0.835), a refractive index of 1.467, a low acid value (2 mg KOH/g), and an ester value of 25 mg KOH/g. In contrast, </w:t>
            </w:r>
            <w:r w:rsidRPr="008F3525">
              <w:rPr>
                <w:rFonts w:ascii="Arial" w:eastAsia="Calibri" w:hAnsi="Arial" w:cs="Arial"/>
                <w:i/>
                <w:iCs/>
                <w:szCs w:val="22"/>
              </w:rPr>
              <w:t>Citrus aurantifolia</w:t>
            </w:r>
            <w:r w:rsidRPr="00E86F0D">
              <w:rPr>
                <w:rFonts w:ascii="Arial" w:eastAsia="Calibri" w:hAnsi="Arial" w:cs="Arial"/>
                <w:szCs w:val="22"/>
              </w:rPr>
              <w:t xml:space="preserve"> EO was characterized by a slightly higher relative density (0.861), a lower refractive index (1.3949), a markedly higher acid value (11.11 mg KOH/g), and a higher ester value (30.05 mg KOH/g). The essential oil of </w:t>
            </w:r>
            <w:r w:rsidRPr="008D4CAD">
              <w:rPr>
                <w:rFonts w:ascii="Arial" w:eastAsia="Calibri" w:hAnsi="Arial" w:cs="Arial"/>
                <w:i/>
                <w:iCs/>
                <w:szCs w:val="22"/>
              </w:rPr>
              <w:t>C. aurantifolia</w:t>
            </w:r>
            <w:r w:rsidRPr="00E86F0D">
              <w:rPr>
                <w:rFonts w:ascii="Arial" w:eastAsia="Calibri" w:hAnsi="Arial" w:cs="Arial"/>
                <w:szCs w:val="22"/>
              </w:rPr>
              <w:t xml:space="preserve"> demonstrated pronounced antifungal activity against </w:t>
            </w:r>
            <w:r w:rsidRPr="008F3525">
              <w:rPr>
                <w:rFonts w:ascii="Arial" w:eastAsia="Calibri" w:hAnsi="Arial" w:cs="Arial"/>
                <w:i/>
                <w:iCs/>
                <w:szCs w:val="22"/>
              </w:rPr>
              <w:t>A. flavus</w:t>
            </w:r>
            <w:r w:rsidRPr="00E86F0D">
              <w:rPr>
                <w:rFonts w:ascii="Arial" w:eastAsia="Calibri" w:hAnsi="Arial" w:cs="Arial"/>
                <w:szCs w:val="22"/>
              </w:rPr>
              <w:t xml:space="preserve"> (MIC = 20 </w:t>
            </w:r>
            <w:r w:rsidR="009242E5">
              <w:rPr>
                <w:rFonts w:ascii="Arial" w:eastAsia="Calibri" w:hAnsi="Arial" w:cs="Arial"/>
                <w:szCs w:val="22"/>
              </w:rPr>
              <w:t>µL mL</w:t>
            </w:r>
            <w:r w:rsidR="009242E5">
              <w:rPr>
                <w:rFonts w:ascii="Cambria Math" w:eastAsia="Calibri" w:hAnsi="Cambria Math" w:cs="Cambria Math"/>
                <w:szCs w:val="22"/>
              </w:rPr>
              <w:t>⁻</w:t>
            </w:r>
            <w:r w:rsidR="009242E5">
              <w:rPr>
                <w:rFonts w:ascii="Arial" w:eastAsia="Calibri" w:hAnsi="Arial" w:cs="Arial"/>
                <w:szCs w:val="22"/>
              </w:rPr>
              <w:t>¹</w:t>
            </w:r>
            <w:r w:rsidRPr="00E86F0D">
              <w:rPr>
                <w:rFonts w:ascii="Arial" w:eastAsia="Calibri" w:hAnsi="Arial" w:cs="Arial"/>
                <w:szCs w:val="22"/>
              </w:rPr>
              <w:t xml:space="preserve">; MFC = 25 </w:t>
            </w:r>
            <w:r w:rsidR="009242E5">
              <w:rPr>
                <w:rFonts w:ascii="Arial" w:eastAsia="Calibri" w:hAnsi="Arial" w:cs="Arial"/>
                <w:szCs w:val="22"/>
              </w:rPr>
              <w:t>µL mL</w:t>
            </w:r>
            <w:r w:rsidR="009242E5">
              <w:rPr>
                <w:rFonts w:ascii="Cambria Math" w:eastAsia="Calibri" w:hAnsi="Cambria Math" w:cs="Cambria Math"/>
                <w:szCs w:val="22"/>
              </w:rPr>
              <w:t>⁻</w:t>
            </w:r>
            <w:r w:rsidR="009242E5">
              <w:rPr>
                <w:rFonts w:ascii="Arial" w:eastAsia="Calibri" w:hAnsi="Arial" w:cs="Arial"/>
                <w:szCs w:val="22"/>
              </w:rPr>
              <w:t>¹</w:t>
            </w:r>
            <w:r w:rsidRPr="00E86F0D">
              <w:rPr>
                <w:rFonts w:ascii="Arial" w:eastAsia="Calibri" w:hAnsi="Arial" w:cs="Arial"/>
                <w:szCs w:val="22"/>
              </w:rPr>
              <w:t>).</w:t>
            </w:r>
          </w:p>
          <w:p w14:paraId="10E2E3A6" w14:textId="2A31ED75" w:rsidR="00505F06" w:rsidRPr="00BA1B01" w:rsidRDefault="00E86F0D" w:rsidP="00E86F0D">
            <w:pPr>
              <w:pStyle w:val="Body"/>
              <w:spacing w:after="0"/>
              <w:rPr>
                <w:rFonts w:ascii="Arial" w:eastAsia="Calibri" w:hAnsi="Arial" w:cs="Arial"/>
                <w:szCs w:val="22"/>
              </w:rPr>
            </w:pPr>
            <w:r w:rsidRPr="00E86F0D">
              <w:rPr>
                <w:rFonts w:ascii="Arial" w:eastAsia="Calibri" w:hAnsi="Arial" w:cs="Arial"/>
                <w:szCs w:val="22"/>
              </w:rPr>
              <w:t>These findings indicate that citrus essential oils possess acceptable quality attributes and significant antifungal potential, highlighting their promising prospects for valorization across diverse industrial sectors.</w:t>
            </w:r>
            <w:r w:rsidR="008F3525">
              <w:t xml:space="preserve"> </w:t>
            </w:r>
            <w:r w:rsidR="008F3525" w:rsidRPr="008F3525">
              <w:rPr>
                <w:rFonts w:ascii="Arial" w:eastAsia="Calibri" w:hAnsi="Arial" w:cs="Arial"/>
                <w:szCs w:val="22"/>
              </w:rPr>
              <w:t>The</w:t>
            </w:r>
            <w:r w:rsidR="008F3525">
              <w:rPr>
                <w:rFonts w:ascii="Arial" w:eastAsia="Calibri" w:hAnsi="Arial" w:cs="Arial"/>
                <w:szCs w:val="22"/>
              </w:rPr>
              <w:t>y</w:t>
            </w:r>
            <w:r w:rsidR="008F3525" w:rsidRPr="008F3525">
              <w:rPr>
                <w:rFonts w:ascii="Arial" w:eastAsia="Calibri" w:hAnsi="Arial" w:cs="Arial"/>
                <w:szCs w:val="22"/>
              </w:rPr>
              <w:t xml:space="preserve"> could be valorized in food preservation due to their antifungal properties. They may also be incorporated into the development of cosmetic formulations.</w:t>
            </w:r>
          </w:p>
        </w:tc>
      </w:tr>
    </w:tbl>
    <w:p w14:paraId="2CE2A661" w14:textId="77777777" w:rsidR="00636EB2" w:rsidRDefault="00636EB2" w:rsidP="00441B6F">
      <w:pPr>
        <w:pStyle w:val="Body"/>
        <w:spacing w:after="0"/>
        <w:rPr>
          <w:rFonts w:ascii="Arial" w:hAnsi="Arial" w:cs="Arial"/>
          <w:i/>
        </w:rPr>
      </w:pPr>
    </w:p>
    <w:p w14:paraId="2873E71C" w14:textId="249A1B4E" w:rsidR="00505F06" w:rsidRPr="00A24E7E" w:rsidRDefault="00A24E7E" w:rsidP="00441B6F">
      <w:pPr>
        <w:pStyle w:val="Body"/>
        <w:spacing w:after="0"/>
        <w:rPr>
          <w:rFonts w:ascii="Arial" w:hAnsi="Arial" w:cs="Arial"/>
          <w:i/>
        </w:rPr>
      </w:pPr>
      <w:r>
        <w:rPr>
          <w:rFonts w:ascii="Arial" w:hAnsi="Arial" w:cs="Arial"/>
          <w:i/>
        </w:rPr>
        <w:t xml:space="preserve">Keywords: </w:t>
      </w:r>
      <w:r w:rsidR="005002E1" w:rsidRPr="005002E1">
        <w:rPr>
          <w:rFonts w:ascii="Arial" w:hAnsi="Arial" w:cs="Arial"/>
          <w:i/>
        </w:rPr>
        <w:t>essential oils, citrus, physicochemical parameters, antifungal properties</w:t>
      </w:r>
    </w:p>
    <w:p w14:paraId="242D8FCD" w14:textId="0C68352D" w:rsidR="00790ADA" w:rsidRPr="00FB3A86" w:rsidRDefault="00902823" w:rsidP="00945B24">
      <w:pPr>
        <w:pStyle w:val="AbstHead"/>
        <w:spacing w:before="120"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5CDD4D" w14:textId="6C037AF0" w:rsidR="004E5526" w:rsidRDefault="004E5526" w:rsidP="004E5526">
      <w:pPr>
        <w:pStyle w:val="AbstHead"/>
        <w:spacing w:after="0"/>
        <w:jc w:val="both"/>
        <w:rPr>
          <w:rFonts w:ascii="Arial" w:hAnsi="Arial" w:cs="Arial"/>
          <w:b w:val="0"/>
          <w:caps w:val="0"/>
          <w:sz w:val="20"/>
        </w:rPr>
      </w:pPr>
      <w:r w:rsidRPr="004E5526">
        <w:rPr>
          <w:rFonts w:ascii="Arial" w:hAnsi="Arial" w:cs="Arial"/>
          <w:b w:val="0"/>
          <w:caps w:val="0"/>
          <w:sz w:val="20"/>
        </w:rPr>
        <w:t>Citrus fruits are among the most widely cultivated fruits worldwide and play a major role in the agro-industrial sector (Satari &amp; Karimi, 2018). Citrus production in Burkina Faso has experienced significant growth in recent years, reaching 43,009 tons in 2016, with projections of 50,741 tons by 2022, corresponding to an increase of approximately 15% within half a decade. This production is mainly dominated by orange (44,463 t), tangelo (4,758 t), and lemon (1,230 t) (PDCFL, 2017). Residues from citrus fruits (peels, pulp, and downgraded fruits), which represent 40 to 60% of the total fruit mass, are rarely valorized (Olmedo-Galarza et al., 2025). Their accumulation in the environment contributes to pollution and unsanitary conditions in production areas and local markets (</w:t>
      </w:r>
      <w:proofErr w:type="spellStart"/>
      <w:r w:rsidRPr="004E5526">
        <w:rPr>
          <w:rFonts w:ascii="Arial" w:hAnsi="Arial" w:cs="Arial"/>
          <w:b w:val="0"/>
          <w:caps w:val="0"/>
          <w:sz w:val="20"/>
        </w:rPr>
        <w:t>Cinardi</w:t>
      </w:r>
      <w:proofErr w:type="spellEnd"/>
      <w:r w:rsidRPr="004E5526">
        <w:rPr>
          <w:rFonts w:ascii="Arial" w:hAnsi="Arial" w:cs="Arial"/>
          <w:b w:val="0"/>
          <w:caps w:val="0"/>
          <w:sz w:val="20"/>
        </w:rPr>
        <w:t xml:space="preserve"> et al., 2025; Sharma et al., 2022).</w:t>
      </w:r>
      <w:r>
        <w:rPr>
          <w:rFonts w:ascii="Arial" w:hAnsi="Arial" w:cs="Arial"/>
          <w:b w:val="0"/>
          <w:caps w:val="0"/>
          <w:sz w:val="20"/>
        </w:rPr>
        <w:t xml:space="preserve"> </w:t>
      </w:r>
      <w:r w:rsidRPr="004E5526">
        <w:rPr>
          <w:rFonts w:ascii="Arial" w:hAnsi="Arial" w:cs="Arial"/>
          <w:b w:val="0"/>
          <w:caps w:val="0"/>
          <w:sz w:val="20"/>
        </w:rPr>
        <w:t xml:space="preserve">It is therefore </w:t>
      </w:r>
      <w:r w:rsidR="001926C5" w:rsidRPr="001926C5">
        <w:rPr>
          <w:rFonts w:ascii="Arial" w:hAnsi="Arial" w:cs="Arial"/>
          <w:b w:val="0"/>
          <w:caps w:val="0"/>
          <w:sz w:val="20"/>
        </w:rPr>
        <w:t>essential</w:t>
      </w:r>
      <w:r w:rsidRPr="004E5526">
        <w:rPr>
          <w:rFonts w:ascii="Arial" w:hAnsi="Arial" w:cs="Arial"/>
          <w:b w:val="0"/>
          <w:caps w:val="0"/>
          <w:sz w:val="20"/>
        </w:rPr>
        <w:t xml:space="preserve"> to develop strategies to transform these by-products into high-value resources. The extraction of essential oils (EOs) from citrus peels and zest represents a promising and environmentally responsible solution. These essential oils are widely used as flavoring agents and fragrances and have been tested for their effectiveness as antimicrobial, </w:t>
      </w:r>
      <w:proofErr w:type="spellStart"/>
      <w:r w:rsidRPr="004E5526">
        <w:rPr>
          <w:rFonts w:ascii="Arial" w:hAnsi="Arial" w:cs="Arial"/>
          <w:b w:val="0"/>
          <w:caps w:val="0"/>
          <w:sz w:val="20"/>
        </w:rPr>
        <w:t>biopesticidal</w:t>
      </w:r>
      <w:proofErr w:type="spellEnd"/>
      <w:r w:rsidRPr="004E5526">
        <w:rPr>
          <w:rFonts w:ascii="Arial" w:hAnsi="Arial" w:cs="Arial"/>
          <w:b w:val="0"/>
          <w:caps w:val="0"/>
          <w:sz w:val="20"/>
        </w:rPr>
        <w:t>, and anti-inflammatory agents (</w:t>
      </w:r>
      <w:proofErr w:type="spellStart"/>
      <w:r w:rsidRPr="004E5526">
        <w:rPr>
          <w:rFonts w:ascii="Arial" w:hAnsi="Arial" w:cs="Arial"/>
          <w:b w:val="0"/>
          <w:caps w:val="0"/>
          <w:sz w:val="20"/>
        </w:rPr>
        <w:t>Kademi</w:t>
      </w:r>
      <w:proofErr w:type="spellEnd"/>
      <w:r w:rsidRPr="004E5526">
        <w:rPr>
          <w:rFonts w:ascii="Arial" w:hAnsi="Arial" w:cs="Arial"/>
          <w:b w:val="0"/>
          <w:caps w:val="0"/>
          <w:sz w:val="20"/>
        </w:rPr>
        <w:t xml:space="preserve"> &amp; </w:t>
      </w:r>
      <w:proofErr w:type="spellStart"/>
      <w:r w:rsidRPr="004E5526">
        <w:rPr>
          <w:rFonts w:ascii="Arial" w:hAnsi="Arial" w:cs="Arial"/>
          <w:b w:val="0"/>
          <w:caps w:val="0"/>
          <w:sz w:val="20"/>
        </w:rPr>
        <w:t>Garba</w:t>
      </w:r>
      <w:proofErr w:type="spellEnd"/>
      <w:r w:rsidRPr="004E5526">
        <w:rPr>
          <w:rFonts w:ascii="Arial" w:hAnsi="Arial" w:cs="Arial"/>
          <w:b w:val="0"/>
          <w:caps w:val="0"/>
          <w:sz w:val="20"/>
        </w:rPr>
        <w:t>, 2017; Mercy et al., 2024).</w:t>
      </w:r>
      <w:r>
        <w:rPr>
          <w:rFonts w:ascii="Arial" w:hAnsi="Arial" w:cs="Arial"/>
          <w:b w:val="0"/>
          <w:caps w:val="0"/>
          <w:sz w:val="20"/>
        </w:rPr>
        <w:t xml:space="preserve"> </w:t>
      </w:r>
      <w:proofErr w:type="spellStart"/>
      <w:r w:rsidRPr="004E5526">
        <w:rPr>
          <w:rFonts w:ascii="Arial" w:hAnsi="Arial" w:cs="Arial"/>
          <w:b w:val="0"/>
          <w:caps w:val="0"/>
          <w:sz w:val="20"/>
        </w:rPr>
        <w:t>Viuda-Martos</w:t>
      </w:r>
      <w:proofErr w:type="spellEnd"/>
      <w:r w:rsidRPr="004E5526">
        <w:rPr>
          <w:rFonts w:ascii="Arial" w:hAnsi="Arial" w:cs="Arial"/>
          <w:b w:val="0"/>
          <w:caps w:val="0"/>
          <w:sz w:val="20"/>
        </w:rPr>
        <w:t xml:space="preserve"> et al. (2008) evaluated the effects of citrus essential oils on fungi associated with food spoilage and concluded that orange oil was effective against </w:t>
      </w:r>
      <w:r w:rsidRPr="004E5526">
        <w:rPr>
          <w:rFonts w:ascii="Arial" w:hAnsi="Arial" w:cs="Arial"/>
          <w:b w:val="0"/>
          <w:i/>
          <w:iCs/>
          <w:caps w:val="0"/>
          <w:sz w:val="20"/>
        </w:rPr>
        <w:t xml:space="preserve">Aspergillus </w:t>
      </w:r>
      <w:proofErr w:type="spellStart"/>
      <w:r w:rsidRPr="004E5526">
        <w:rPr>
          <w:rFonts w:ascii="Arial" w:hAnsi="Arial" w:cs="Arial"/>
          <w:b w:val="0"/>
          <w:i/>
          <w:iCs/>
          <w:caps w:val="0"/>
          <w:sz w:val="20"/>
        </w:rPr>
        <w:t>niger</w:t>
      </w:r>
      <w:proofErr w:type="spellEnd"/>
      <w:r w:rsidRPr="004E5526">
        <w:rPr>
          <w:rFonts w:ascii="Arial" w:hAnsi="Arial" w:cs="Arial"/>
          <w:b w:val="0"/>
          <w:caps w:val="0"/>
          <w:sz w:val="20"/>
        </w:rPr>
        <w:t xml:space="preserve">, mandarin oil </w:t>
      </w:r>
      <w:r w:rsidRPr="004E5526">
        <w:rPr>
          <w:rFonts w:ascii="Arial" w:hAnsi="Arial" w:cs="Arial"/>
          <w:b w:val="0"/>
          <w:i/>
          <w:iCs/>
          <w:caps w:val="0"/>
          <w:sz w:val="20"/>
        </w:rPr>
        <w:t>against Aspergillus flavus</w:t>
      </w:r>
      <w:r w:rsidRPr="004E5526">
        <w:rPr>
          <w:rFonts w:ascii="Arial" w:hAnsi="Arial" w:cs="Arial"/>
          <w:b w:val="0"/>
          <w:caps w:val="0"/>
          <w:sz w:val="20"/>
        </w:rPr>
        <w:t xml:space="preserve">, while grapefruit oil was the best inhibitor of </w:t>
      </w:r>
      <w:r w:rsidRPr="004E5526">
        <w:rPr>
          <w:rFonts w:ascii="Arial" w:hAnsi="Arial" w:cs="Arial"/>
          <w:b w:val="0"/>
          <w:i/>
          <w:iCs/>
          <w:caps w:val="0"/>
          <w:sz w:val="20"/>
        </w:rPr>
        <w:t xml:space="preserve">Penicillium </w:t>
      </w:r>
      <w:proofErr w:type="spellStart"/>
      <w:r w:rsidRPr="004E5526">
        <w:rPr>
          <w:rFonts w:ascii="Arial" w:hAnsi="Arial" w:cs="Arial"/>
          <w:b w:val="0"/>
          <w:i/>
          <w:iCs/>
          <w:caps w:val="0"/>
          <w:sz w:val="20"/>
        </w:rPr>
        <w:t>chrysogenum</w:t>
      </w:r>
      <w:proofErr w:type="spellEnd"/>
      <w:r w:rsidRPr="004E5526">
        <w:rPr>
          <w:rFonts w:ascii="Arial" w:hAnsi="Arial" w:cs="Arial"/>
          <w:b w:val="0"/>
          <w:caps w:val="0"/>
          <w:sz w:val="20"/>
        </w:rPr>
        <w:t xml:space="preserve"> and </w:t>
      </w:r>
      <w:r w:rsidRPr="004E5526">
        <w:rPr>
          <w:rFonts w:ascii="Arial" w:hAnsi="Arial" w:cs="Arial"/>
          <w:b w:val="0"/>
          <w:i/>
          <w:iCs/>
          <w:caps w:val="0"/>
          <w:sz w:val="20"/>
        </w:rPr>
        <w:t xml:space="preserve">Penicillium </w:t>
      </w:r>
      <w:proofErr w:type="spellStart"/>
      <w:r w:rsidRPr="004E5526">
        <w:rPr>
          <w:rFonts w:ascii="Arial" w:hAnsi="Arial" w:cs="Arial"/>
          <w:b w:val="0"/>
          <w:i/>
          <w:iCs/>
          <w:caps w:val="0"/>
          <w:sz w:val="20"/>
        </w:rPr>
        <w:t>verrucosum</w:t>
      </w:r>
      <w:proofErr w:type="spellEnd"/>
      <w:r w:rsidRPr="004E5526">
        <w:rPr>
          <w:rFonts w:ascii="Arial" w:hAnsi="Arial" w:cs="Arial"/>
          <w:b w:val="0"/>
          <w:caps w:val="0"/>
          <w:sz w:val="20"/>
        </w:rPr>
        <w:t xml:space="preserve">. Other authors have also recommended the use of </w:t>
      </w:r>
      <w:r w:rsidRPr="00B52BF0">
        <w:rPr>
          <w:rFonts w:ascii="Arial" w:hAnsi="Arial" w:cs="Arial"/>
          <w:b w:val="0"/>
          <w:i/>
          <w:iCs/>
          <w:caps w:val="0"/>
          <w:sz w:val="20"/>
        </w:rPr>
        <w:t>C. sinensis</w:t>
      </w:r>
      <w:r w:rsidRPr="004E5526">
        <w:rPr>
          <w:rFonts w:ascii="Arial" w:hAnsi="Arial" w:cs="Arial"/>
          <w:b w:val="0"/>
          <w:caps w:val="0"/>
          <w:sz w:val="20"/>
        </w:rPr>
        <w:t xml:space="preserve"> peel oil as a natural food preservative or as an effective treatment against a variety of pathogenic organisms due to its antimicrobial potential (Manzur et al., 2023).</w:t>
      </w:r>
    </w:p>
    <w:p w14:paraId="7C61F2AF" w14:textId="5DB7428C" w:rsidR="0047393D" w:rsidRDefault="004E5526" w:rsidP="004E5526">
      <w:pPr>
        <w:pStyle w:val="AbstHead"/>
        <w:spacing w:after="120"/>
        <w:jc w:val="both"/>
        <w:rPr>
          <w:rFonts w:ascii="Arial" w:hAnsi="Arial" w:cs="Arial"/>
          <w:b w:val="0"/>
          <w:caps w:val="0"/>
          <w:sz w:val="20"/>
        </w:rPr>
      </w:pPr>
      <w:r w:rsidRPr="0047393D">
        <w:rPr>
          <w:rFonts w:ascii="Arial" w:hAnsi="Arial" w:cs="Arial"/>
          <w:b w:val="0"/>
          <w:caps w:val="0"/>
          <w:sz w:val="20"/>
        </w:rPr>
        <w:t>This</w:t>
      </w:r>
      <w:r w:rsidR="0047393D" w:rsidRPr="0047393D">
        <w:rPr>
          <w:rFonts w:ascii="Arial" w:hAnsi="Arial" w:cs="Arial"/>
          <w:b w:val="0"/>
          <w:caps w:val="0"/>
          <w:sz w:val="20"/>
        </w:rPr>
        <w:t xml:space="preserve"> study aims to contribute to the valorization of citrus waste in Burkina Faso by evaluating the physicochemical and biological properties of their essential oils</w:t>
      </w:r>
      <w:r w:rsidR="00B52BF0">
        <w:rPr>
          <w:rFonts w:ascii="Arial" w:hAnsi="Arial" w:cs="Arial"/>
          <w:b w:val="0"/>
          <w:caps w:val="0"/>
          <w:sz w:val="20"/>
        </w:rPr>
        <w:t>.</w:t>
      </w:r>
    </w:p>
    <w:p w14:paraId="38A32AB3" w14:textId="623A948E" w:rsidR="00790ADA" w:rsidRPr="00FB3A86" w:rsidRDefault="00902823" w:rsidP="00741AF8">
      <w:pPr>
        <w:pStyle w:val="AbstHead"/>
        <w:spacing w:before="120" w:after="120"/>
        <w:jc w:val="both"/>
        <w:rPr>
          <w:rFonts w:ascii="Arial" w:hAnsi="Arial" w:cs="Arial"/>
        </w:rPr>
      </w:pPr>
      <w:r>
        <w:rPr>
          <w:rFonts w:ascii="Arial" w:hAnsi="Arial" w:cs="Arial"/>
        </w:rPr>
        <w:t>2. material and method</w:t>
      </w:r>
      <w:r w:rsidR="00000F8F">
        <w:rPr>
          <w:rFonts w:ascii="Arial" w:hAnsi="Arial" w:cs="Arial"/>
        </w:rPr>
        <w:t xml:space="preserve">s </w:t>
      </w:r>
    </w:p>
    <w:p w14:paraId="7656DD57" w14:textId="31EB0D94" w:rsidR="00753048" w:rsidRPr="00753048" w:rsidRDefault="00753048" w:rsidP="00741AF8">
      <w:pPr>
        <w:pStyle w:val="Body"/>
        <w:spacing w:before="120" w:after="120"/>
        <w:rPr>
          <w:rFonts w:ascii="Arial" w:hAnsi="Arial" w:cs="Arial"/>
          <w:b/>
          <w:bCs/>
        </w:rPr>
      </w:pPr>
      <w:r w:rsidRPr="00753048">
        <w:rPr>
          <w:rFonts w:ascii="Arial" w:hAnsi="Arial" w:cs="Arial"/>
          <w:b/>
          <w:bCs/>
        </w:rPr>
        <w:t xml:space="preserve">2.1. Plant material  </w:t>
      </w:r>
    </w:p>
    <w:p w14:paraId="68F2963E" w14:textId="4F4BF296" w:rsidR="00B52BF0" w:rsidRDefault="00B52BF0" w:rsidP="001B53DE">
      <w:pPr>
        <w:pStyle w:val="Body"/>
        <w:spacing w:before="120" w:after="120"/>
        <w:rPr>
          <w:rFonts w:ascii="Arial" w:hAnsi="Arial" w:cs="Arial"/>
        </w:rPr>
      </w:pPr>
      <w:r w:rsidRPr="00B52BF0">
        <w:rPr>
          <w:rFonts w:ascii="Arial" w:hAnsi="Arial" w:cs="Arial"/>
        </w:rPr>
        <w:t>The plant material used in this study consisted of peels from orange (</w:t>
      </w:r>
      <w:r w:rsidRPr="00B52BF0">
        <w:rPr>
          <w:rFonts w:ascii="Arial" w:hAnsi="Arial" w:cs="Arial"/>
          <w:i/>
          <w:iCs/>
        </w:rPr>
        <w:t>Citrus sinensis</w:t>
      </w:r>
      <w:r w:rsidRPr="00B52BF0">
        <w:rPr>
          <w:rFonts w:ascii="Arial" w:hAnsi="Arial" w:cs="Arial"/>
        </w:rPr>
        <w:t>) and lime (</w:t>
      </w:r>
      <w:r w:rsidRPr="00B52BF0">
        <w:rPr>
          <w:rFonts w:ascii="Arial" w:hAnsi="Arial" w:cs="Arial"/>
          <w:i/>
          <w:iCs/>
        </w:rPr>
        <w:t>Citrus aurantifolia</w:t>
      </w:r>
      <w:r w:rsidRPr="00B52BF0">
        <w:rPr>
          <w:rFonts w:ascii="Arial" w:hAnsi="Arial" w:cs="Arial"/>
        </w:rPr>
        <w:t xml:space="preserve">). Fruits were collected from citrus growers located on the outskirts of Ouagadougou (Burkina Faso) and were subsequently subjected to thorough cleaning. </w:t>
      </w:r>
    </w:p>
    <w:p w14:paraId="3EC6C75C" w14:textId="1A35B375" w:rsidR="00753048" w:rsidRPr="00753048" w:rsidRDefault="00753048" w:rsidP="001B53DE">
      <w:pPr>
        <w:pStyle w:val="Body"/>
        <w:spacing w:before="120" w:after="120"/>
        <w:rPr>
          <w:rFonts w:ascii="Arial" w:hAnsi="Arial" w:cs="Arial"/>
          <w:b/>
          <w:bCs/>
        </w:rPr>
      </w:pPr>
      <w:r w:rsidRPr="00753048">
        <w:rPr>
          <w:rFonts w:ascii="Arial" w:hAnsi="Arial" w:cs="Arial"/>
          <w:b/>
          <w:bCs/>
        </w:rPr>
        <w:lastRenderedPageBreak/>
        <w:t>2.</w:t>
      </w:r>
      <w:r w:rsidR="008D4CAD">
        <w:rPr>
          <w:rFonts w:ascii="Arial" w:hAnsi="Arial" w:cs="Arial"/>
          <w:b/>
          <w:bCs/>
        </w:rPr>
        <w:t>2</w:t>
      </w:r>
      <w:r w:rsidRPr="00753048">
        <w:rPr>
          <w:rFonts w:ascii="Arial" w:hAnsi="Arial" w:cs="Arial"/>
          <w:b/>
          <w:bCs/>
        </w:rPr>
        <w:t xml:space="preserve">. Fungal material  </w:t>
      </w:r>
    </w:p>
    <w:p w14:paraId="795CCAAE" w14:textId="77777777" w:rsidR="00B52BF0" w:rsidRDefault="00B52BF0" w:rsidP="001B53DE">
      <w:pPr>
        <w:pStyle w:val="Body"/>
        <w:spacing w:before="120" w:after="120"/>
        <w:rPr>
          <w:rFonts w:ascii="Arial" w:hAnsi="Arial" w:cs="Arial"/>
          <w:i/>
          <w:iCs/>
        </w:rPr>
      </w:pPr>
      <w:r w:rsidRPr="00B52BF0">
        <w:rPr>
          <w:rFonts w:ascii="Arial" w:hAnsi="Arial" w:cs="Arial"/>
          <w:i/>
          <w:iCs/>
        </w:rPr>
        <w:t xml:space="preserve">Aspergillus flavus (OL907105) and Aspergillus parasiticus (OL907106), </w:t>
      </w:r>
      <w:r w:rsidRPr="008D4CAD">
        <w:rPr>
          <w:rFonts w:ascii="Arial" w:hAnsi="Arial" w:cs="Arial"/>
        </w:rPr>
        <w:t>obtained from the culture</w:t>
      </w:r>
      <w:r w:rsidRPr="00B52BF0">
        <w:rPr>
          <w:rFonts w:ascii="Arial" w:hAnsi="Arial" w:cs="Arial"/>
          <w:i/>
          <w:iCs/>
        </w:rPr>
        <w:t xml:space="preserve"> </w:t>
      </w:r>
      <w:r w:rsidRPr="00E13A0B">
        <w:rPr>
          <w:rFonts w:ascii="Arial" w:hAnsi="Arial" w:cs="Arial"/>
        </w:rPr>
        <w:t>collection of the University of Western Brittany</w:t>
      </w:r>
      <w:r w:rsidRPr="00B52BF0">
        <w:rPr>
          <w:rFonts w:ascii="Arial" w:hAnsi="Arial" w:cs="Arial"/>
          <w:i/>
          <w:iCs/>
        </w:rPr>
        <w:t xml:space="preserve"> (Brest, France), </w:t>
      </w:r>
      <w:r w:rsidRPr="008D4CAD">
        <w:rPr>
          <w:rFonts w:ascii="Arial" w:hAnsi="Arial" w:cs="Arial"/>
        </w:rPr>
        <w:t>were used in the present study</w:t>
      </w:r>
      <w:r w:rsidRPr="00B52BF0">
        <w:rPr>
          <w:rFonts w:ascii="Arial" w:hAnsi="Arial" w:cs="Arial"/>
          <w:i/>
          <w:iCs/>
        </w:rPr>
        <w:t>.</w:t>
      </w:r>
    </w:p>
    <w:p w14:paraId="02B50410" w14:textId="41807D89" w:rsidR="00753048" w:rsidRPr="00753048" w:rsidRDefault="00753048" w:rsidP="001B53DE">
      <w:pPr>
        <w:pStyle w:val="Body"/>
        <w:spacing w:before="120" w:after="120"/>
        <w:rPr>
          <w:rFonts w:ascii="Arial" w:hAnsi="Arial" w:cs="Arial"/>
          <w:b/>
          <w:bCs/>
        </w:rPr>
      </w:pPr>
      <w:r w:rsidRPr="00753048">
        <w:rPr>
          <w:rFonts w:ascii="Arial" w:hAnsi="Arial" w:cs="Arial"/>
          <w:b/>
          <w:bCs/>
        </w:rPr>
        <w:t xml:space="preserve">2.3.  Extraction of essential oils  </w:t>
      </w:r>
    </w:p>
    <w:p w14:paraId="6299F3AB" w14:textId="19323FFC" w:rsidR="00F67B29" w:rsidRDefault="00AE37E0" w:rsidP="002454E2">
      <w:pPr>
        <w:pStyle w:val="Body"/>
        <w:spacing w:after="0"/>
        <w:rPr>
          <w:rFonts w:ascii="Arial" w:hAnsi="Arial" w:cs="Arial"/>
        </w:rPr>
      </w:pPr>
      <w:r w:rsidRPr="00AE37E0">
        <w:rPr>
          <w:rFonts w:ascii="Arial" w:hAnsi="Arial" w:cs="Arial"/>
        </w:rPr>
        <w:t>The fruit peels were obtained by manual peeling and immediately subjected to distillation. Essential oils were extracted by hydrodistillation using a laboratory still with a capacity of 20 liters. For each type of citrus fruit, 4.8 kg of peels were collected and introduced into the still. The plant material was then immersed in water and boiled for three hours.</w:t>
      </w:r>
      <w:r>
        <w:rPr>
          <w:rFonts w:ascii="Arial" w:hAnsi="Arial" w:cs="Arial"/>
        </w:rPr>
        <w:t xml:space="preserve"> </w:t>
      </w:r>
      <w:r w:rsidR="002454E2" w:rsidRPr="002454E2">
        <w:rPr>
          <w:rFonts w:ascii="Arial" w:hAnsi="Arial" w:cs="Arial"/>
        </w:rPr>
        <w:t>At the end of the distillation process, the essential oils were collected, dried over anhydrous sodium sulfate, and stored in amber vials at 4°C to preserve their properties.</w:t>
      </w:r>
      <w:r w:rsidR="002454E2">
        <w:rPr>
          <w:rFonts w:ascii="Arial" w:hAnsi="Arial" w:cs="Arial"/>
        </w:rPr>
        <w:t xml:space="preserve"> </w:t>
      </w:r>
      <w:r w:rsidR="002454E2" w:rsidRPr="002454E2">
        <w:rPr>
          <w:rFonts w:ascii="Arial" w:hAnsi="Arial" w:cs="Arial"/>
        </w:rPr>
        <w:t>The essential oil yield was calculated according to the following equation:</w:t>
      </w:r>
      <w:r w:rsidR="002454E2">
        <w:rPr>
          <w:rFonts w:ascii="Arial" w:hAnsi="Arial" w:cs="Arial"/>
        </w:rPr>
        <w:t xml:space="preserve"> </w:t>
      </w:r>
      <w:r w:rsidR="00753048" w:rsidRPr="00753048">
        <w:rPr>
          <w:rFonts w:ascii="Arial" w:hAnsi="Arial" w:cs="Arial"/>
        </w:rPr>
        <w:t>Y</w:t>
      </w:r>
      <w:r w:rsidR="00753048" w:rsidRPr="0047393D">
        <w:rPr>
          <w:rFonts w:ascii="Arial" w:hAnsi="Arial" w:cs="Arial"/>
          <w:vertAlign w:val="subscript"/>
        </w:rPr>
        <w:t>EO</w:t>
      </w:r>
      <w:r w:rsidR="00741AF8">
        <w:rPr>
          <w:rFonts w:ascii="Arial" w:hAnsi="Arial" w:cs="Arial"/>
        </w:rPr>
        <w:t xml:space="preserve"> </w:t>
      </w:r>
      <w:r w:rsidR="00753048" w:rsidRPr="00753048">
        <w:rPr>
          <w:rFonts w:ascii="Arial" w:hAnsi="Arial" w:cs="Arial"/>
        </w:rPr>
        <w:t>=</w:t>
      </w:r>
      <w:r w:rsidR="00741AF8">
        <w:rPr>
          <w:rFonts w:ascii="Arial" w:hAnsi="Arial" w:cs="Arial"/>
        </w:rPr>
        <w:t xml:space="preserve"> </w:t>
      </w:r>
      <w:r w:rsidR="00753048" w:rsidRPr="00753048">
        <w:rPr>
          <w:rFonts w:ascii="Arial" w:hAnsi="Arial" w:cs="Arial"/>
        </w:rPr>
        <w:t>M</w:t>
      </w:r>
      <w:r w:rsidR="00753048" w:rsidRPr="0047393D">
        <w:rPr>
          <w:rFonts w:ascii="Arial" w:hAnsi="Arial" w:cs="Arial"/>
          <w:vertAlign w:val="subscript"/>
        </w:rPr>
        <w:t>EO</w:t>
      </w:r>
      <w:r w:rsidR="00753048" w:rsidRPr="00753048">
        <w:rPr>
          <w:rFonts w:ascii="Arial" w:hAnsi="Arial" w:cs="Arial"/>
        </w:rPr>
        <w:t>/M</w:t>
      </w:r>
      <w:r w:rsidR="00753048" w:rsidRPr="0047393D">
        <w:rPr>
          <w:rFonts w:ascii="Arial" w:hAnsi="Arial" w:cs="Arial"/>
          <w:vertAlign w:val="subscript"/>
        </w:rPr>
        <w:t>p</w:t>
      </w:r>
      <w:r w:rsidR="00753048" w:rsidRPr="00753048">
        <w:rPr>
          <w:rFonts w:ascii="Arial" w:hAnsi="Arial" w:cs="Arial"/>
        </w:rPr>
        <w:t>×100</w:t>
      </w:r>
      <w:r w:rsidR="00FA0466">
        <w:rPr>
          <w:rFonts w:ascii="Arial" w:hAnsi="Arial" w:cs="Arial"/>
        </w:rPr>
        <w:t xml:space="preserve">, </w:t>
      </w:r>
      <w:r w:rsidR="00F67B29" w:rsidRPr="00753048">
        <w:rPr>
          <w:rFonts w:ascii="Arial" w:hAnsi="Arial" w:cs="Arial"/>
        </w:rPr>
        <w:t>Y</w:t>
      </w:r>
      <w:r w:rsidR="00F67B29" w:rsidRPr="0047393D">
        <w:rPr>
          <w:rFonts w:ascii="Arial" w:hAnsi="Arial" w:cs="Arial"/>
          <w:vertAlign w:val="subscript"/>
        </w:rPr>
        <w:t>EO</w:t>
      </w:r>
      <w:r w:rsidR="00F67B29" w:rsidRPr="00753048">
        <w:rPr>
          <w:rFonts w:ascii="Arial" w:hAnsi="Arial" w:cs="Arial"/>
        </w:rPr>
        <w:t>:</w:t>
      </w:r>
      <w:r w:rsidR="00753048" w:rsidRPr="00753048">
        <w:rPr>
          <w:rFonts w:ascii="Arial" w:hAnsi="Arial" w:cs="Arial"/>
        </w:rPr>
        <w:t xml:space="preserve">  essential oil yield (%), </w:t>
      </w:r>
      <w:r w:rsidR="00F67B29" w:rsidRPr="00753048">
        <w:rPr>
          <w:rFonts w:ascii="Arial" w:hAnsi="Arial" w:cs="Arial"/>
        </w:rPr>
        <w:t>M</w:t>
      </w:r>
      <w:r w:rsidR="00F67B29" w:rsidRPr="0047393D">
        <w:rPr>
          <w:rFonts w:ascii="Arial" w:hAnsi="Arial" w:cs="Arial"/>
          <w:vertAlign w:val="subscript"/>
        </w:rPr>
        <w:t>EO</w:t>
      </w:r>
      <w:r w:rsidR="00F67B29" w:rsidRPr="00753048">
        <w:rPr>
          <w:rFonts w:ascii="Arial" w:hAnsi="Arial" w:cs="Arial"/>
        </w:rPr>
        <w:t>:</w:t>
      </w:r>
      <w:r w:rsidR="00753048" w:rsidRPr="00753048">
        <w:rPr>
          <w:rFonts w:ascii="Arial" w:hAnsi="Arial" w:cs="Arial"/>
        </w:rPr>
        <w:t xml:space="preserve"> mass of essential oil (g), </w:t>
      </w:r>
      <w:proofErr w:type="spellStart"/>
      <w:r w:rsidR="00753048" w:rsidRPr="00753048">
        <w:rPr>
          <w:rFonts w:ascii="Arial" w:hAnsi="Arial" w:cs="Arial"/>
        </w:rPr>
        <w:t>Mp</w:t>
      </w:r>
      <w:proofErr w:type="spellEnd"/>
      <w:r w:rsidR="00753048" w:rsidRPr="00753048">
        <w:rPr>
          <w:rFonts w:ascii="Arial" w:hAnsi="Arial" w:cs="Arial"/>
        </w:rPr>
        <w:t>: mass of peels (g)</w:t>
      </w:r>
    </w:p>
    <w:p w14:paraId="7E6AC59F" w14:textId="58F4C11D" w:rsidR="00753048" w:rsidRPr="00F67B29" w:rsidRDefault="00753048" w:rsidP="00F67B29">
      <w:pPr>
        <w:pStyle w:val="Body"/>
        <w:spacing w:before="120"/>
        <w:rPr>
          <w:rFonts w:ascii="Arial" w:hAnsi="Arial" w:cs="Arial"/>
          <w:b/>
          <w:bCs/>
        </w:rPr>
      </w:pPr>
      <w:r w:rsidRPr="00F67B29">
        <w:rPr>
          <w:rFonts w:ascii="Arial" w:hAnsi="Arial" w:cs="Arial"/>
          <w:b/>
          <w:bCs/>
        </w:rPr>
        <w:t>2.</w:t>
      </w:r>
      <w:r w:rsidR="00F67B29" w:rsidRPr="00F67B29">
        <w:rPr>
          <w:rFonts w:ascii="Arial" w:hAnsi="Arial" w:cs="Arial"/>
          <w:b/>
          <w:bCs/>
        </w:rPr>
        <w:t>4.</w:t>
      </w:r>
      <w:r w:rsidRPr="00F67B29">
        <w:rPr>
          <w:rFonts w:ascii="Arial" w:hAnsi="Arial" w:cs="Arial"/>
          <w:b/>
          <w:bCs/>
        </w:rPr>
        <w:t xml:space="preserve"> Determination of physicochemical parameters</w:t>
      </w:r>
    </w:p>
    <w:p w14:paraId="612C6317" w14:textId="4163DBD9"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2.4.1 </w:t>
      </w:r>
      <w:r w:rsidR="00753048" w:rsidRPr="00F67B29">
        <w:rPr>
          <w:rFonts w:ascii="Arial" w:hAnsi="Arial" w:cs="Arial"/>
          <w:b/>
          <w:bCs/>
          <w:u w:val="single"/>
        </w:rPr>
        <w:t xml:space="preserve">Acid Value </w:t>
      </w:r>
    </w:p>
    <w:p w14:paraId="795E9F6C" w14:textId="526AD79B" w:rsidR="00BC1670" w:rsidRDefault="002454E2" w:rsidP="00741AF8">
      <w:pPr>
        <w:pStyle w:val="Body"/>
        <w:spacing w:before="120" w:after="120"/>
        <w:rPr>
          <w:rFonts w:ascii="Arial" w:hAnsi="Arial" w:cs="Arial"/>
        </w:rPr>
      </w:pPr>
      <w:r w:rsidRPr="002454E2">
        <w:rPr>
          <w:rFonts w:ascii="Arial" w:hAnsi="Arial" w:cs="Arial"/>
        </w:rPr>
        <w:t>The acid value was determined according to ISO 1242:1999 (F). A test portion of each essential oil was weighed and dissolved in 95% ethanol previously neutralized with potassium hydroxide (KOH). Three drops of phenolphthalein were added, and the solution was titrated with a volume (V) of 0.1 N KOH until the endpoint was reached. The acid value (AV) was calculated using the following equation:</w:t>
      </w:r>
      <w:r w:rsidR="00BC1670" w:rsidRPr="00BC1670">
        <w:rPr>
          <w:rFonts w:ascii="Arial" w:hAnsi="Arial" w:cs="Arial"/>
        </w:rPr>
        <w:t xml:space="preserve"> AV = (V × C × 56.11) / m, V = volume of KOH solution used for titration (mL), C= exact concentration of the KOH solution (mol/L), m= mass of the essential oil (g), and 56.11 g/mol = molecular weight of KOH.</w:t>
      </w:r>
    </w:p>
    <w:p w14:paraId="4AA89648" w14:textId="391BC4EE"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2.4.2 </w:t>
      </w:r>
      <w:r w:rsidR="00753048" w:rsidRPr="00F67B29">
        <w:rPr>
          <w:rFonts w:ascii="Arial" w:hAnsi="Arial" w:cs="Arial"/>
          <w:b/>
          <w:bCs/>
          <w:u w:val="single"/>
        </w:rPr>
        <w:t xml:space="preserve">Ester value </w:t>
      </w:r>
    </w:p>
    <w:p w14:paraId="33DAA9C8" w14:textId="5E9E2AC2" w:rsidR="00DA0001" w:rsidRDefault="00FA0466" w:rsidP="00741AF8">
      <w:pPr>
        <w:pStyle w:val="Body"/>
        <w:spacing w:before="120" w:after="120"/>
        <w:rPr>
          <w:rFonts w:ascii="Arial" w:hAnsi="Arial" w:cs="Arial"/>
        </w:rPr>
      </w:pPr>
      <w:r w:rsidRPr="00FA0466">
        <w:rPr>
          <w:rFonts w:ascii="Arial" w:hAnsi="Arial" w:cs="Arial"/>
        </w:rPr>
        <w:t>The ester value was determined according to ISO 709:2001 (F). The final solutions obtained after the determination of the acid value were used for this analysis, with a blank test performed in parallel under identical conditions. A volume of 25 mL of 0.5 N KOH solution was added to each flask containing the essential oil samples and to the blank flask. The samples were boiled for 30 minutes on a hot plate, cooled, and then supplemented with 20 mL of water and five drops of phenolphthalein solution. The excess KOH was titrated with 0.5 N hydrochloric acid solution, and the disappearance of the pink coloration indicated the endpoint</w:t>
      </w:r>
      <w:r w:rsidR="00DA0001" w:rsidRPr="00DA0001">
        <w:rPr>
          <w:rFonts w:ascii="Arial" w:hAnsi="Arial" w:cs="Arial"/>
        </w:rPr>
        <w:t>. The ester value (EV) was calculated using the following equation: EV = (28.05 × (V</w:t>
      </w:r>
      <w:r w:rsidR="00DA0001" w:rsidRPr="00DA0001">
        <w:rPr>
          <w:rFonts w:ascii="Cambria Math" w:hAnsi="Cambria Math" w:cs="Cambria Math"/>
        </w:rPr>
        <w:t>₀</w:t>
      </w:r>
      <w:r w:rsidR="00DA0001" w:rsidRPr="00DA0001">
        <w:rPr>
          <w:rFonts w:ascii="Arial" w:hAnsi="Arial" w:cs="Arial"/>
        </w:rPr>
        <w:t xml:space="preserve"> − V)) / m,</w:t>
      </w:r>
      <w:r>
        <w:rPr>
          <w:rFonts w:ascii="Arial" w:hAnsi="Arial" w:cs="Arial"/>
        </w:rPr>
        <w:t xml:space="preserve"> </w:t>
      </w:r>
      <w:r w:rsidR="00DA0001" w:rsidRPr="00DA0001">
        <w:rPr>
          <w:rFonts w:ascii="Arial" w:hAnsi="Arial" w:cs="Arial"/>
        </w:rPr>
        <w:t>V= volume of HCl used for titration (mL), V</w:t>
      </w:r>
      <w:r w:rsidR="00DA0001" w:rsidRPr="00DA0001">
        <w:rPr>
          <w:rFonts w:ascii="Cambria Math" w:hAnsi="Cambria Math" w:cs="Cambria Math"/>
        </w:rPr>
        <w:t>₀</w:t>
      </w:r>
      <w:r w:rsidR="00DA0001" w:rsidRPr="00DA0001">
        <w:rPr>
          <w:rFonts w:ascii="Arial" w:hAnsi="Arial" w:cs="Arial"/>
        </w:rPr>
        <w:t xml:space="preserve"> = volume of HCl used for the blank test (mL), m = mass of the test portion (g), and 28.05 = molar mass of KOH divided by 2 (acid–base equivalence).</w:t>
      </w:r>
    </w:p>
    <w:p w14:paraId="15E2F6CD" w14:textId="6E1EEF99"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2.4.3 </w:t>
      </w:r>
      <w:r w:rsidR="00753048" w:rsidRPr="00F67B29">
        <w:rPr>
          <w:rFonts w:ascii="Arial" w:hAnsi="Arial" w:cs="Arial"/>
          <w:b/>
          <w:bCs/>
          <w:u w:val="single"/>
        </w:rPr>
        <w:t xml:space="preserve">Refractive index </w:t>
      </w:r>
    </w:p>
    <w:p w14:paraId="5D0B6041" w14:textId="77777777" w:rsidR="00FA0466" w:rsidRDefault="00FA0466" w:rsidP="00741AF8">
      <w:pPr>
        <w:pStyle w:val="Body"/>
        <w:spacing w:before="120" w:after="120"/>
        <w:rPr>
          <w:rFonts w:ascii="Arial" w:hAnsi="Arial" w:cs="Arial"/>
        </w:rPr>
      </w:pPr>
      <w:r w:rsidRPr="00FA0466">
        <w:rPr>
          <w:rFonts w:ascii="Arial" w:hAnsi="Arial" w:cs="Arial"/>
        </w:rPr>
        <w:t xml:space="preserve">The refractive index was determined according to ISO 280:1998 (EN). Measurements were performed using a </w:t>
      </w:r>
      <w:proofErr w:type="spellStart"/>
      <w:r w:rsidRPr="00FA0466">
        <w:rPr>
          <w:rFonts w:ascii="Arial" w:hAnsi="Arial" w:cs="Arial"/>
        </w:rPr>
        <w:t>Metria</w:t>
      </w:r>
      <w:proofErr w:type="spellEnd"/>
      <w:r w:rsidRPr="00FA0466">
        <w:rPr>
          <w:rFonts w:ascii="Arial" w:hAnsi="Arial" w:cs="Arial"/>
        </w:rPr>
        <w:t xml:space="preserve"> RSD500 digital refractometer. Four to five drops of essential oil were deposited onto the prism with a pipette, ensuring uniform coverage. The refractive index was read directly from the digital display. Calibration was performed prior to each measurement series using distilled water (refractive index 1.3330 at 20 °C).</w:t>
      </w:r>
    </w:p>
    <w:p w14:paraId="3725845E" w14:textId="7FB85114"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2.4.4 </w:t>
      </w:r>
      <w:r w:rsidR="00753048" w:rsidRPr="00F67B29">
        <w:rPr>
          <w:rFonts w:ascii="Arial" w:hAnsi="Arial" w:cs="Arial"/>
          <w:b/>
          <w:bCs/>
          <w:u w:val="single"/>
        </w:rPr>
        <w:t xml:space="preserve">Relative density </w:t>
      </w:r>
    </w:p>
    <w:p w14:paraId="511E0CBC" w14:textId="45B64A0D" w:rsidR="00E12054" w:rsidRDefault="00FA0466" w:rsidP="00E12054">
      <w:pPr>
        <w:jc w:val="both"/>
        <w:rPr>
          <w:rFonts w:ascii="Arial" w:hAnsi="Arial" w:cs="Arial"/>
        </w:rPr>
      </w:pPr>
      <w:r w:rsidRPr="00FA0466">
        <w:rPr>
          <w:rFonts w:ascii="Arial" w:hAnsi="Arial" w:cs="Arial"/>
        </w:rPr>
        <w:t>Relative density was determined in accordance with ISO 279:1998 (F). The pycnometer was cleaned, dried, and weighed to obtain its empty mass (M</w:t>
      </w:r>
      <w:r w:rsidRPr="00FA0466">
        <w:rPr>
          <w:rFonts w:ascii="Cambria Math" w:hAnsi="Cambria Math" w:cs="Cambria Math"/>
        </w:rPr>
        <w:t>₀</w:t>
      </w:r>
      <w:r w:rsidRPr="00FA0466">
        <w:rPr>
          <w:rFonts w:ascii="Arial" w:hAnsi="Arial" w:cs="Arial"/>
        </w:rPr>
        <w:t>). It was then filled with distilled water at 20 °C, and the mass (M</w:t>
      </w:r>
      <w:r w:rsidRPr="00FA0466">
        <w:rPr>
          <w:rFonts w:ascii="Cambria Math" w:hAnsi="Cambria Math" w:cs="Cambria Math"/>
        </w:rPr>
        <w:t>₁</w:t>
      </w:r>
      <w:r w:rsidRPr="00FA0466">
        <w:rPr>
          <w:rFonts w:ascii="Arial" w:hAnsi="Arial" w:cs="Arial"/>
        </w:rPr>
        <w:t>) was recorded. For each sample, the mass of the pycnometer filled with essential oil (M</w:t>
      </w:r>
      <w:r w:rsidRPr="00FA0466">
        <w:rPr>
          <w:rFonts w:ascii="Cambria Math" w:hAnsi="Cambria Math" w:cs="Cambria Math"/>
        </w:rPr>
        <w:t>₂</w:t>
      </w:r>
      <w:r w:rsidRPr="00FA0466">
        <w:rPr>
          <w:rFonts w:ascii="Arial" w:hAnsi="Arial" w:cs="Arial"/>
        </w:rPr>
        <w:t xml:space="preserve">) was measured. </w:t>
      </w:r>
      <w:r w:rsidR="00E12054" w:rsidRPr="00062A3F">
        <w:rPr>
          <w:rFonts w:ascii="Arial" w:hAnsi="Arial" w:cs="Arial"/>
        </w:rPr>
        <w:t xml:space="preserve">Relative density (d) was calculated using the following </w:t>
      </w:r>
      <w:r w:rsidRPr="00E12054">
        <w:rPr>
          <w:rFonts w:ascii="Arial" w:hAnsi="Arial" w:cs="Arial"/>
        </w:rPr>
        <w:t>equation:</w:t>
      </w:r>
      <w:r w:rsidR="00E12054" w:rsidRPr="00E12054">
        <w:rPr>
          <w:rFonts w:ascii="Arial" w:hAnsi="Arial" w:cs="Arial"/>
        </w:rPr>
        <w:t xml:space="preserve"> d=(</w:t>
      </w:r>
      <w:r w:rsidR="00E12054" w:rsidRPr="00E12054">
        <w:rPr>
          <w:rFonts w:ascii="Arial" w:hAnsi="Arial" w:cs="Arial"/>
          <w:i/>
          <w:iCs/>
        </w:rPr>
        <w:t>M</w:t>
      </w:r>
      <w:r w:rsidR="00E12054" w:rsidRPr="00E12054">
        <w:rPr>
          <w:rFonts w:ascii="Arial" w:hAnsi="Arial" w:cs="Arial"/>
          <w:i/>
          <w:iCs/>
          <w:vertAlign w:val="subscript"/>
        </w:rPr>
        <w:t>2</w:t>
      </w:r>
      <w:r w:rsidR="00E12054" w:rsidRPr="00E12054">
        <w:rPr>
          <w:rFonts w:ascii="Arial" w:hAnsi="Arial" w:cs="Arial"/>
          <w:i/>
          <w:iCs/>
        </w:rPr>
        <w:t>-M</w:t>
      </w:r>
      <w:r w:rsidR="00E12054" w:rsidRPr="00E12054">
        <w:rPr>
          <w:rFonts w:ascii="Arial" w:hAnsi="Arial" w:cs="Arial"/>
          <w:i/>
          <w:iCs/>
          <w:vertAlign w:val="subscript"/>
        </w:rPr>
        <w:t>0</w:t>
      </w:r>
      <w:r w:rsidR="00E12054" w:rsidRPr="00E12054">
        <w:rPr>
          <w:rFonts w:ascii="Arial" w:hAnsi="Arial" w:cs="Arial"/>
          <w:i/>
          <w:iCs/>
        </w:rPr>
        <w:t>) /(M</w:t>
      </w:r>
      <w:r w:rsidR="00E12054" w:rsidRPr="00E12054">
        <w:rPr>
          <w:rFonts w:ascii="Arial" w:hAnsi="Arial" w:cs="Arial"/>
          <w:i/>
          <w:iCs/>
          <w:vertAlign w:val="subscript"/>
        </w:rPr>
        <w:t>1</w:t>
      </w:r>
      <w:r w:rsidR="00E12054" w:rsidRPr="00E12054">
        <w:rPr>
          <w:rFonts w:ascii="Arial" w:hAnsi="Arial" w:cs="Arial"/>
          <w:i/>
          <w:iCs/>
        </w:rPr>
        <w:t>-M</w:t>
      </w:r>
      <w:r w:rsidR="00E12054" w:rsidRPr="00E12054">
        <w:rPr>
          <w:rFonts w:ascii="Arial" w:hAnsi="Arial" w:cs="Arial"/>
          <w:i/>
          <w:iCs/>
          <w:vertAlign w:val="subscript"/>
        </w:rPr>
        <w:t>0</w:t>
      </w:r>
      <w:r w:rsidR="00E12054" w:rsidRPr="00E12054">
        <w:rPr>
          <w:rFonts w:ascii="Arial" w:hAnsi="Arial" w:cs="Arial"/>
        </w:rPr>
        <w:t xml:space="preserve">), </w:t>
      </w:r>
      <w:r w:rsidR="00E12054" w:rsidRPr="00E12054">
        <w:rPr>
          <w:rFonts w:ascii="Arial" w:hAnsi="Arial" w:cs="Arial"/>
          <w:i/>
          <w:iCs/>
        </w:rPr>
        <w:t>M</w:t>
      </w:r>
      <w:r w:rsidR="00E12054" w:rsidRPr="00E12054">
        <w:rPr>
          <w:rFonts w:ascii="Arial" w:hAnsi="Arial" w:cs="Arial"/>
          <w:i/>
          <w:iCs/>
          <w:vertAlign w:val="subscript"/>
        </w:rPr>
        <w:t>0=</w:t>
      </w:r>
      <w:r w:rsidR="00E12054" w:rsidRPr="00062A3F">
        <w:rPr>
          <w:rFonts w:ascii="Arial" w:hAnsi="Arial" w:cs="Arial"/>
        </w:rPr>
        <w:t xml:space="preserve"> </w:t>
      </w:r>
      <w:r w:rsidR="00E12054" w:rsidRPr="00E12054">
        <w:rPr>
          <w:rFonts w:ascii="Arial" w:hAnsi="Arial" w:cs="Arial"/>
        </w:rPr>
        <w:t>mass of</w:t>
      </w:r>
      <w:r w:rsidR="00E12054" w:rsidRPr="00062A3F">
        <w:rPr>
          <w:rFonts w:ascii="Arial" w:hAnsi="Arial" w:cs="Arial"/>
        </w:rPr>
        <w:t xml:space="preserve"> the empty pycnometer (g)</w:t>
      </w:r>
      <w:r w:rsidR="00E12054" w:rsidRPr="00E12054">
        <w:rPr>
          <w:rFonts w:ascii="Arial" w:hAnsi="Arial" w:cs="Arial"/>
        </w:rPr>
        <w:t xml:space="preserve">, </w:t>
      </w:r>
      <w:r w:rsidR="00E12054" w:rsidRPr="00E12054">
        <w:rPr>
          <w:rFonts w:ascii="Arial" w:hAnsi="Arial" w:cs="Arial"/>
          <w:i/>
          <w:iCs/>
        </w:rPr>
        <w:t>M</w:t>
      </w:r>
      <w:r w:rsidR="00E12054" w:rsidRPr="00E12054">
        <w:rPr>
          <w:rFonts w:ascii="Arial" w:hAnsi="Arial" w:cs="Arial"/>
          <w:i/>
          <w:iCs/>
          <w:vertAlign w:val="subscript"/>
        </w:rPr>
        <w:t>1=</w:t>
      </w:r>
      <w:r>
        <w:rPr>
          <w:rFonts w:ascii="Arial" w:hAnsi="Arial" w:cs="Arial"/>
          <w:i/>
          <w:iCs/>
          <w:vertAlign w:val="subscript"/>
        </w:rPr>
        <w:t xml:space="preserve"> </w:t>
      </w:r>
      <w:r w:rsidR="00E12054" w:rsidRPr="00062A3F">
        <w:rPr>
          <w:rFonts w:ascii="Arial" w:hAnsi="Arial" w:cs="Arial"/>
        </w:rPr>
        <w:t>mass of the pycnometer filled with water (g)</w:t>
      </w:r>
      <w:r w:rsidR="00E12054" w:rsidRPr="00E12054">
        <w:rPr>
          <w:rFonts w:ascii="Arial" w:hAnsi="Arial" w:cs="Arial"/>
        </w:rPr>
        <w:t xml:space="preserve">, </w:t>
      </w:r>
      <w:r w:rsidR="00E12054" w:rsidRPr="00E12054">
        <w:rPr>
          <w:rFonts w:ascii="Arial" w:hAnsi="Arial" w:cs="Arial"/>
          <w:i/>
          <w:iCs/>
        </w:rPr>
        <w:t>M</w:t>
      </w:r>
      <w:r w:rsidR="00E12054" w:rsidRPr="00E12054">
        <w:rPr>
          <w:rFonts w:ascii="Arial" w:hAnsi="Arial" w:cs="Arial"/>
          <w:i/>
          <w:iCs/>
          <w:vertAlign w:val="subscript"/>
        </w:rPr>
        <w:t>2</w:t>
      </w:r>
      <w:r w:rsidR="00E12054" w:rsidRPr="00062A3F">
        <w:rPr>
          <w:rFonts w:ascii="Arial" w:hAnsi="Arial" w:cs="Arial"/>
        </w:rPr>
        <w:t>= mass of the pycnometer filled with essential oil (g)</w:t>
      </w:r>
      <w:r w:rsidR="00E12054">
        <w:rPr>
          <w:rFonts w:ascii="Arial" w:hAnsi="Arial" w:cs="Arial"/>
        </w:rPr>
        <w:t>.</w:t>
      </w:r>
    </w:p>
    <w:p w14:paraId="5F02E752" w14:textId="77777777" w:rsidR="008D4CAD" w:rsidRDefault="008D4CAD" w:rsidP="00E12054">
      <w:pPr>
        <w:jc w:val="both"/>
        <w:rPr>
          <w:rFonts w:ascii="Arial" w:hAnsi="Arial" w:cs="Arial"/>
        </w:rPr>
      </w:pPr>
    </w:p>
    <w:p w14:paraId="470E53DB" w14:textId="77777777" w:rsidR="008D4CAD" w:rsidRPr="00E12054" w:rsidRDefault="008D4CAD" w:rsidP="00E12054">
      <w:pPr>
        <w:jc w:val="both"/>
        <w:rPr>
          <w:rFonts w:ascii="Arial" w:hAnsi="Arial" w:cs="Arial"/>
        </w:rPr>
      </w:pPr>
    </w:p>
    <w:p w14:paraId="63B5DFA1" w14:textId="35C58AC9" w:rsidR="00753048" w:rsidRPr="00F67B29" w:rsidRDefault="00F67B29" w:rsidP="00741AF8">
      <w:pPr>
        <w:pStyle w:val="Body"/>
        <w:spacing w:before="120" w:after="120"/>
        <w:rPr>
          <w:rFonts w:ascii="Arial" w:hAnsi="Arial" w:cs="Arial"/>
          <w:b/>
          <w:bCs/>
        </w:rPr>
      </w:pPr>
      <w:r w:rsidRPr="00F67B29">
        <w:rPr>
          <w:rFonts w:ascii="Arial" w:hAnsi="Arial" w:cs="Arial"/>
          <w:b/>
          <w:bCs/>
        </w:rPr>
        <w:lastRenderedPageBreak/>
        <w:t>2.5</w:t>
      </w:r>
      <w:r w:rsidR="00753048" w:rsidRPr="00F67B29">
        <w:rPr>
          <w:rFonts w:ascii="Arial" w:hAnsi="Arial" w:cs="Arial"/>
          <w:b/>
          <w:bCs/>
        </w:rPr>
        <w:t xml:space="preserve"> Evaluation of the antifungal activity of essential oils</w:t>
      </w:r>
    </w:p>
    <w:p w14:paraId="536CB89A" w14:textId="367D7942" w:rsidR="00EC252B" w:rsidRDefault="00EC252B" w:rsidP="006768B0">
      <w:pPr>
        <w:pStyle w:val="Body"/>
        <w:spacing w:before="120" w:after="120"/>
        <w:rPr>
          <w:rFonts w:ascii="Arial" w:hAnsi="Arial" w:cs="Arial"/>
        </w:rPr>
      </w:pPr>
      <w:r w:rsidRPr="00EC252B">
        <w:rPr>
          <w:rFonts w:ascii="Arial" w:hAnsi="Arial" w:cs="Arial"/>
        </w:rPr>
        <w:t xml:space="preserve">Spore suspensions were prepared using the cell-counting technique with a </w:t>
      </w:r>
      <w:proofErr w:type="spellStart"/>
      <w:r w:rsidRPr="00EC252B">
        <w:rPr>
          <w:rFonts w:ascii="Arial" w:hAnsi="Arial" w:cs="Arial"/>
        </w:rPr>
        <w:t>Mallassez</w:t>
      </w:r>
      <w:proofErr w:type="spellEnd"/>
      <w:r w:rsidRPr="00EC252B">
        <w:rPr>
          <w:rFonts w:ascii="Arial" w:hAnsi="Arial" w:cs="Arial"/>
        </w:rPr>
        <w:t xml:space="preserve"> chamber. Each suspension was adjusted to </w:t>
      </w:r>
      <w:r w:rsidRPr="00632DC2">
        <w:rPr>
          <w:rFonts w:ascii="Arial" w:hAnsi="Arial" w:cs="Arial"/>
        </w:rPr>
        <w:t>1×10</w:t>
      </w:r>
      <w:r w:rsidRPr="00EC252B">
        <w:rPr>
          <w:rFonts w:ascii="Arial" w:hAnsi="Arial" w:cs="Arial"/>
          <w:vertAlign w:val="superscript"/>
        </w:rPr>
        <w:t>6</w:t>
      </w:r>
      <w:r>
        <w:rPr>
          <w:rFonts w:ascii="Arial" w:hAnsi="Arial" w:cs="Arial"/>
        </w:rPr>
        <w:t xml:space="preserve"> </w:t>
      </w:r>
      <w:r w:rsidRPr="00EC252B">
        <w:rPr>
          <w:rFonts w:ascii="Arial" w:hAnsi="Arial" w:cs="Arial"/>
        </w:rPr>
        <w:t>conidia/mL by diluting the initial suspensions (</w:t>
      </w:r>
      <w:proofErr w:type="spellStart"/>
      <w:r w:rsidRPr="00EC252B">
        <w:rPr>
          <w:rFonts w:ascii="Arial" w:hAnsi="Arial" w:cs="Arial"/>
        </w:rPr>
        <w:t>Dachoupakan</w:t>
      </w:r>
      <w:proofErr w:type="spellEnd"/>
      <w:r w:rsidRPr="00EC252B">
        <w:rPr>
          <w:rFonts w:ascii="Arial" w:hAnsi="Arial" w:cs="Arial"/>
        </w:rPr>
        <w:t xml:space="preserve"> et al., 2009). The percentage of inhibition was assessed using the direct contact method, with slight modifications (</w:t>
      </w:r>
      <w:proofErr w:type="spellStart"/>
      <w:r w:rsidRPr="00EC252B">
        <w:rPr>
          <w:rFonts w:ascii="Arial" w:hAnsi="Arial" w:cs="Arial"/>
        </w:rPr>
        <w:t>Elgat</w:t>
      </w:r>
      <w:proofErr w:type="spellEnd"/>
      <w:r w:rsidRPr="00EC252B">
        <w:rPr>
          <w:rFonts w:ascii="Arial" w:hAnsi="Arial" w:cs="Arial"/>
        </w:rPr>
        <w:t xml:space="preserve"> et al., 2020). Test tubes containing 20 mL of </w:t>
      </w:r>
      <w:proofErr w:type="spellStart"/>
      <w:r w:rsidRPr="00EC252B">
        <w:rPr>
          <w:rFonts w:ascii="Arial" w:hAnsi="Arial" w:cs="Arial"/>
        </w:rPr>
        <w:t>Difco</w:t>
      </w:r>
      <w:proofErr w:type="spellEnd"/>
      <w:r w:rsidRPr="00EC252B">
        <w:rPr>
          <w:rFonts w:ascii="Arial" w:hAnsi="Arial" w:cs="Arial"/>
        </w:rPr>
        <w:t>™ Potato Dextrose Agar, sterilized by autoclaving (15 min at 121°C) and cooled to 45 °C, were aseptically supplemented with essential oil at concentrations of 12.5, 25, and 50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EC252B">
        <w:rPr>
          <w:rFonts w:ascii="Arial" w:hAnsi="Arial" w:cs="Arial"/>
        </w:rPr>
        <w:t>. The mixture was homogenized and poured into Petri dishes. Subsequently, 5 µL of the previously prepared spore suspension was deposited at the center of each plate. Controls consisting of culture medium and fungal suspension without essential oil were prepared in parallel under identical conditions.</w:t>
      </w:r>
      <w:r>
        <w:rPr>
          <w:rFonts w:ascii="Arial" w:hAnsi="Arial" w:cs="Arial"/>
        </w:rPr>
        <w:t xml:space="preserve"> </w:t>
      </w:r>
      <w:r w:rsidR="00632DC2" w:rsidRPr="00632DC2">
        <w:rPr>
          <w:rFonts w:ascii="Arial" w:hAnsi="Arial" w:cs="Arial"/>
        </w:rPr>
        <w:t xml:space="preserve">After incubation at 25°C for 14 days, the mean diameter of fungal colonies was measured in two perpendicular directions. The percentage of inhibition (PI) was calculated using the following formula:  PI (%) =(D-Di) /D×100, D= diameter of mycelial growth in the control (without essential oil), Di= diameter of mycelial growth in the presence of essential oil. </w:t>
      </w:r>
      <w:r w:rsidRPr="00EC252B">
        <w:rPr>
          <w:rFonts w:ascii="Arial" w:hAnsi="Arial" w:cs="Arial"/>
        </w:rPr>
        <w:t>The Minimum Inhibitory Concentrations (MICs) of the essential oils were determined using the broth microdilution method described by CLSI (2008), with increasing concentrations (5 to 50 </w:t>
      </w:r>
      <w:r w:rsidR="009242E5">
        <w:rPr>
          <w:rFonts w:ascii="Arial" w:hAnsi="Arial" w:cs="Arial"/>
        </w:rPr>
        <w:t>µL mL</w:t>
      </w:r>
      <w:r w:rsidR="009242E5">
        <w:rPr>
          <w:rFonts w:ascii="Cambria Math" w:hAnsi="Cambria Math" w:cs="Cambria Math"/>
        </w:rPr>
        <w:t>⁻</w:t>
      </w:r>
      <w:r w:rsidR="009242E5">
        <w:rPr>
          <w:rFonts w:ascii="Arial" w:hAnsi="Arial" w:cs="Arial"/>
        </w:rPr>
        <w:t>¹</w:t>
      </w:r>
      <w:r w:rsidR="007C22BE" w:rsidRPr="00EC252B">
        <w:rPr>
          <w:rFonts w:ascii="Arial" w:hAnsi="Arial" w:cs="Arial"/>
        </w:rPr>
        <w:t>).</w:t>
      </w:r>
      <w:r w:rsidR="007C22BE" w:rsidRPr="007C22BE">
        <w:rPr>
          <w:rFonts w:ascii="Arial" w:hAnsi="Arial" w:cs="Arial"/>
        </w:rPr>
        <w:t xml:space="preserve"> The MIC was recorded as the lowest concentration of the EO at which the microorganism tested did not demonstrate visible growth in the broth. 100 </w:t>
      </w:r>
      <w:proofErr w:type="spellStart"/>
      <w:r w:rsidR="007C22BE" w:rsidRPr="007C22BE">
        <w:rPr>
          <w:rFonts w:ascii="Arial" w:hAnsi="Arial" w:cs="Arial"/>
        </w:rPr>
        <w:t>μL</w:t>
      </w:r>
      <w:proofErr w:type="spellEnd"/>
      <w:r w:rsidR="007C22BE" w:rsidRPr="007C22BE">
        <w:rPr>
          <w:rFonts w:ascii="Arial" w:hAnsi="Arial" w:cs="Arial"/>
        </w:rPr>
        <w:t xml:space="preserve"> from the wells without visible fungus growth was </w:t>
      </w:r>
      <w:proofErr w:type="spellStart"/>
      <w:r w:rsidR="007C22BE" w:rsidRPr="007C22BE">
        <w:rPr>
          <w:rFonts w:ascii="Arial" w:hAnsi="Arial" w:cs="Arial"/>
        </w:rPr>
        <w:t>subcultured</w:t>
      </w:r>
      <w:proofErr w:type="spellEnd"/>
      <w:r w:rsidR="007C22BE" w:rsidRPr="007C22BE">
        <w:rPr>
          <w:rFonts w:ascii="Arial" w:hAnsi="Arial" w:cs="Arial"/>
        </w:rPr>
        <w:t xml:space="preserve"> on Potato Dextrose Agar in Petri dishes to determine EO's minimum fungicidal concentration (MFC). The lowest oil concentration at which no revival of fungal growth occurs was considered the MFC</w:t>
      </w:r>
      <w:r w:rsidR="007C22BE">
        <w:rPr>
          <w:rFonts w:ascii="Arial" w:hAnsi="Arial" w:cs="Arial"/>
        </w:rPr>
        <w:t>.</w:t>
      </w:r>
      <w:r w:rsidRPr="00EC252B">
        <w:rPr>
          <w:rFonts w:ascii="Arial" w:hAnsi="Arial" w:cs="Arial"/>
        </w:rPr>
        <w:t xml:space="preserve"> Negative controls containing broth supplemented with 10% DMSO were prepared under the same conditions. Each assay was performed in triplicate.</w:t>
      </w:r>
    </w:p>
    <w:p w14:paraId="75250358" w14:textId="051A0CE1" w:rsidR="00753048" w:rsidRPr="0092404B" w:rsidRDefault="0092404B" w:rsidP="006768B0">
      <w:pPr>
        <w:pStyle w:val="Body"/>
        <w:spacing w:before="120" w:after="120"/>
        <w:rPr>
          <w:rFonts w:ascii="Arial" w:hAnsi="Arial" w:cs="Arial"/>
          <w:b/>
          <w:bCs/>
        </w:rPr>
      </w:pPr>
      <w:r w:rsidRPr="0092404B">
        <w:rPr>
          <w:rFonts w:ascii="Arial" w:hAnsi="Arial" w:cs="Arial"/>
          <w:b/>
          <w:bCs/>
        </w:rPr>
        <w:t>2.6</w:t>
      </w:r>
      <w:r w:rsidR="00753048" w:rsidRPr="0092404B">
        <w:rPr>
          <w:rFonts w:ascii="Arial" w:hAnsi="Arial" w:cs="Arial"/>
          <w:b/>
          <w:bCs/>
        </w:rPr>
        <w:t>. Statistical analyses</w:t>
      </w:r>
    </w:p>
    <w:p w14:paraId="5943160C" w14:textId="5B65D83E" w:rsidR="00E13A0B" w:rsidRDefault="00E13A0B" w:rsidP="006768B0">
      <w:pPr>
        <w:pStyle w:val="Head1"/>
        <w:spacing w:before="120" w:after="120"/>
        <w:jc w:val="both"/>
        <w:rPr>
          <w:rFonts w:ascii="Arial" w:hAnsi="Arial" w:cs="Arial"/>
          <w:b w:val="0"/>
          <w:caps w:val="0"/>
          <w:sz w:val="20"/>
        </w:rPr>
      </w:pPr>
      <w:r w:rsidRPr="00E13A0B">
        <w:rPr>
          <w:rFonts w:ascii="Arial" w:hAnsi="Arial" w:cs="Arial"/>
          <w:b w:val="0"/>
          <w:caps w:val="0"/>
          <w:sz w:val="20"/>
        </w:rPr>
        <w:t xml:space="preserve">Experimental data was processed using GraphPad Prism 5.0 Software (GraphPad Software, San Diego, CA, USA). Results are expressed as mean ± standard deviation (n = 3). </w:t>
      </w:r>
    </w:p>
    <w:p w14:paraId="32707977" w14:textId="0E04E533" w:rsidR="00790ADA" w:rsidRPr="00FB3A86" w:rsidRDefault="00000F8F" w:rsidP="006768B0">
      <w:pPr>
        <w:pStyle w:val="Head1"/>
        <w:spacing w:before="120"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bookmarkStart w:id="1" w:name="_GoBack"/>
      <w:bookmarkEnd w:id="1"/>
    </w:p>
    <w:p w14:paraId="09B1B14F" w14:textId="7CB68AEE" w:rsidR="0092404B" w:rsidRPr="00E964D7" w:rsidRDefault="00E964D7" w:rsidP="00E964D7">
      <w:pPr>
        <w:pStyle w:val="Body"/>
        <w:spacing w:before="120" w:after="120"/>
        <w:rPr>
          <w:rFonts w:ascii="Arial" w:hAnsi="Arial" w:cs="Arial"/>
          <w:b/>
          <w:bCs/>
        </w:rPr>
      </w:pPr>
      <w:r w:rsidRPr="00E964D7">
        <w:rPr>
          <w:rFonts w:ascii="Arial" w:hAnsi="Arial" w:cs="Arial"/>
          <w:b/>
          <w:bCs/>
        </w:rPr>
        <w:t xml:space="preserve">3.1 </w:t>
      </w:r>
      <w:r w:rsidR="0092404B" w:rsidRPr="00E964D7">
        <w:rPr>
          <w:rFonts w:ascii="Arial" w:hAnsi="Arial" w:cs="Arial"/>
          <w:b/>
          <w:bCs/>
        </w:rPr>
        <w:t>Yield of peel and essential oil</w:t>
      </w:r>
    </w:p>
    <w:p w14:paraId="59812D3D" w14:textId="61A6F6EE" w:rsidR="006768B0" w:rsidRDefault="000C33A2" w:rsidP="0092404B">
      <w:pPr>
        <w:pStyle w:val="Body"/>
        <w:spacing w:after="0"/>
        <w:rPr>
          <w:rFonts w:ascii="Arial" w:hAnsi="Arial" w:cs="Arial"/>
        </w:rPr>
      </w:pPr>
      <w:r w:rsidRPr="000C33A2">
        <w:rPr>
          <w:rFonts w:ascii="Arial" w:hAnsi="Arial" w:cs="Arial"/>
          <w:i/>
          <w:iCs/>
        </w:rPr>
        <w:t>C</w:t>
      </w:r>
      <w:r w:rsidR="00846E7C">
        <w:rPr>
          <w:rFonts w:ascii="Arial" w:hAnsi="Arial" w:cs="Arial"/>
          <w:i/>
          <w:iCs/>
        </w:rPr>
        <w:t>.</w:t>
      </w:r>
      <w:r w:rsidRPr="000C33A2">
        <w:rPr>
          <w:rFonts w:ascii="Arial" w:hAnsi="Arial" w:cs="Arial"/>
          <w:i/>
          <w:iCs/>
        </w:rPr>
        <w:t xml:space="preserve"> sinensis</w:t>
      </w:r>
      <w:r w:rsidRPr="000C33A2">
        <w:rPr>
          <w:rFonts w:ascii="Arial" w:hAnsi="Arial" w:cs="Arial"/>
        </w:rPr>
        <w:t xml:space="preserve"> is characterized by a high average fruit mass (179.16 g), producing a substantial amount of peel (44.99 g). Nevertheless, its essential oil yield remains limited (0.90%). In contrast, </w:t>
      </w:r>
      <w:r w:rsidRPr="000C33A2">
        <w:rPr>
          <w:rFonts w:ascii="Arial" w:hAnsi="Arial" w:cs="Arial"/>
          <w:i/>
          <w:iCs/>
        </w:rPr>
        <w:t>C</w:t>
      </w:r>
      <w:r w:rsidR="00846E7C">
        <w:rPr>
          <w:rFonts w:ascii="Arial" w:hAnsi="Arial" w:cs="Arial"/>
          <w:i/>
          <w:iCs/>
        </w:rPr>
        <w:t>.</w:t>
      </w:r>
      <w:r w:rsidRPr="000C33A2">
        <w:rPr>
          <w:rFonts w:ascii="Arial" w:hAnsi="Arial" w:cs="Arial"/>
          <w:i/>
          <w:iCs/>
        </w:rPr>
        <w:t xml:space="preserve"> aurantifolia</w:t>
      </w:r>
      <w:r w:rsidRPr="000C33A2">
        <w:rPr>
          <w:rFonts w:ascii="Arial" w:hAnsi="Arial" w:cs="Arial"/>
        </w:rPr>
        <w:t>, despite its small size (24.60 g) and low peel proportion (3.95 g), exhibits a higher essential oil yield (1.22%) (Table 1).</w:t>
      </w:r>
    </w:p>
    <w:p w14:paraId="4E96B91B" w14:textId="77777777" w:rsidR="000C33A2" w:rsidRDefault="000C33A2" w:rsidP="0092404B">
      <w:pPr>
        <w:pStyle w:val="Body"/>
        <w:spacing w:after="0"/>
        <w:rPr>
          <w:rFonts w:ascii="Arial" w:hAnsi="Arial" w:cs="Arial"/>
        </w:rPr>
      </w:pPr>
    </w:p>
    <w:p w14:paraId="1CD42990" w14:textId="57DBB138" w:rsidR="0092404B" w:rsidRPr="006768B0" w:rsidRDefault="0092404B" w:rsidP="0092404B">
      <w:pPr>
        <w:spacing w:line="360" w:lineRule="auto"/>
        <w:jc w:val="both"/>
        <w:rPr>
          <w:rFonts w:ascii="Arial" w:hAnsi="Arial" w:cs="Arial"/>
          <w:b/>
          <w:bCs/>
          <w:kern w:val="2"/>
        </w:rPr>
      </w:pPr>
      <w:r w:rsidRPr="006768B0">
        <w:rPr>
          <w:rFonts w:ascii="Arial" w:hAnsi="Arial" w:cs="Arial"/>
          <w:b/>
          <w:bCs/>
          <w:kern w:val="2"/>
        </w:rPr>
        <w:t>Table 1. Yield of peel</w:t>
      </w:r>
      <w:r w:rsidR="009F4568">
        <w:rPr>
          <w:rFonts w:ascii="Arial" w:hAnsi="Arial" w:cs="Arial"/>
          <w:b/>
          <w:bCs/>
          <w:kern w:val="2"/>
        </w:rPr>
        <w:t>s</w:t>
      </w:r>
      <w:r w:rsidRPr="006768B0">
        <w:rPr>
          <w:rFonts w:ascii="Arial" w:hAnsi="Arial" w:cs="Arial"/>
          <w:b/>
          <w:bCs/>
          <w:kern w:val="2"/>
        </w:rPr>
        <w:t xml:space="preserve"> and essential oil</w:t>
      </w:r>
      <w:r w:rsidR="009F4568">
        <w:rPr>
          <w:rFonts w:ascii="Arial" w:hAnsi="Arial" w:cs="Arial"/>
          <w:b/>
          <w:bCs/>
          <w:kern w:val="2"/>
        </w:rPr>
        <w:t>s</w:t>
      </w:r>
    </w:p>
    <w:tbl>
      <w:tblPr>
        <w:tblW w:w="992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3"/>
        <w:gridCol w:w="2102"/>
        <w:gridCol w:w="2158"/>
        <w:gridCol w:w="2081"/>
        <w:gridCol w:w="1739"/>
      </w:tblGrid>
      <w:tr w:rsidR="0092404B" w:rsidRPr="00DE05A5" w14:paraId="09A5C458" w14:textId="77777777" w:rsidTr="006768B0">
        <w:trPr>
          <w:trHeight w:val="1028"/>
          <w:jc w:val="center"/>
        </w:trPr>
        <w:tc>
          <w:tcPr>
            <w:tcW w:w="1843" w:type="dxa"/>
            <w:tcBorders>
              <w:top w:val="single" w:sz="4" w:space="0" w:color="000000"/>
              <w:bottom w:val="single" w:sz="4" w:space="0" w:color="000000"/>
            </w:tcBorders>
            <w:vAlign w:val="center"/>
          </w:tcPr>
          <w:p w14:paraId="124B4478" w14:textId="77777777" w:rsidR="0092404B" w:rsidRPr="00DE05A5" w:rsidRDefault="0092404B" w:rsidP="00846E7C">
            <w:pPr>
              <w:spacing w:after="160" w:line="276" w:lineRule="auto"/>
              <w:jc w:val="center"/>
              <w:rPr>
                <w:rFonts w:ascii="Arial" w:hAnsi="Arial" w:cs="Arial"/>
                <w:b/>
                <w:kern w:val="2"/>
              </w:rPr>
            </w:pPr>
            <w:bookmarkStart w:id="2" w:name="_Hlk217301600"/>
            <w:r w:rsidRPr="00DE05A5">
              <w:rPr>
                <w:rFonts w:ascii="Arial" w:hAnsi="Arial" w:cs="Arial"/>
                <w:b/>
                <w:bCs/>
              </w:rPr>
              <w:t>Citrus species</w:t>
            </w:r>
          </w:p>
        </w:tc>
        <w:tc>
          <w:tcPr>
            <w:tcW w:w="2102" w:type="dxa"/>
            <w:tcBorders>
              <w:top w:val="single" w:sz="4" w:space="0" w:color="000000"/>
              <w:bottom w:val="single" w:sz="4" w:space="0" w:color="000000"/>
            </w:tcBorders>
            <w:vAlign w:val="center"/>
          </w:tcPr>
          <w:p w14:paraId="6C8E6A2F" w14:textId="77777777" w:rsidR="0092404B" w:rsidRPr="00DE05A5" w:rsidRDefault="0092404B" w:rsidP="00846E7C">
            <w:pPr>
              <w:spacing w:after="160" w:line="276" w:lineRule="auto"/>
              <w:jc w:val="center"/>
              <w:rPr>
                <w:rFonts w:ascii="Arial" w:hAnsi="Arial" w:cs="Arial"/>
                <w:b/>
                <w:kern w:val="2"/>
              </w:rPr>
            </w:pPr>
            <w:r w:rsidRPr="00DE05A5">
              <w:rPr>
                <w:rFonts w:ascii="Arial" w:hAnsi="Arial" w:cs="Arial"/>
                <w:b/>
                <w:bCs/>
              </w:rPr>
              <w:t>Average fruit mass (g)</w:t>
            </w:r>
          </w:p>
        </w:tc>
        <w:tc>
          <w:tcPr>
            <w:tcW w:w="2158" w:type="dxa"/>
            <w:tcBorders>
              <w:top w:val="single" w:sz="4" w:space="0" w:color="000000"/>
              <w:bottom w:val="single" w:sz="4" w:space="0" w:color="000000"/>
            </w:tcBorders>
            <w:vAlign w:val="center"/>
          </w:tcPr>
          <w:p w14:paraId="2E8C8EED" w14:textId="77777777" w:rsidR="0092404B" w:rsidRPr="00DE05A5" w:rsidRDefault="0092404B" w:rsidP="00846E7C">
            <w:pPr>
              <w:spacing w:after="160" w:line="276" w:lineRule="auto"/>
              <w:jc w:val="center"/>
              <w:rPr>
                <w:rFonts w:ascii="Arial" w:hAnsi="Arial" w:cs="Arial"/>
                <w:b/>
                <w:kern w:val="2"/>
              </w:rPr>
            </w:pPr>
            <w:r w:rsidRPr="00DE05A5">
              <w:rPr>
                <w:rFonts w:ascii="Arial" w:hAnsi="Arial" w:cs="Arial"/>
                <w:b/>
                <w:bCs/>
              </w:rPr>
              <w:t>Average peel mass (g)</w:t>
            </w:r>
          </w:p>
        </w:tc>
        <w:tc>
          <w:tcPr>
            <w:tcW w:w="2081" w:type="dxa"/>
            <w:tcBorders>
              <w:top w:val="single" w:sz="4" w:space="0" w:color="000000"/>
              <w:bottom w:val="single" w:sz="4" w:space="0" w:color="000000"/>
            </w:tcBorders>
            <w:vAlign w:val="center"/>
          </w:tcPr>
          <w:p w14:paraId="6153EBB1" w14:textId="77777777" w:rsidR="0092404B" w:rsidRPr="00DE05A5" w:rsidRDefault="0092404B" w:rsidP="00846E7C">
            <w:pPr>
              <w:spacing w:after="160" w:line="276" w:lineRule="auto"/>
              <w:jc w:val="center"/>
              <w:rPr>
                <w:rFonts w:ascii="Arial" w:hAnsi="Arial" w:cs="Arial"/>
                <w:b/>
                <w:kern w:val="2"/>
              </w:rPr>
            </w:pPr>
            <w:r w:rsidRPr="00DE05A5">
              <w:rPr>
                <w:rFonts w:ascii="Arial" w:hAnsi="Arial" w:cs="Arial"/>
                <w:b/>
                <w:bCs/>
              </w:rPr>
              <w:t>Peel percentage (%)</w:t>
            </w:r>
          </w:p>
        </w:tc>
        <w:tc>
          <w:tcPr>
            <w:tcW w:w="1739" w:type="dxa"/>
            <w:tcBorders>
              <w:top w:val="single" w:sz="4" w:space="0" w:color="000000"/>
              <w:bottom w:val="single" w:sz="4" w:space="0" w:color="000000"/>
            </w:tcBorders>
            <w:vAlign w:val="center"/>
          </w:tcPr>
          <w:p w14:paraId="6B85DE15" w14:textId="77777777" w:rsidR="0092404B" w:rsidRPr="00DE05A5" w:rsidRDefault="0092404B" w:rsidP="00846E7C">
            <w:pPr>
              <w:spacing w:after="160" w:line="276" w:lineRule="auto"/>
              <w:jc w:val="center"/>
              <w:rPr>
                <w:rFonts w:ascii="Arial" w:hAnsi="Arial" w:cs="Arial"/>
                <w:b/>
                <w:kern w:val="2"/>
              </w:rPr>
            </w:pPr>
            <w:r w:rsidRPr="00DE05A5">
              <w:rPr>
                <w:rFonts w:ascii="Arial" w:hAnsi="Arial" w:cs="Arial"/>
                <w:b/>
                <w:bCs/>
              </w:rPr>
              <w:t>Essential oil yield (%)</w:t>
            </w:r>
          </w:p>
        </w:tc>
      </w:tr>
      <w:tr w:rsidR="0092404B" w:rsidRPr="00DE05A5" w14:paraId="16DB9D67" w14:textId="77777777" w:rsidTr="00861400">
        <w:trPr>
          <w:trHeight w:val="250"/>
          <w:jc w:val="center"/>
        </w:trPr>
        <w:tc>
          <w:tcPr>
            <w:tcW w:w="1843" w:type="dxa"/>
            <w:tcBorders>
              <w:top w:val="single" w:sz="4" w:space="0" w:color="000000"/>
            </w:tcBorders>
          </w:tcPr>
          <w:p w14:paraId="376A090F" w14:textId="77777777" w:rsidR="0092404B" w:rsidRPr="00DE05A5" w:rsidRDefault="0092404B" w:rsidP="006768B0">
            <w:pPr>
              <w:spacing w:after="160" w:line="480" w:lineRule="auto"/>
              <w:jc w:val="center"/>
              <w:rPr>
                <w:rFonts w:ascii="Arial" w:eastAsia="Calibri" w:hAnsi="Arial" w:cs="Arial"/>
                <w:i/>
                <w:kern w:val="2"/>
              </w:rPr>
            </w:pPr>
            <w:bookmarkStart w:id="3" w:name="_Hlk217054602"/>
            <w:bookmarkEnd w:id="2"/>
            <w:r w:rsidRPr="00DE05A5">
              <w:rPr>
                <w:rFonts w:ascii="Arial" w:hAnsi="Arial" w:cs="Arial"/>
                <w:i/>
                <w:kern w:val="2"/>
              </w:rPr>
              <w:t>C. sinensis</w:t>
            </w:r>
          </w:p>
        </w:tc>
        <w:tc>
          <w:tcPr>
            <w:tcW w:w="2102" w:type="dxa"/>
            <w:tcBorders>
              <w:top w:val="single" w:sz="4" w:space="0" w:color="000000"/>
            </w:tcBorders>
          </w:tcPr>
          <w:p w14:paraId="79EA5AEA"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179.16 ± 3.95</w:t>
            </w:r>
          </w:p>
        </w:tc>
        <w:tc>
          <w:tcPr>
            <w:tcW w:w="2158" w:type="dxa"/>
            <w:tcBorders>
              <w:top w:val="single" w:sz="4" w:space="0" w:color="000000"/>
            </w:tcBorders>
          </w:tcPr>
          <w:p w14:paraId="2EAEB460"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44.99 ± 5.81</w:t>
            </w:r>
          </w:p>
        </w:tc>
        <w:tc>
          <w:tcPr>
            <w:tcW w:w="2081" w:type="dxa"/>
            <w:tcBorders>
              <w:top w:val="single" w:sz="4" w:space="0" w:color="000000"/>
            </w:tcBorders>
          </w:tcPr>
          <w:p w14:paraId="7F4A99F8"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25.11 ± 9.94</w:t>
            </w:r>
          </w:p>
        </w:tc>
        <w:tc>
          <w:tcPr>
            <w:tcW w:w="1739" w:type="dxa"/>
            <w:tcBorders>
              <w:top w:val="single" w:sz="4" w:space="0" w:color="000000"/>
            </w:tcBorders>
          </w:tcPr>
          <w:p w14:paraId="6C01A9CA" w14:textId="670EBC41" w:rsidR="0092404B" w:rsidRPr="00DE05A5" w:rsidRDefault="0092404B" w:rsidP="006768B0">
            <w:pPr>
              <w:spacing w:after="160" w:line="480" w:lineRule="auto"/>
              <w:jc w:val="center"/>
              <w:rPr>
                <w:rFonts w:ascii="Arial" w:eastAsia="Calibri" w:hAnsi="Arial" w:cs="Arial"/>
                <w:kern w:val="2"/>
              </w:rPr>
            </w:pPr>
            <w:r w:rsidRPr="00DE05A5">
              <w:rPr>
                <w:rFonts w:ascii="Arial" w:eastAsia="Calibri" w:hAnsi="Arial" w:cs="Arial"/>
                <w:kern w:val="2"/>
              </w:rPr>
              <w:t>0.90</w:t>
            </w:r>
            <w:r w:rsidR="00B27F03">
              <w:rPr>
                <w:rFonts w:ascii="Arial" w:eastAsia="Calibri" w:hAnsi="Arial" w:cs="Arial"/>
                <w:kern w:val="2"/>
              </w:rPr>
              <w:t xml:space="preserve"> </w:t>
            </w:r>
            <w:r w:rsidR="00B27F03" w:rsidRPr="00B27F03">
              <w:rPr>
                <w:rFonts w:ascii="Arial" w:eastAsia="Calibri" w:hAnsi="Arial" w:cs="Arial"/>
                <w:kern w:val="2"/>
              </w:rPr>
              <w:t>±</w:t>
            </w:r>
            <w:r w:rsidR="00B27F03">
              <w:rPr>
                <w:rFonts w:ascii="Arial" w:eastAsia="Calibri" w:hAnsi="Arial" w:cs="Arial"/>
                <w:kern w:val="2"/>
              </w:rPr>
              <w:t xml:space="preserve"> 0.03</w:t>
            </w:r>
          </w:p>
        </w:tc>
      </w:tr>
      <w:tr w:rsidR="0092404B" w:rsidRPr="00DE05A5" w14:paraId="7261B50C" w14:textId="77777777" w:rsidTr="00861400">
        <w:trPr>
          <w:trHeight w:val="229"/>
          <w:jc w:val="center"/>
        </w:trPr>
        <w:tc>
          <w:tcPr>
            <w:tcW w:w="1843" w:type="dxa"/>
          </w:tcPr>
          <w:p w14:paraId="02322501" w14:textId="1C76CD45" w:rsidR="0092404B" w:rsidRPr="00DE05A5" w:rsidRDefault="0092404B" w:rsidP="006768B0">
            <w:pPr>
              <w:spacing w:after="160" w:line="480" w:lineRule="auto"/>
              <w:jc w:val="center"/>
              <w:rPr>
                <w:rFonts w:ascii="Arial" w:eastAsia="Calibri" w:hAnsi="Arial" w:cs="Arial"/>
                <w:i/>
                <w:kern w:val="2"/>
              </w:rPr>
            </w:pPr>
            <w:r w:rsidRPr="00DE05A5">
              <w:rPr>
                <w:rFonts w:ascii="Arial" w:hAnsi="Arial" w:cs="Arial"/>
                <w:i/>
                <w:kern w:val="2"/>
              </w:rPr>
              <w:t>C. aurantifolia</w:t>
            </w:r>
          </w:p>
        </w:tc>
        <w:tc>
          <w:tcPr>
            <w:tcW w:w="2102" w:type="dxa"/>
          </w:tcPr>
          <w:p w14:paraId="58C24DC3"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24.60 ± 1.40</w:t>
            </w:r>
          </w:p>
        </w:tc>
        <w:tc>
          <w:tcPr>
            <w:tcW w:w="2158" w:type="dxa"/>
          </w:tcPr>
          <w:p w14:paraId="312E06BD"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3.95 ± 0.32</w:t>
            </w:r>
          </w:p>
        </w:tc>
        <w:tc>
          <w:tcPr>
            <w:tcW w:w="2081" w:type="dxa"/>
          </w:tcPr>
          <w:p w14:paraId="4DC5436C" w14:textId="77777777" w:rsidR="0092404B" w:rsidRPr="00DE05A5" w:rsidRDefault="0092404B" w:rsidP="006768B0">
            <w:pPr>
              <w:spacing w:after="160" w:line="480" w:lineRule="auto"/>
              <w:jc w:val="center"/>
              <w:rPr>
                <w:rFonts w:ascii="Arial" w:hAnsi="Arial" w:cs="Arial"/>
                <w:kern w:val="2"/>
              </w:rPr>
            </w:pPr>
            <w:r w:rsidRPr="00DE05A5">
              <w:rPr>
                <w:rFonts w:ascii="Arial" w:eastAsia="Calibri" w:hAnsi="Arial" w:cs="Arial"/>
                <w:kern w:val="2"/>
              </w:rPr>
              <w:t>16.05 ± 0.79</w:t>
            </w:r>
          </w:p>
        </w:tc>
        <w:tc>
          <w:tcPr>
            <w:tcW w:w="1739" w:type="dxa"/>
          </w:tcPr>
          <w:p w14:paraId="23B85A02" w14:textId="70EEB631" w:rsidR="0092404B" w:rsidRPr="00DE05A5" w:rsidRDefault="0092404B" w:rsidP="006768B0">
            <w:pPr>
              <w:spacing w:after="160" w:line="480" w:lineRule="auto"/>
              <w:jc w:val="center"/>
              <w:rPr>
                <w:rFonts w:ascii="Arial" w:eastAsia="Calibri" w:hAnsi="Arial" w:cs="Arial"/>
                <w:kern w:val="2"/>
              </w:rPr>
            </w:pPr>
            <w:r w:rsidRPr="00DE05A5">
              <w:rPr>
                <w:rFonts w:ascii="Arial" w:eastAsia="Calibri" w:hAnsi="Arial" w:cs="Arial"/>
                <w:kern w:val="2"/>
              </w:rPr>
              <w:t>1.22</w:t>
            </w:r>
            <w:r w:rsidR="00B27F03" w:rsidRPr="00B27F03">
              <w:rPr>
                <w:rFonts w:ascii="Arial" w:eastAsia="Calibri" w:hAnsi="Arial" w:cs="Arial"/>
                <w:kern w:val="2"/>
              </w:rPr>
              <w:t>±</w:t>
            </w:r>
            <w:r w:rsidR="00B27F03">
              <w:rPr>
                <w:rFonts w:ascii="Arial" w:eastAsia="Calibri" w:hAnsi="Arial" w:cs="Arial"/>
                <w:kern w:val="2"/>
              </w:rPr>
              <w:t>0.07</w:t>
            </w:r>
          </w:p>
        </w:tc>
      </w:tr>
      <w:bookmarkEnd w:id="3"/>
    </w:tbl>
    <w:p w14:paraId="296B81A6" w14:textId="77777777" w:rsidR="0092404B" w:rsidRPr="0092404B" w:rsidRDefault="0092404B" w:rsidP="0092404B">
      <w:pPr>
        <w:spacing w:line="360" w:lineRule="auto"/>
        <w:jc w:val="both"/>
        <w:rPr>
          <w:rFonts w:ascii="Times New Roman" w:eastAsia="Calibri" w:hAnsi="Times New Roman"/>
          <w:kern w:val="2"/>
          <w:sz w:val="24"/>
          <w:szCs w:val="24"/>
        </w:rPr>
      </w:pPr>
    </w:p>
    <w:p w14:paraId="084D126A" w14:textId="7CDB9597" w:rsidR="0092404B" w:rsidRPr="00E964D7" w:rsidRDefault="00E964D7" w:rsidP="001B53DE">
      <w:pPr>
        <w:pStyle w:val="Body"/>
        <w:spacing w:after="120"/>
        <w:rPr>
          <w:rFonts w:ascii="Arial" w:hAnsi="Arial" w:cs="Arial"/>
          <w:b/>
          <w:bCs/>
        </w:rPr>
      </w:pPr>
      <w:r w:rsidRPr="00E964D7">
        <w:rPr>
          <w:rFonts w:ascii="Arial" w:hAnsi="Arial" w:cs="Arial"/>
          <w:b/>
          <w:bCs/>
        </w:rPr>
        <w:t xml:space="preserve">3.2 </w:t>
      </w:r>
      <w:r w:rsidR="0092404B" w:rsidRPr="00E964D7">
        <w:rPr>
          <w:rFonts w:ascii="Arial" w:hAnsi="Arial" w:cs="Arial"/>
          <w:b/>
          <w:bCs/>
        </w:rPr>
        <w:t>Physicochemical parameters</w:t>
      </w:r>
    </w:p>
    <w:p w14:paraId="5B8E6DF8" w14:textId="7496540B" w:rsidR="001B53DE" w:rsidRPr="00E874F9" w:rsidRDefault="000C33A2" w:rsidP="001B53DE">
      <w:pPr>
        <w:pStyle w:val="Body"/>
        <w:spacing w:after="0"/>
        <w:rPr>
          <w:rFonts w:ascii="Arial" w:hAnsi="Arial" w:cs="Arial"/>
        </w:rPr>
      </w:pPr>
      <w:r w:rsidRPr="000C33A2">
        <w:rPr>
          <w:rFonts w:ascii="Arial" w:hAnsi="Arial" w:cs="Arial"/>
        </w:rPr>
        <w:t xml:space="preserve">The essential oil of </w:t>
      </w:r>
      <w:r w:rsidRPr="000C33A2">
        <w:rPr>
          <w:rFonts w:ascii="Arial" w:hAnsi="Arial" w:cs="Arial"/>
          <w:i/>
          <w:iCs/>
        </w:rPr>
        <w:t>C</w:t>
      </w:r>
      <w:r w:rsidR="00846E7C">
        <w:rPr>
          <w:rFonts w:ascii="Arial" w:hAnsi="Arial" w:cs="Arial"/>
          <w:i/>
          <w:iCs/>
        </w:rPr>
        <w:t>.</w:t>
      </w:r>
      <w:r w:rsidRPr="000C33A2">
        <w:rPr>
          <w:rFonts w:ascii="Arial" w:hAnsi="Arial" w:cs="Arial"/>
          <w:i/>
          <w:iCs/>
        </w:rPr>
        <w:t xml:space="preserve"> sinensis</w:t>
      </w:r>
      <w:r w:rsidRPr="000C33A2">
        <w:rPr>
          <w:rFonts w:ascii="Arial" w:hAnsi="Arial" w:cs="Arial"/>
        </w:rPr>
        <w:t xml:space="preserve"> exhibited a relative density (</w:t>
      </w:r>
      <w:r w:rsidR="00A7193D" w:rsidRPr="00A7193D">
        <w:rPr>
          <w:rFonts w:ascii="Arial" w:hAnsi="Arial" w:cs="Arial"/>
        </w:rPr>
        <w:t>0.835</w:t>
      </w:r>
      <w:r w:rsidRPr="000C33A2">
        <w:rPr>
          <w:rFonts w:ascii="Arial" w:hAnsi="Arial" w:cs="Arial"/>
        </w:rPr>
        <w:t xml:space="preserve">) and a refractive index (1.467), both lower than the values recommended by ISO 3140:2019 (Table 2). In contrast, the essential oil of </w:t>
      </w:r>
      <w:r w:rsidRPr="000C33A2">
        <w:rPr>
          <w:rFonts w:ascii="Arial" w:hAnsi="Arial" w:cs="Arial"/>
          <w:i/>
          <w:iCs/>
        </w:rPr>
        <w:t>C</w:t>
      </w:r>
      <w:r w:rsidR="00846E7C">
        <w:rPr>
          <w:rFonts w:ascii="Arial" w:hAnsi="Arial" w:cs="Arial"/>
          <w:i/>
          <w:iCs/>
        </w:rPr>
        <w:t>.</w:t>
      </w:r>
      <w:r w:rsidRPr="000C33A2">
        <w:rPr>
          <w:rFonts w:ascii="Arial" w:hAnsi="Arial" w:cs="Arial"/>
          <w:i/>
          <w:iCs/>
        </w:rPr>
        <w:t xml:space="preserve"> aurantifolia</w:t>
      </w:r>
      <w:r w:rsidRPr="000C33A2">
        <w:rPr>
          <w:rFonts w:ascii="Arial" w:hAnsi="Arial" w:cs="Arial"/>
        </w:rPr>
        <w:t xml:space="preserve"> showed a relative density of 0.861, which falls within the range defined by ISO 3519/3809, and a refractive index of 1.3949, lower than the value required by the corresponding standard </w:t>
      </w:r>
      <w:r w:rsidRPr="000C33A2">
        <w:rPr>
          <w:rFonts w:ascii="Arial" w:hAnsi="Arial" w:cs="Arial"/>
        </w:rPr>
        <w:lastRenderedPageBreak/>
        <w:t xml:space="preserve">(Table 3). </w:t>
      </w:r>
      <w:r w:rsidRPr="00E874F9">
        <w:rPr>
          <w:rFonts w:ascii="Arial" w:hAnsi="Arial" w:cs="Arial"/>
        </w:rPr>
        <w:t>The standards do not specify reference values for the acid value or ester value in either case.</w:t>
      </w:r>
    </w:p>
    <w:p w14:paraId="421A5228" w14:textId="77777777" w:rsidR="000C33A2" w:rsidRPr="0092404B" w:rsidRDefault="000C33A2" w:rsidP="001B53DE">
      <w:pPr>
        <w:pStyle w:val="Body"/>
        <w:spacing w:after="0"/>
        <w:rPr>
          <w:rFonts w:ascii="Arial" w:hAnsi="Arial" w:cs="Arial"/>
        </w:rPr>
      </w:pPr>
    </w:p>
    <w:p w14:paraId="69C28706" w14:textId="4AC3DE8E" w:rsidR="00790ADA" w:rsidRDefault="0092404B" w:rsidP="001B53DE">
      <w:pPr>
        <w:pStyle w:val="Body"/>
        <w:spacing w:after="0"/>
        <w:rPr>
          <w:rFonts w:ascii="Arial" w:hAnsi="Arial" w:cs="Arial"/>
          <w:b/>
          <w:bCs/>
        </w:rPr>
      </w:pPr>
      <w:r w:rsidRPr="006768B0">
        <w:rPr>
          <w:rFonts w:ascii="Arial" w:hAnsi="Arial" w:cs="Arial"/>
          <w:b/>
          <w:bCs/>
        </w:rPr>
        <w:t xml:space="preserve">Table 2. Physicochemical parameters of </w:t>
      </w:r>
      <w:r w:rsidRPr="00FA3288">
        <w:rPr>
          <w:rFonts w:ascii="Arial" w:hAnsi="Arial" w:cs="Arial"/>
          <w:b/>
          <w:bCs/>
          <w:i/>
          <w:iCs/>
        </w:rPr>
        <w:t>C</w:t>
      </w:r>
      <w:r w:rsidR="00846E7C">
        <w:rPr>
          <w:rFonts w:ascii="Arial" w:hAnsi="Arial" w:cs="Arial"/>
          <w:b/>
          <w:bCs/>
          <w:i/>
          <w:iCs/>
        </w:rPr>
        <w:t>.</w:t>
      </w:r>
      <w:r w:rsidRPr="00FA3288">
        <w:rPr>
          <w:rFonts w:ascii="Arial" w:hAnsi="Arial" w:cs="Arial"/>
          <w:b/>
          <w:bCs/>
          <w:i/>
          <w:iCs/>
        </w:rPr>
        <w:t xml:space="preserve"> sinensis</w:t>
      </w:r>
      <w:r w:rsidRPr="006768B0">
        <w:rPr>
          <w:rFonts w:ascii="Arial" w:hAnsi="Arial" w:cs="Arial"/>
          <w:b/>
          <w:bCs/>
        </w:rPr>
        <w:t xml:space="preserve"> essential oil</w:t>
      </w:r>
    </w:p>
    <w:p w14:paraId="54870FD8" w14:textId="77777777" w:rsidR="006768B0" w:rsidRPr="006768B0" w:rsidRDefault="006768B0" w:rsidP="0092404B">
      <w:pPr>
        <w:pStyle w:val="Body"/>
        <w:spacing w:after="0"/>
        <w:rPr>
          <w:rFonts w:ascii="Arial" w:hAnsi="Arial" w:cs="Arial"/>
          <w:b/>
          <w:bCs/>
        </w:rPr>
      </w:pPr>
    </w:p>
    <w:tbl>
      <w:tblPr>
        <w:tblStyle w:val="Grilledutableau1"/>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1468"/>
        <w:gridCol w:w="2152"/>
        <w:gridCol w:w="2152"/>
      </w:tblGrid>
      <w:tr w:rsidR="0092404B" w:rsidRPr="006768B0" w14:paraId="026879D6" w14:textId="77777777" w:rsidTr="00861400">
        <w:trPr>
          <w:trHeight w:val="334"/>
        </w:trPr>
        <w:tc>
          <w:tcPr>
            <w:tcW w:w="3333" w:type="dxa"/>
            <w:tcBorders>
              <w:top w:val="single" w:sz="4" w:space="0" w:color="auto"/>
              <w:bottom w:val="single" w:sz="4" w:space="0" w:color="auto"/>
            </w:tcBorders>
            <w:vAlign w:val="center"/>
          </w:tcPr>
          <w:p w14:paraId="3734FF9D" w14:textId="77777777"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Parameters</w:t>
            </w:r>
          </w:p>
        </w:tc>
        <w:tc>
          <w:tcPr>
            <w:tcW w:w="1468" w:type="dxa"/>
            <w:tcBorders>
              <w:top w:val="single" w:sz="4" w:space="0" w:color="auto"/>
              <w:bottom w:val="single" w:sz="4" w:space="0" w:color="auto"/>
            </w:tcBorders>
            <w:vAlign w:val="center"/>
          </w:tcPr>
          <w:p w14:paraId="073EEA54" w14:textId="77777777"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Measured value</w:t>
            </w:r>
          </w:p>
        </w:tc>
        <w:tc>
          <w:tcPr>
            <w:tcW w:w="2152" w:type="dxa"/>
            <w:tcBorders>
              <w:top w:val="single" w:sz="4" w:space="0" w:color="auto"/>
              <w:bottom w:val="single" w:sz="4" w:space="0" w:color="auto"/>
            </w:tcBorders>
            <w:vAlign w:val="center"/>
          </w:tcPr>
          <w:p w14:paraId="13B04626" w14:textId="510A6A22"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 xml:space="preserve">ISO </w:t>
            </w:r>
            <w:r w:rsidR="00E874F9" w:rsidRPr="0092404B">
              <w:rPr>
                <w:rFonts w:ascii="Arial" w:hAnsi="Arial" w:cs="Arial"/>
                <w:b/>
                <w:sz w:val="20"/>
                <w:szCs w:val="20"/>
              </w:rPr>
              <w:t>3140:</w:t>
            </w:r>
            <w:r w:rsidR="00E874F9">
              <w:rPr>
                <w:rFonts w:ascii="Arial" w:hAnsi="Arial" w:cs="Arial"/>
                <w:b/>
                <w:sz w:val="20"/>
                <w:szCs w:val="20"/>
              </w:rPr>
              <w:t xml:space="preserve"> </w:t>
            </w:r>
            <w:r w:rsidRPr="0092404B">
              <w:rPr>
                <w:rFonts w:ascii="Arial" w:hAnsi="Arial" w:cs="Arial"/>
                <w:b/>
                <w:sz w:val="20"/>
                <w:szCs w:val="20"/>
              </w:rPr>
              <w:t>2019 reference</w:t>
            </w:r>
          </w:p>
        </w:tc>
        <w:tc>
          <w:tcPr>
            <w:tcW w:w="2152" w:type="dxa"/>
            <w:tcBorders>
              <w:top w:val="single" w:sz="4" w:space="0" w:color="auto"/>
              <w:bottom w:val="single" w:sz="4" w:space="0" w:color="auto"/>
            </w:tcBorders>
            <w:vAlign w:val="center"/>
          </w:tcPr>
          <w:p w14:paraId="6C7FEB08" w14:textId="77777777"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Interpretation</w:t>
            </w:r>
          </w:p>
        </w:tc>
      </w:tr>
      <w:tr w:rsidR="0092404B" w:rsidRPr="0092404B" w14:paraId="606E38CD" w14:textId="77777777" w:rsidTr="00861400">
        <w:trPr>
          <w:trHeight w:val="187"/>
        </w:trPr>
        <w:tc>
          <w:tcPr>
            <w:tcW w:w="3333" w:type="dxa"/>
            <w:tcBorders>
              <w:top w:val="single" w:sz="4" w:space="0" w:color="auto"/>
            </w:tcBorders>
            <w:vAlign w:val="center"/>
          </w:tcPr>
          <w:p w14:paraId="7D16B7D1"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Relative density (20 °C)</w:t>
            </w:r>
          </w:p>
        </w:tc>
        <w:tc>
          <w:tcPr>
            <w:tcW w:w="1468" w:type="dxa"/>
            <w:tcBorders>
              <w:top w:val="single" w:sz="4" w:space="0" w:color="auto"/>
            </w:tcBorders>
            <w:vAlign w:val="center"/>
          </w:tcPr>
          <w:p w14:paraId="6B96CC27" w14:textId="0293D3F5"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0.835</w:t>
            </w:r>
            <w:r w:rsidR="00E874F9">
              <w:rPr>
                <w:rFonts w:ascii="Arial" w:hAnsi="Arial" w:cs="Arial"/>
                <w:sz w:val="20"/>
                <w:szCs w:val="20"/>
              </w:rPr>
              <w:t xml:space="preserve"> </w:t>
            </w:r>
            <w:r w:rsidR="007A37E9" w:rsidRPr="007A37E9">
              <w:rPr>
                <w:rFonts w:ascii="Arial" w:hAnsi="Arial" w:cs="Arial"/>
                <w:sz w:val="20"/>
                <w:szCs w:val="20"/>
              </w:rPr>
              <w:t>± 0</w:t>
            </w:r>
            <w:r w:rsidR="007A37E9">
              <w:rPr>
                <w:rFonts w:ascii="Arial" w:hAnsi="Arial" w:cs="Arial"/>
                <w:sz w:val="20"/>
                <w:szCs w:val="20"/>
              </w:rPr>
              <w:t>.</w:t>
            </w:r>
            <w:r w:rsidR="007A37E9" w:rsidRPr="007A37E9">
              <w:rPr>
                <w:rFonts w:ascii="Arial" w:hAnsi="Arial" w:cs="Arial"/>
                <w:sz w:val="20"/>
                <w:szCs w:val="20"/>
              </w:rPr>
              <w:t>006</w:t>
            </w:r>
          </w:p>
        </w:tc>
        <w:tc>
          <w:tcPr>
            <w:tcW w:w="2152" w:type="dxa"/>
            <w:tcBorders>
              <w:top w:val="single" w:sz="4" w:space="0" w:color="auto"/>
            </w:tcBorders>
            <w:vAlign w:val="center"/>
          </w:tcPr>
          <w:p w14:paraId="1322F56C" w14:textId="1E3FDAF9"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0.842 ˗</w:t>
            </w:r>
            <w:r w:rsidR="00E874F9">
              <w:rPr>
                <w:rFonts w:ascii="Arial" w:hAnsi="Arial" w:cs="Arial"/>
                <w:sz w:val="20"/>
                <w:szCs w:val="20"/>
              </w:rPr>
              <w:t xml:space="preserve"> </w:t>
            </w:r>
            <w:r w:rsidRPr="0092404B">
              <w:rPr>
                <w:rFonts w:ascii="Arial" w:hAnsi="Arial" w:cs="Arial"/>
                <w:sz w:val="20"/>
                <w:szCs w:val="20"/>
              </w:rPr>
              <w:t>0.850</w:t>
            </w:r>
          </w:p>
        </w:tc>
        <w:tc>
          <w:tcPr>
            <w:tcW w:w="2152" w:type="dxa"/>
            <w:tcBorders>
              <w:top w:val="single" w:sz="4" w:space="0" w:color="auto"/>
            </w:tcBorders>
            <w:vAlign w:val="center"/>
          </w:tcPr>
          <w:p w14:paraId="3F2DF073"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0E349336" w14:textId="77777777" w:rsidTr="00861400">
        <w:trPr>
          <w:trHeight w:val="44"/>
        </w:trPr>
        <w:tc>
          <w:tcPr>
            <w:tcW w:w="3333" w:type="dxa"/>
            <w:vAlign w:val="center"/>
          </w:tcPr>
          <w:p w14:paraId="7F86062E"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Refractive index (20 °C)</w:t>
            </w:r>
          </w:p>
        </w:tc>
        <w:tc>
          <w:tcPr>
            <w:tcW w:w="1468" w:type="dxa"/>
            <w:vAlign w:val="center"/>
          </w:tcPr>
          <w:p w14:paraId="53A820A0" w14:textId="7350ECA8"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1.467</w:t>
            </w:r>
            <w:r w:rsidR="00E874F9">
              <w:rPr>
                <w:rFonts w:ascii="Arial" w:hAnsi="Arial" w:cs="Arial"/>
                <w:sz w:val="20"/>
                <w:szCs w:val="20"/>
              </w:rPr>
              <w:t xml:space="preserve"> </w:t>
            </w:r>
            <w:r w:rsidR="007A37E9" w:rsidRPr="007A37E9">
              <w:rPr>
                <w:rFonts w:ascii="Arial" w:hAnsi="Arial" w:cs="Arial"/>
                <w:sz w:val="20"/>
                <w:szCs w:val="20"/>
              </w:rPr>
              <w:t>± 0</w:t>
            </w:r>
            <w:r w:rsidR="007A37E9">
              <w:rPr>
                <w:rFonts w:ascii="Arial" w:hAnsi="Arial" w:cs="Arial"/>
                <w:sz w:val="20"/>
                <w:szCs w:val="20"/>
              </w:rPr>
              <w:t>.</w:t>
            </w:r>
            <w:r w:rsidR="007A37E9" w:rsidRPr="007A37E9">
              <w:rPr>
                <w:rFonts w:ascii="Arial" w:hAnsi="Arial" w:cs="Arial"/>
                <w:sz w:val="20"/>
                <w:szCs w:val="20"/>
              </w:rPr>
              <w:t>00</w:t>
            </w:r>
            <w:r w:rsidR="007A37E9">
              <w:rPr>
                <w:rFonts w:ascii="Arial" w:hAnsi="Arial" w:cs="Arial"/>
                <w:sz w:val="20"/>
                <w:szCs w:val="20"/>
              </w:rPr>
              <w:t>2</w:t>
            </w:r>
          </w:p>
        </w:tc>
        <w:tc>
          <w:tcPr>
            <w:tcW w:w="2152" w:type="dxa"/>
            <w:vAlign w:val="center"/>
          </w:tcPr>
          <w:p w14:paraId="73F8752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1.470 ˗1.476</w:t>
            </w:r>
          </w:p>
        </w:tc>
        <w:tc>
          <w:tcPr>
            <w:tcW w:w="2152" w:type="dxa"/>
            <w:vAlign w:val="center"/>
          </w:tcPr>
          <w:p w14:paraId="1DB39A5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55623E40" w14:textId="77777777" w:rsidTr="00861400">
        <w:trPr>
          <w:trHeight w:val="44"/>
        </w:trPr>
        <w:tc>
          <w:tcPr>
            <w:tcW w:w="3333" w:type="dxa"/>
            <w:vAlign w:val="center"/>
          </w:tcPr>
          <w:p w14:paraId="12003A6A"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Acid value (mg KOH/g)</w:t>
            </w:r>
          </w:p>
        </w:tc>
        <w:tc>
          <w:tcPr>
            <w:tcW w:w="1468" w:type="dxa"/>
            <w:vAlign w:val="center"/>
          </w:tcPr>
          <w:p w14:paraId="2DCDA609" w14:textId="544B999D"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w:t>
            </w:r>
            <w:r w:rsidR="00E874F9">
              <w:rPr>
                <w:rFonts w:ascii="Arial" w:hAnsi="Arial" w:cs="Arial"/>
                <w:sz w:val="20"/>
                <w:szCs w:val="20"/>
              </w:rPr>
              <w:t xml:space="preserve">.0 </w:t>
            </w:r>
            <w:r w:rsidR="007A37E9" w:rsidRPr="007A37E9">
              <w:rPr>
                <w:rFonts w:ascii="Arial" w:hAnsi="Arial" w:cs="Arial"/>
                <w:sz w:val="20"/>
                <w:szCs w:val="20"/>
              </w:rPr>
              <w:t>± 0</w:t>
            </w:r>
            <w:r w:rsidR="007A37E9">
              <w:rPr>
                <w:rFonts w:ascii="Arial" w:hAnsi="Arial" w:cs="Arial"/>
                <w:sz w:val="20"/>
                <w:szCs w:val="20"/>
              </w:rPr>
              <w:t>.</w:t>
            </w:r>
            <w:r w:rsidR="007A37E9" w:rsidRPr="007A37E9">
              <w:rPr>
                <w:rFonts w:ascii="Arial" w:hAnsi="Arial" w:cs="Arial"/>
                <w:sz w:val="20"/>
                <w:szCs w:val="20"/>
              </w:rPr>
              <w:t>21</w:t>
            </w:r>
          </w:p>
        </w:tc>
        <w:tc>
          <w:tcPr>
            <w:tcW w:w="2152" w:type="dxa"/>
            <w:vAlign w:val="center"/>
          </w:tcPr>
          <w:p w14:paraId="4567839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152" w:type="dxa"/>
            <w:vAlign w:val="center"/>
          </w:tcPr>
          <w:p w14:paraId="2F2FBC9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r w:rsidR="0092404B" w:rsidRPr="0092404B" w14:paraId="334AB32B" w14:textId="77777777" w:rsidTr="00861400">
        <w:trPr>
          <w:trHeight w:val="44"/>
        </w:trPr>
        <w:tc>
          <w:tcPr>
            <w:tcW w:w="3333" w:type="dxa"/>
            <w:tcBorders>
              <w:bottom w:val="single" w:sz="4" w:space="0" w:color="auto"/>
            </w:tcBorders>
            <w:vAlign w:val="center"/>
          </w:tcPr>
          <w:p w14:paraId="34FAF7D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Ester value (mg KOH/g)</w:t>
            </w:r>
          </w:p>
        </w:tc>
        <w:tc>
          <w:tcPr>
            <w:tcW w:w="1468" w:type="dxa"/>
            <w:tcBorders>
              <w:bottom w:val="single" w:sz="4" w:space="0" w:color="auto"/>
            </w:tcBorders>
            <w:vAlign w:val="center"/>
          </w:tcPr>
          <w:p w14:paraId="1B02BDBD" w14:textId="12C050AF"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25</w:t>
            </w:r>
            <w:r w:rsidR="00E874F9">
              <w:rPr>
                <w:rFonts w:ascii="Arial" w:hAnsi="Arial" w:cs="Arial"/>
                <w:sz w:val="20"/>
                <w:szCs w:val="20"/>
              </w:rPr>
              <w:t xml:space="preserve">.0 </w:t>
            </w:r>
            <w:r w:rsidR="007A37E9" w:rsidRPr="007A37E9">
              <w:rPr>
                <w:rFonts w:ascii="Arial" w:hAnsi="Arial" w:cs="Arial"/>
                <w:sz w:val="20"/>
                <w:szCs w:val="20"/>
              </w:rPr>
              <w:t>±</w:t>
            </w:r>
            <w:r w:rsidR="00E874F9">
              <w:rPr>
                <w:rFonts w:ascii="Arial" w:hAnsi="Arial" w:cs="Arial"/>
                <w:sz w:val="20"/>
                <w:szCs w:val="20"/>
              </w:rPr>
              <w:t xml:space="preserve"> </w:t>
            </w:r>
            <w:r w:rsidR="007A37E9">
              <w:rPr>
                <w:rFonts w:ascii="Arial" w:hAnsi="Arial" w:cs="Arial"/>
                <w:sz w:val="20"/>
                <w:szCs w:val="20"/>
              </w:rPr>
              <w:t>2.</w:t>
            </w:r>
            <w:r w:rsidR="007A37E9" w:rsidRPr="007A37E9">
              <w:rPr>
                <w:rFonts w:ascii="Arial" w:hAnsi="Arial" w:cs="Arial"/>
                <w:sz w:val="20"/>
                <w:szCs w:val="20"/>
              </w:rPr>
              <w:t>6</w:t>
            </w:r>
          </w:p>
        </w:tc>
        <w:tc>
          <w:tcPr>
            <w:tcW w:w="2152" w:type="dxa"/>
            <w:tcBorders>
              <w:bottom w:val="single" w:sz="4" w:space="0" w:color="auto"/>
            </w:tcBorders>
            <w:vAlign w:val="center"/>
          </w:tcPr>
          <w:p w14:paraId="5335ABD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152" w:type="dxa"/>
            <w:tcBorders>
              <w:bottom w:val="single" w:sz="4" w:space="0" w:color="auto"/>
            </w:tcBorders>
            <w:vAlign w:val="center"/>
          </w:tcPr>
          <w:p w14:paraId="4D0E291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bl>
    <w:p w14:paraId="5D427589" w14:textId="77777777" w:rsidR="00790ADA" w:rsidRDefault="00790ADA" w:rsidP="00441B6F">
      <w:pPr>
        <w:pStyle w:val="Body"/>
        <w:spacing w:after="0"/>
        <w:rPr>
          <w:rFonts w:ascii="Arial" w:hAnsi="Arial" w:cs="Arial"/>
        </w:rPr>
      </w:pPr>
    </w:p>
    <w:p w14:paraId="49042C63" w14:textId="77E79477" w:rsidR="0092404B" w:rsidRPr="006768B0" w:rsidRDefault="0092404B" w:rsidP="001B53DE">
      <w:pPr>
        <w:spacing w:before="120" w:after="120" w:line="360" w:lineRule="auto"/>
        <w:jc w:val="both"/>
        <w:rPr>
          <w:rFonts w:ascii="Arial" w:eastAsia="Calibri" w:hAnsi="Arial" w:cs="Arial"/>
          <w:b/>
          <w:bCs/>
          <w:kern w:val="2"/>
        </w:rPr>
      </w:pPr>
      <w:r w:rsidRPr="006768B0">
        <w:rPr>
          <w:rFonts w:ascii="Arial" w:eastAsia="Calibri" w:hAnsi="Arial" w:cs="Arial"/>
          <w:b/>
          <w:bCs/>
          <w:kern w:val="2"/>
        </w:rPr>
        <w:t xml:space="preserve">Table 3. Physicochemical parameters of </w:t>
      </w:r>
      <w:r w:rsidRPr="00FA3288">
        <w:rPr>
          <w:rFonts w:ascii="Arial" w:eastAsia="Calibri" w:hAnsi="Arial" w:cs="Arial"/>
          <w:b/>
          <w:bCs/>
          <w:i/>
          <w:iCs/>
          <w:kern w:val="2"/>
        </w:rPr>
        <w:t>C</w:t>
      </w:r>
      <w:r w:rsidR="00846E7C">
        <w:rPr>
          <w:rFonts w:ascii="Arial" w:eastAsia="Calibri" w:hAnsi="Arial" w:cs="Arial"/>
          <w:b/>
          <w:bCs/>
          <w:i/>
          <w:iCs/>
          <w:kern w:val="2"/>
        </w:rPr>
        <w:t>.</w:t>
      </w:r>
      <w:r w:rsidRPr="00FA3288">
        <w:rPr>
          <w:rFonts w:ascii="Arial" w:eastAsia="Calibri" w:hAnsi="Arial" w:cs="Arial"/>
          <w:b/>
          <w:bCs/>
          <w:i/>
          <w:iCs/>
          <w:kern w:val="2"/>
        </w:rPr>
        <w:t xml:space="preserve"> aurantifolia</w:t>
      </w:r>
      <w:r w:rsidRPr="006768B0">
        <w:rPr>
          <w:rFonts w:ascii="Arial" w:eastAsia="Calibri" w:hAnsi="Arial" w:cs="Arial"/>
          <w:b/>
          <w:bCs/>
          <w:kern w:val="2"/>
        </w:rPr>
        <w:t xml:space="preserve"> essential oil</w:t>
      </w:r>
    </w:p>
    <w:tbl>
      <w:tblPr>
        <w:tblStyle w:val="Grilledutableau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535"/>
        <w:gridCol w:w="2251"/>
        <w:gridCol w:w="1799"/>
      </w:tblGrid>
      <w:tr w:rsidR="0092404B" w:rsidRPr="006768B0" w14:paraId="08F40E6D" w14:textId="77777777" w:rsidTr="003F73EC">
        <w:trPr>
          <w:trHeight w:val="288"/>
        </w:trPr>
        <w:tc>
          <w:tcPr>
            <w:tcW w:w="3487" w:type="dxa"/>
            <w:tcBorders>
              <w:top w:val="single" w:sz="4" w:space="0" w:color="auto"/>
              <w:bottom w:val="single" w:sz="4" w:space="0" w:color="auto"/>
            </w:tcBorders>
            <w:vAlign w:val="center"/>
          </w:tcPr>
          <w:p w14:paraId="4027AE5A" w14:textId="4EEE2451"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Parameter</w:t>
            </w:r>
            <w:r w:rsidR="00FD112F">
              <w:rPr>
                <w:rFonts w:ascii="Arial" w:hAnsi="Arial" w:cs="Arial"/>
                <w:b/>
                <w:sz w:val="20"/>
                <w:szCs w:val="20"/>
              </w:rPr>
              <w:t>s</w:t>
            </w:r>
          </w:p>
        </w:tc>
        <w:tc>
          <w:tcPr>
            <w:tcW w:w="1535" w:type="dxa"/>
            <w:tcBorders>
              <w:top w:val="single" w:sz="4" w:space="0" w:color="auto"/>
              <w:bottom w:val="single" w:sz="4" w:space="0" w:color="auto"/>
            </w:tcBorders>
            <w:vAlign w:val="center"/>
          </w:tcPr>
          <w:p w14:paraId="4D588B1C" w14:textId="77777777"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Measured value</w:t>
            </w:r>
          </w:p>
        </w:tc>
        <w:tc>
          <w:tcPr>
            <w:tcW w:w="2251" w:type="dxa"/>
            <w:tcBorders>
              <w:top w:val="single" w:sz="4" w:space="0" w:color="auto"/>
              <w:bottom w:val="single" w:sz="4" w:space="0" w:color="auto"/>
            </w:tcBorders>
            <w:vAlign w:val="center"/>
          </w:tcPr>
          <w:p w14:paraId="58DD97E6" w14:textId="21DE535F"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 xml:space="preserve">ISO </w:t>
            </w:r>
            <w:r w:rsidR="00E874F9" w:rsidRPr="0092404B">
              <w:rPr>
                <w:rFonts w:ascii="Arial" w:hAnsi="Arial" w:cs="Arial"/>
                <w:b/>
                <w:sz w:val="20"/>
                <w:szCs w:val="20"/>
              </w:rPr>
              <w:t>3519:</w:t>
            </w:r>
            <w:r w:rsidR="00E874F9">
              <w:rPr>
                <w:rFonts w:ascii="Arial" w:hAnsi="Arial" w:cs="Arial"/>
                <w:b/>
                <w:sz w:val="20"/>
                <w:szCs w:val="20"/>
              </w:rPr>
              <w:t xml:space="preserve"> </w:t>
            </w:r>
            <w:r w:rsidRPr="0092404B">
              <w:rPr>
                <w:rFonts w:ascii="Arial" w:hAnsi="Arial" w:cs="Arial"/>
                <w:b/>
                <w:sz w:val="20"/>
                <w:szCs w:val="20"/>
              </w:rPr>
              <w:t xml:space="preserve">3809 </w:t>
            </w:r>
            <w:r w:rsidR="00E874F9" w:rsidRPr="0092404B">
              <w:rPr>
                <w:rFonts w:ascii="Arial" w:hAnsi="Arial" w:cs="Arial"/>
                <w:b/>
                <w:sz w:val="20"/>
                <w:szCs w:val="20"/>
              </w:rPr>
              <w:t>reference</w:t>
            </w:r>
          </w:p>
        </w:tc>
        <w:tc>
          <w:tcPr>
            <w:tcW w:w="1799" w:type="dxa"/>
            <w:tcBorders>
              <w:top w:val="single" w:sz="4" w:space="0" w:color="auto"/>
              <w:bottom w:val="single" w:sz="4" w:space="0" w:color="auto"/>
            </w:tcBorders>
            <w:vAlign w:val="center"/>
          </w:tcPr>
          <w:p w14:paraId="48192D84" w14:textId="77777777" w:rsidR="0092404B" w:rsidRPr="006768B0" w:rsidRDefault="0092404B" w:rsidP="00846E7C">
            <w:pPr>
              <w:spacing w:line="276" w:lineRule="auto"/>
              <w:jc w:val="center"/>
              <w:rPr>
                <w:rFonts w:ascii="Arial" w:hAnsi="Arial" w:cs="Arial"/>
                <w:b/>
                <w:sz w:val="20"/>
                <w:szCs w:val="20"/>
              </w:rPr>
            </w:pPr>
            <w:r w:rsidRPr="0092404B">
              <w:rPr>
                <w:rFonts w:ascii="Arial" w:hAnsi="Arial" w:cs="Arial"/>
                <w:b/>
                <w:sz w:val="20"/>
                <w:szCs w:val="20"/>
              </w:rPr>
              <w:t>Interpretation</w:t>
            </w:r>
          </w:p>
        </w:tc>
      </w:tr>
      <w:tr w:rsidR="0092404B" w:rsidRPr="0092404B" w14:paraId="6D10702A" w14:textId="77777777" w:rsidTr="003F73EC">
        <w:trPr>
          <w:trHeight w:val="161"/>
        </w:trPr>
        <w:tc>
          <w:tcPr>
            <w:tcW w:w="3487" w:type="dxa"/>
            <w:tcBorders>
              <w:top w:val="single" w:sz="4" w:space="0" w:color="auto"/>
            </w:tcBorders>
            <w:vAlign w:val="center"/>
          </w:tcPr>
          <w:p w14:paraId="15DA2D8A"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Relative density (20 °C)</w:t>
            </w:r>
          </w:p>
        </w:tc>
        <w:tc>
          <w:tcPr>
            <w:tcW w:w="1535" w:type="dxa"/>
            <w:vAlign w:val="center"/>
          </w:tcPr>
          <w:p w14:paraId="6E11B49D" w14:textId="7C371945"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0.861</w:t>
            </w:r>
            <w:r w:rsidR="00F14A66" w:rsidRPr="00F14A66">
              <w:rPr>
                <w:rFonts w:ascii="Arial" w:hAnsi="Arial" w:cs="Arial"/>
                <w:sz w:val="20"/>
                <w:szCs w:val="20"/>
              </w:rPr>
              <w:t>±</w:t>
            </w:r>
            <w:r w:rsidR="00E874F9">
              <w:rPr>
                <w:rFonts w:ascii="Arial" w:hAnsi="Arial" w:cs="Arial"/>
                <w:sz w:val="20"/>
                <w:szCs w:val="20"/>
              </w:rPr>
              <w:t xml:space="preserve"> </w:t>
            </w:r>
            <w:r w:rsidR="00F14A66" w:rsidRPr="00F14A66">
              <w:rPr>
                <w:rFonts w:ascii="Arial" w:hAnsi="Arial" w:cs="Arial"/>
                <w:sz w:val="20"/>
                <w:szCs w:val="20"/>
              </w:rPr>
              <w:t>0,018</w:t>
            </w:r>
          </w:p>
        </w:tc>
        <w:tc>
          <w:tcPr>
            <w:tcW w:w="2251" w:type="dxa"/>
            <w:vAlign w:val="center"/>
          </w:tcPr>
          <w:p w14:paraId="384ACEB1" w14:textId="76E41553"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0.858</w:t>
            </w:r>
            <w:r w:rsidR="00E874F9">
              <w:rPr>
                <w:rFonts w:ascii="Arial" w:hAnsi="Arial" w:cs="Arial"/>
                <w:sz w:val="20"/>
                <w:szCs w:val="20"/>
              </w:rPr>
              <w:t xml:space="preserve"> </w:t>
            </w:r>
            <w:r w:rsidRPr="0092404B">
              <w:rPr>
                <w:rFonts w:ascii="Arial" w:hAnsi="Arial" w:cs="Arial"/>
                <w:sz w:val="20"/>
                <w:szCs w:val="20"/>
              </w:rPr>
              <w:t>˗ 0.866</w:t>
            </w:r>
          </w:p>
        </w:tc>
        <w:tc>
          <w:tcPr>
            <w:tcW w:w="1799" w:type="dxa"/>
            <w:vAlign w:val="center"/>
          </w:tcPr>
          <w:p w14:paraId="28E8264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Compliant</w:t>
            </w:r>
          </w:p>
        </w:tc>
      </w:tr>
      <w:tr w:rsidR="0092404B" w:rsidRPr="0092404B" w14:paraId="3D4EC138" w14:textId="77777777" w:rsidTr="003F73EC">
        <w:trPr>
          <w:trHeight w:val="38"/>
        </w:trPr>
        <w:tc>
          <w:tcPr>
            <w:tcW w:w="3487" w:type="dxa"/>
            <w:vAlign w:val="center"/>
          </w:tcPr>
          <w:p w14:paraId="2AABF25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Refractive index (20 °C)</w:t>
            </w:r>
          </w:p>
        </w:tc>
        <w:tc>
          <w:tcPr>
            <w:tcW w:w="1535" w:type="dxa"/>
            <w:vAlign w:val="center"/>
          </w:tcPr>
          <w:p w14:paraId="217BFF65" w14:textId="68D15FE8"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1.39</w:t>
            </w:r>
            <w:r w:rsidR="00F14A66">
              <w:rPr>
                <w:rFonts w:ascii="Arial" w:hAnsi="Arial" w:cs="Arial"/>
                <w:sz w:val="20"/>
                <w:szCs w:val="20"/>
              </w:rPr>
              <w:t>5</w:t>
            </w:r>
            <w:r w:rsidR="00E874F9">
              <w:rPr>
                <w:rFonts w:ascii="Arial" w:hAnsi="Arial" w:cs="Arial"/>
                <w:sz w:val="20"/>
                <w:szCs w:val="20"/>
              </w:rPr>
              <w:t xml:space="preserve"> </w:t>
            </w:r>
            <w:r w:rsidR="00F14A66" w:rsidRPr="00F14A66">
              <w:rPr>
                <w:rFonts w:ascii="Arial" w:hAnsi="Arial" w:cs="Arial"/>
                <w:sz w:val="20"/>
                <w:szCs w:val="20"/>
              </w:rPr>
              <w:t>± 0</w:t>
            </w:r>
            <w:r w:rsidR="00F14A66">
              <w:rPr>
                <w:rFonts w:ascii="Arial" w:hAnsi="Arial" w:cs="Arial"/>
                <w:sz w:val="20"/>
                <w:szCs w:val="20"/>
              </w:rPr>
              <w:t>.</w:t>
            </w:r>
            <w:r w:rsidR="00F14A66" w:rsidRPr="00F14A66">
              <w:rPr>
                <w:rFonts w:ascii="Arial" w:hAnsi="Arial" w:cs="Arial"/>
                <w:sz w:val="20"/>
                <w:szCs w:val="20"/>
              </w:rPr>
              <w:t>002</w:t>
            </w:r>
          </w:p>
        </w:tc>
        <w:tc>
          <w:tcPr>
            <w:tcW w:w="2251" w:type="dxa"/>
            <w:vAlign w:val="center"/>
          </w:tcPr>
          <w:p w14:paraId="2D0183BC"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1.474 ˗1.477</w:t>
            </w:r>
          </w:p>
        </w:tc>
        <w:tc>
          <w:tcPr>
            <w:tcW w:w="1799" w:type="dxa"/>
            <w:vAlign w:val="center"/>
          </w:tcPr>
          <w:p w14:paraId="2E27860F"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4F95A117" w14:textId="77777777" w:rsidTr="003F73EC">
        <w:trPr>
          <w:trHeight w:val="38"/>
        </w:trPr>
        <w:tc>
          <w:tcPr>
            <w:tcW w:w="3487" w:type="dxa"/>
            <w:vAlign w:val="center"/>
          </w:tcPr>
          <w:p w14:paraId="11575E0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Acid value (mg KOH/g)</w:t>
            </w:r>
          </w:p>
        </w:tc>
        <w:tc>
          <w:tcPr>
            <w:tcW w:w="1535" w:type="dxa"/>
            <w:vAlign w:val="center"/>
          </w:tcPr>
          <w:p w14:paraId="5FBF26D4" w14:textId="43593128"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11.11</w:t>
            </w:r>
            <w:r w:rsidR="00E874F9">
              <w:rPr>
                <w:rFonts w:ascii="Arial" w:hAnsi="Arial" w:cs="Arial"/>
                <w:sz w:val="20"/>
                <w:szCs w:val="20"/>
              </w:rPr>
              <w:t xml:space="preserve"> </w:t>
            </w:r>
            <w:r w:rsidR="00F14A66" w:rsidRPr="00F14A66">
              <w:rPr>
                <w:rFonts w:ascii="Arial" w:hAnsi="Arial" w:cs="Arial"/>
                <w:sz w:val="20"/>
                <w:szCs w:val="20"/>
              </w:rPr>
              <w:t>± 0</w:t>
            </w:r>
            <w:r w:rsidR="00F14A66">
              <w:rPr>
                <w:rFonts w:ascii="Arial" w:hAnsi="Arial" w:cs="Arial"/>
                <w:sz w:val="20"/>
                <w:szCs w:val="20"/>
              </w:rPr>
              <w:t>.</w:t>
            </w:r>
            <w:r w:rsidR="00F14A66" w:rsidRPr="00F14A66">
              <w:rPr>
                <w:rFonts w:ascii="Arial" w:hAnsi="Arial" w:cs="Arial"/>
                <w:sz w:val="20"/>
                <w:szCs w:val="20"/>
              </w:rPr>
              <w:t>9</w:t>
            </w:r>
            <w:r w:rsidR="00F14A66">
              <w:rPr>
                <w:rFonts w:ascii="Arial" w:hAnsi="Arial" w:cs="Arial"/>
                <w:sz w:val="20"/>
                <w:szCs w:val="20"/>
              </w:rPr>
              <w:t>0</w:t>
            </w:r>
          </w:p>
        </w:tc>
        <w:tc>
          <w:tcPr>
            <w:tcW w:w="2251" w:type="dxa"/>
            <w:vAlign w:val="center"/>
          </w:tcPr>
          <w:p w14:paraId="43418F9F"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1799" w:type="dxa"/>
            <w:vAlign w:val="center"/>
          </w:tcPr>
          <w:p w14:paraId="452FA33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r w:rsidR="0092404B" w:rsidRPr="0092404B" w14:paraId="1BD4DC82" w14:textId="77777777" w:rsidTr="003F73EC">
        <w:trPr>
          <w:trHeight w:val="38"/>
        </w:trPr>
        <w:tc>
          <w:tcPr>
            <w:tcW w:w="3487" w:type="dxa"/>
            <w:tcBorders>
              <w:bottom w:val="single" w:sz="4" w:space="0" w:color="auto"/>
            </w:tcBorders>
            <w:vAlign w:val="center"/>
          </w:tcPr>
          <w:p w14:paraId="3A51D1F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Ester value (mg KOH/g)</w:t>
            </w:r>
          </w:p>
        </w:tc>
        <w:tc>
          <w:tcPr>
            <w:tcW w:w="1535" w:type="dxa"/>
            <w:tcBorders>
              <w:bottom w:val="single" w:sz="4" w:space="0" w:color="auto"/>
            </w:tcBorders>
            <w:vAlign w:val="center"/>
          </w:tcPr>
          <w:p w14:paraId="6FF0A5B4" w14:textId="4B232499"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30.05</w:t>
            </w:r>
            <w:r w:rsidR="00E874F9">
              <w:rPr>
                <w:rFonts w:ascii="Arial" w:hAnsi="Arial" w:cs="Arial"/>
                <w:sz w:val="20"/>
                <w:szCs w:val="20"/>
              </w:rPr>
              <w:t xml:space="preserve"> </w:t>
            </w:r>
            <w:r w:rsidR="00F14A66" w:rsidRPr="00F14A66">
              <w:rPr>
                <w:rFonts w:ascii="Arial" w:hAnsi="Arial" w:cs="Arial"/>
                <w:sz w:val="20"/>
                <w:szCs w:val="20"/>
              </w:rPr>
              <w:t xml:space="preserve">± </w:t>
            </w:r>
            <w:r w:rsidR="00F14A66">
              <w:rPr>
                <w:rFonts w:ascii="Arial" w:hAnsi="Arial" w:cs="Arial"/>
                <w:sz w:val="20"/>
                <w:szCs w:val="20"/>
              </w:rPr>
              <w:t>3</w:t>
            </w:r>
            <w:r w:rsidR="00E874F9">
              <w:rPr>
                <w:rFonts w:ascii="Arial" w:hAnsi="Arial" w:cs="Arial"/>
                <w:sz w:val="20"/>
                <w:szCs w:val="20"/>
              </w:rPr>
              <w:t>.</w:t>
            </w:r>
            <w:r w:rsidR="00F14A66" w:rsidRPr="00F14A66">
              <w:rPr>
                <w:rFonts w:ascii="Arial" w:hAnsi="Arial" w:cs="Arial"/>
                <w:sz w:val="20"/>
                <w:szCs w:val="20"/>
              </w:rPr>
              <w:t>91</w:t>
            </w:r>
          </w:p>
        </w:tc>
        <w:tc>
          <w:tcPr>
            <w:tcW w:w="2251" w:type="dxa"/>
            <w:tcBorders>
              <w:bottom w:val="single" w:sz="4" w:space="0" w:color="auto"/>
            </w:tcBorders>
            <w:vAlign w:val="center"/>
          </w:tcPr>
          <w:p w14:paraId="7E11D45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1799" w:type="dxa"/>
            <w:tcBorders>
              <w:bottom w:val="single" w:sz="4" w:space="0" w:color="auto"/>
            </w:tcBorders>
            <w:vAlign w:val="center"/>
          </w:tcPr>
          <w:p w14:paraId="0D0BE17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bl>
    <w:p w14:paraId="72C1390E" w14:textId="375025ED" w:rsidR="0092404B" w:rsidRPr="00E964D7" w:rsidRDefault="00E964D7" w:rsidP="001B53DE">
      <w:pPr>
        <w:pStyle w:val="Body"/>
        <w:spacing w:before="120" w:after="120"/>
        <w:rPr>
          <w:rFonts w:ascii="Arial" w:hAnsi="Arial" w:cs="Arial"/>
          <w:b/>
          <w:bCs/>
        </w:rPr>
      </w:pPr>
      <w:r w:rsidRPr="00E964D7">
        <w:rPr>
          <w:rFonts w:ascii="Arial" w:hAnsi="Arial" w:cs="Arial"/>
          <w:b/>
          <w:bCs/>
        </w:rPr>
        <w:t xml:space="preserve">3.3 </w:t>
      </w:r>
      <w:r w:rsidR="0092404B" w:rsidRPr="00E964D7">
        <w:rPr>
          <w:rFonts w:ascii="Arial" w:hAnsi="Arial" w:cs="Arial"/>
          <w:b/>
          <w:bCs/>
        </w:rPr>
        <w:t>Antifungal activity of essential oils and their combination</w:t>
      </w:r>
    </w:p>
    <w:p w14:paraId="53A7F1E6" w14:textId="77777777" w:rsidR="003504F4" w:rsidRDefault="00F9027C" w:rsidP="003504F4">
      <w:pPr>
        <w:jc w:val="both"/>
        <w:rPr>
          <w:rFonts w:ascii="Arial" w:hAnsi="Arial" w:cs="Arial"/>
        </w:rPr>
      </w:pPr>
      <w:r w:rsidRPr="00F9027C">
        <w:rPr>
          <w:rFonts w:ascii="Arial" w:hAnsi="Arial" w:cs="Arial"/>
        </w:rPr>
        <w:t>The antifungal activity of the essential oils was evaluated based on the percentage inhibition of mold growth at three concentrations (Table 4), as well as by determining the minimum inhibitory concentrations (MICs) and minimum fungicidal concentrations (MFCs) (Table 5).</w:t>
      </w:r>
      <w:r w:rsidR="003504F4">
        <w:rPr>
          <w:rFonts w:ascii="Arial" w:hAnsi="Arial" w:cs="Arial"/>
        </w:rPr>
        <w:t xml:space="preserve"> </w:t>
      </w:r>
    </w:p>
    <w:p w14:paraId="7AB16AA8" w14:textId="4201B0A8" w:rsidR="003504F4" w:rsidRDefault="00F9027C" w:rsidP="003504F4">
      <w:pPr>
        <w:jc w:val="both"/>
        <w:rPr>
          <w:rFonts w:ascii="Arial" w:hAnsi="Arial" w:cs="Arial"/>
        </w:rPr>
      </w:pPr>
      <w:r w:rsidRPr="00F9027C">
        <w:rPr>
          <w:rFonts w:ascii="Arial" w:hAnsi="Arial" w:cs="Arial"/>
        </w:rPr>
        <w:t xml:space="preserve">Analysis of the results (Table 4) revealed that fungal growth inhibition was not only dose-dependent but also influenced by the type of essential oil tested. The essential oil of </w:t>
      </w:r>
      <w:r w:rsidRPr="003504F4">
        <w:rPr>
          <w:rFonts w:ascii="Arial" w:hAnsi="Arial" w:cs="Arial"/>
          <w:i/>
          <w:iCs/>
        </w:rPr>
        <w:t>C. aurantifolia</w:t>
      </w:r>
      <w:r w:rsidRPr="00F9027C">
        <w:rPr>
          <w:rFonts w:ascii="Arial" w:hAnsi="Arial" w:cs="Arial"/>
        </w:rPr>
        <w:t xml:space="preserve"> completely inhibited (PI = 100%) the growth of </w:t>
      </w:r>
      <w:r w:rsidRPr="003504F4">
        <w:rPr>
          <w:rFonts w:ascii="Arial" w:hAnsi="Arial" w:cs="Arial"/>
          <w:i/>
          <w:iCs/>
        </w:rPr>
        <w:t>A. flavus</w:t>
      </w:r>
      <w:r w:rsidRPr="00F9027C">
        <w:rPr>
          <w:rFonts w:ascii="Arial" w:hAnsi="Arial" w:cs="Arial"/>
        </w:rPr>
        <w:t xml:space="preserve"> at a concentration of 25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xml:space="preserve">. Against </w:t>
      </w:r>
      <w:r w:rsidRPr="003504F4">
        <w:rPr>
          <w:rFonts w:ascii="Arial" w:hAnsi="Arial" w:cs="Arial"/>
          <w:i/>
          <w:iCs/>
        </w:rPr>
        <w:t>A. parasiticus</w:t>
      </w:r>
      <w:r w:rsidRPr="00F9027C">
        <w:rPr>
          <w:rFonts w:ascii="Arial" w:hAnsi="Arial" w:cs="Arial"/>
        </w:rPr>
        <w:t>, this oil induced inhibition rates of 81.94% and 97.33% at concentrations of 25 and 50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xml:space="preserve">, respectively. In contrast, the essential oil of </w:t>
      </w:r>
      <w:r w:rsidRPr="003504F4">
        <w:rPr>
          <w:rFonts w:ascii="Arial" w:hAnsi="Arial" w:cs="Arial"/>
          <w:i/>
          <w:iCs/>
        </w:rPr>
        <w:t>C</w:t>
      </w:r>
      <w:r w:rsidR="00846E7C">
        <w:rPr>
          <w:rFonts w:ascii="Arial" w:hAnsi="Arial" w:cs="Arial"/>
          <w:i/>
          <w:iCs/>
        </w:rPr>
        <w:t>.</w:t>
      </w:r>
      <w:r w:rsidRPr="003504F4">
        <w:rPr>
          <w:rFonts w:ascii="Arial" w:hAnsi="Arial" w:cs="Arial"/>
          <w:i/>
          <w:iCs/>
        </w:rPr>
        <w:t xml:space="preserve"> sinensis</w:t>
      </w:r>
      <w:r w:rsidRPr="00F9027C">
        <w:rPr>
          <w:rFonts w:ascii="Arial" w:hAnsi="Arial" w:cs="Arial"/>
        </w:rPr>
        <w:t xml:space="preserve"> was less active against both strains. At concentrations of 25 and 50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xml:space="preserve">, inhibition percentages were 72.69% and 94.10% for </w:t>
      </w:r>
      <w:r w:rsidRPr="003504F4">
        <w:rPr>
          <w:rFonts w:ascii="Arial" w:hAnsi="Arial" w:cs="Arial"/>
          <w:i/>
          <w:iCs/>
        </w:rPr>
        <w:t>A. flavus</w:t>
      </w:r>
      <w:r w:rsidRPr="00F9027C">
        <w:rPr>
          <w:rFonts w:ascii="Arial" w:hAnsi="Arial" w:cs="Arial"/>
        </w:rPr>
        <w:t xml:space="preserve">, and 33.05% and 67.81% for </w:t>
      </w:r>
      <w:r w:rsidRPr="003504F4">
        <w:rPr>
          <w:rFonts w:ascii="Arial" w:hAnsi="Arial" w:cs="Arial"/>
          <w:i/>
          <w:iCs/>
        </w:rPr>
        <w:t>A. parasiticus</w:t>
      </w:r>
      <w:r w:rsidRPr="00F9027C">
        <w:rPr>
          <w:rFonts w:ascii="Arial" w:hAnsi="Arial" w:cs="Arial"/>
        </w:rPr>
        <w:t>.</w:t>
      </w:r>
    </w:p>
    <w:p w14:paraId="3A6B0986" w14:textId="66F96A2D" w:rsidR="00F9027C" w:rsidRDefault="00F9027C" w:rsidP="003504F4">
      <w:pPr>
        <w:jc w:val="both"/>
        <w:rPr>
          <w:rFonts w:ascii="Arial" w:hAnsi="Arial" w:cs="Arial"/>
        </w:rPr>
      </w:pPr>
      <w:r w:rsidRPr="00F9027C">
        <w:rPr>
          <w:rFonts w:ascii="Arial" w:hAnsi="Arial" w:cs="Arial"/>
        </w:rPr>
        <w:t xml:space="preserve">The combination of the two essential oils resulted in complete inhibition (PI = 100%) of </w:t>
      </w:r>
      <w:r w:rsidRPr="003504F4">
        <w:rPr>
          <w:rFonts w:ascii="Arial" w:hAnsi="Arial" w:cs="Arial"/>
          <w:i/>
          <w:iCs/>
        </w:rPr>
        <w:t>A. flavus</w:t>
      </w:r>
      <w:r w:rsidRPr="00F9027C">
        <w:rPr>
          <w:rFonts w:ascii="Arial" w:hAnsi="Arial" w:cs="Arial"/>
        </w:rPr>
        <w:t xml:space="preserve"> growth and 91.40% inhibition of</w:t>
      </w:r>
      <w:r w:rsidRPr="003504F4">
        <w:rPr>
          <w:rFonts w:ascii="Arial" w:hAnsi="Arial" w:cs="Arial"/>
          <w:i/>
          <w:iCs/>
        </w:rPr>
        <w:t xml:space="preserve"> A. parasiticus</w:t>
      </w:r>
      <w:r w:rsidRPr="00F9027C">
        <w:rPr>
          <w:rFonts w:ascii="Arial" w:hAnsi="Arial" w:cs="Arial"/>
        </w:rPr>
        <w:t xml:space="preserve"> growth at 50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The MICs of the essential oils and their combination ranged between 20 and 45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with the lowest value (20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xml:space="preserve">) observed for </w:t>
      </w:r>
      <w:r w:rsidRPr="003504F4">
        <w:rPr>
          <w:rFonts w:ascii="Arial" w:hAnsi="Arial" w:cs="Arial"/>
          <w:i/>
          <w:iCs/>
        </w:rPr>
        <w:t>C. aurantifolia</w:t>
      </w:r>
      <w:r w:rsidRPr="00F9027C">
        <w:rPr>
          <w:rFonts w:ascii="Arial" w:hAnsi="Arial" w:cs="Arial"/>
        </w:rPr>
        <w:t xml:space="preserve"> against </w:t>
      </w:r>
      <w:r w:rsidRPr="003504F4">
        <w:rPr>
          <w:rFonts w:ascii="Arial" w:hAnsi="Arial" w:cs="Arial"/>
          <w:i/>
          <w:iCs/>
        </w:rPr>
        <w:t>A. flavus</w:t>
      </w:r>
      <w:r w:rsidRPr="00F9027C">
        <w:rPr>
          <w:rFonts w:ascii="Arial" w:hAnsi="Arial" w:cs="Arial"/>
        </w:rPr>
        <w:t>. The MFCs were greater than 50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F9027C">
        <w:rPr>
          <w:rFonts w:ascii="Arial" w:hAnsi="Arial" w:cs="Arial"/>
        </w:rPr>
        <w:t xml:space="preserve"> for all samples, except for </w:t>
      </w:r>
      <w:r w:rsidRPr="00846E7C">
        <w:rPr>
          <w:rFonts w:ascii="Arial" w:hAnsi="Arial" w:cs="Arial"/>
          <w:i/>
          <w:iCs/>
        </w:rPr>
        <w:t>C. aurantifolia</w:t>
      </w:r>
      <w:r w:rsidRPr="00F9027C">
        <w:rPr>
          <w:rFonts w:ascii="Arial" w:hAnsi="Arial" w:cs="Arial"/>
        </w:rPr>
        <w:t xml:space="preserve"> against </w:t>
      </w:r>
      <w:r w:rsidRPr="003504F4">
        <w:rPr>
          <w:rFonts w:ascii="Arial" w:hAnsi="Arial" w:cs="Arial"/>
          <w:i/>
          <w:iCs/>
        </w:rPr>
        <w:t>A. flavus</w:t>
      </w:r>
      <w:r w:rsidRPr="00F9027C">
        <w:rPr>
          <w:rFonts w:ascii="Arial" w:hAnsi="Arial" w:cs="Arial"/>
        </w:rPr>
        <w:t xml:space="preserve"> (Table 5).</w:t>
      </w:r>
    </w:p>
    <w:p w14:paraId="196DFDF8" w14:textId="77777777" w:rsidR="007D7BB8" w:rsidRDefault="007D7BB8" w:rsidP="003504F4">
      <w:pPr>
        <w:jc w:val="both"/>
        <w:rPr>
          <w:rFonts w:ascii="Arial" w:hAnsi="Arial" w:cs="Arial"/>
        </w:rPr>
      </w:pPr>
    </w:p>
    <w:p w14:paraId="0DCA7682" w14:textId="77777777" w:rsidR="007D7BB8" w:rsidRDefault="007D7BB8" w:rsidP="003504F4">
      <w:pPr>
        <w:jc w:val="both"/>
        <w:rPr>
          <w:rFonts w:ascii="Arial" w:hAnsi="Arial" w:cs="Arial"/>
        </w:rPr>
      </w:pPr>
    </w:p>
    <w:p w14:paraId="4F3D20C2" w14:textId="77777777" w:rsidR="00846E7C" w:rsidRDefault="00846E7C" w:rsidP="003504F4">
      <w:pPr>
        <w:jc w:val="both"/>
        <w:rPr>
          <w:rFonts w:ascii="Arial" w:hAnsi="Arial" w:cs="Arial"/>
        </w:rPr>
      </w:pPr>
    </w:p>
    <w:p w14:paraId="69A954B7" w14:textId="77777777" w:rsidR="00846E7C" w:rsidRDefault="00846E7C" w:rsidP="003504F4">
      <w:pPr>
        <w:jc w:val="both"/>
        <w:rPr>
          <w:rFonts w:ascii="Arial" w:hAnsi="Arial" w:cs="Arial"/>
        </w:rPr>
      </w:pPr>
    </w:p>
    <w:p w14:paraId="64F580C5" w14:textId="77777777" w:rsidR="00846E7C" w:rsidRDefault="00846E7C" w:rsidP="003504F4">
      <w:pPr>
        <w:jc w:val="both"/>
        <w:rPr>
          <w:rFonts w:ascii="Arial" w:hAnsi="Arial" w:cs="Arial"/>
        </w:rPr>
      </w:pPr>
    </w:p>
    <w:p w14:paraId="7C87D8D0" w14:textId="77777777" w:rsidR="00846E7C" w:rsidRDefault="00846E7C" w:rsidP="003504F4">
      <w:pPr>
        <w:jc w:val="both"/>
        <w:rPr>
          <w:rFonts w:ascii="Arial" w:hAnsi="Arial" w:cs="Arial"/>
        </w:rPr>
      </w:pPr>
    </w:p>
    <w:p w14:paraId="55E52879" w14:textId="09D8CE78" w:rsidR="0092404B" w:rsidRPr="006768B0" w:rsidRDefault="0092404B" w:rsidP="00F9027C">
      <w:pPr>
        <w:spacing w:before="120" w:after="120" w:line="360" w:lineRule="auto"/>
        <w:jc w:val="both"/>
        <w:rPr>
          <w:rFonts w:ascii="Arial" w:eastAsia="Calibri" w:hAnsi="Arial" w:cs="Arial"/>
          <w:b/>
          <w:bCs/>
          <w:kern w:val="2"/>
          <w:sz w:val="22"/>
          <w:szCs w:val="22"/>
        </w:rPr>
      </w:pPr>
      <w:r w:rsidRPr="006768B0">
        <w:rPr>
          <w:rFonts w:ascii="Arial" w:eastAsia="Calibri" w:hAnsi="Arial" w:cs="Arial"/>
          <w:b/>
          <w:bCs/>
          <w:kern w:val="2"/>
        </w:rPr>
        <w:lastRenderedPageBreak/>
        <w:t xml:space="preserve">Table 4. Percentage </w:t>
      </w:r>
      <w:r w:rsidR="00846E7C">
        <w:rPr>
          <w:rFonts w:ascii="Arial" w:eastAsia="Calibri" w:hAnsi="Arial" w:cs="Arial"/>
          <w:b/>
          <w:bCs/>
          <w:kern w:val="2"/>
        </w:rPr>
        <w:t>i</w:t>
      </w:r>
      <w:r w:rsidRPr="006768B0">
        <w:rPr>
          <w:rFonts w:ascii="Arial" w:eastAsia="Calibri" w:hAnsi="Arial" w:cs="Arial"/>
          <w:b/>
          <w:bCs/>
          <w:kern w:val="2"/>
        </w:rPr>
        <w:t xml:space="preserve">nhibition of </w:t>
      </w:r>
      <w:r w:rsidR="00846E7C">
        <w:rPr>
          <w:rFonts w:ascii="Arial" w:eastAsia="Calibri" w:hAnsi="Arial" w:cs="Arial"/>
          <w:b/>
          <w:bCs/>
          <w:kern w:val="2"/>
        </w:rPr>
        <w:t>m</w:t>
      </w:r>
      <w:r w:rsidRPr="006768B0">
        <w:rPr>
          <w:rFonts w:ascii="Arial" w:eastAsia="Calibri" w:hAnsi="Arial" w:cs="Arial"/>
          <w:b/>
          <w:bCs/>
          <w:kern w:val="2"/>
        </w:rPr>
        <w:t xml:space="preserve">old </w:t>
      </w:r>
      <w:r w:rsidR="00846E7C">
        <w:rPr>
          <w:rFonts w:ascii="Arial" w:eastAsia="Calibri" w:hAnsi="Arial" w:cs="Arial"/>
          <w:b/>
          <w:bCs/>
          <w:kern w:val="2"/>
        </w:rPr>
        <w:t>g</w:t>
      </w:r>
      <w:r w:rsidRPr="006768B0">
        <w:rPr>
          <w:rFonts w:ascii="Arial" w:eastAsia="Calibri" w:hAnsi="Arial" w:cs="Arial"/>
          <w:b/>
          <w:bCs/>
          <w:kern w:val="2"/>
        </w:rPr>
        <w:t xml:space="preserve">rowth by </w:t>
      </w:r>
      <w:r w:rsidR="00846E7C">
        <w:rPr>
          <w:rFonts w:ascii="Arial" w:eastAsia="Calibri" w:hAnsi="Arial" w:cs="Arial"/>
          <w:b/>
          <w:bCs/>
          <w:kern w:val="2"/>
        </w:rPr>
        <w:t>e</w:t>
      </w:r>
      <w:r w:rsidRPr="006768B0">
        <w:rPr>
          <w:rFonts w:ascii="Arial" w:eastAsia="Calibri" w:hAnsi="Arial" w:cs="Arial"/>
          <w:b/>
          <w:bCs/>
          <w:kern w:val="2"/>
        </w:rPr>
        <w:t xml:space="preserve">ssential </w:t>
      </w:r>
      <w:r w:rsidR="00846E7C">
        <w:rPr>
          <w:rFonts w:ascii="Arial" w:eastAsia="Calibri" w:hAnsi="Arial" w:cs="Arial"/>
          <w:b/>
          <w:bCs/>
          <w:kern w:val="2"/>
        </w:rPr>
        <w:t>o</w:t>
      </w:r>
      <w:r w:rsidRPr="006768B0">
        <w:rPr>
          <w:rFonts w:ascii="Arial" w:eastAsia="Calibri" w:hAnsi="Arial" w:cs="Arial"/>
          <w:b/>
          <w:bCs/>
          <w:kern w:val="2"/>
        </w:rPr>
        <w:t>ils</w:t>
      </w:r>
    </w:p>
    <w:tbl>
      <w:tblPr>
        <w:tblStyle w:val="Grilledutableau3"/>
        <w:tblpPr w:leftFromText="180" w:rightFromText="180" w:vertAnchor="text" w:tblpY="1"/>
        <w:tblOverlap w:val="never"/>
        <w:tblW w:w="8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13"/>
        <w:gridCol w:w="2729"/>
        <w:gridCol w:w="1747"/>
        <w:gridCol w:w="2287"/>
      </w:tblGrid>
      <w:tr w:rsidR="0092404B" w:rsidRPr="0092404B" w14:paraId="179CCF11" w14:textId="77777777" w:rsidTr="00DE05A5">
        <w:trPr>
          <w:trHeight w:val="36"/>
        </w:trPr>
        <w:tc>
          <w:tcPr>
            <w:tcW w:w="2156" w:type="dxa"/>
            <w:tcBorders>
              <w:top w:val="single" w:sz="4" w:space="0" w:color="auto"/>
              <w:bottom w:val="single" w:sz="4" w:space="0" w:color="auto"/>
            </w:tcBorders>
            <w:vAlign w:val="center"/>
          </w:tcPr>
          <w:p w14:paraId="534E9B9F" w14:textId="77777777" w:rsidR="0092404B" w:rsidRPr="0092404B" w:rsidRDefault="0092404B" w:rsidP="00B125E8">
            <w:pPr>
              <w:spacing w:line="276" w:lineRule="auto"/>
              <w:jc w:val="both"/>
              <w:rPr>
                <w:rFonts w:ascii="Arial" w:hAnsi="Arial" w:cs="Arial"/>
                <w:b/>
                <w:sz w:val="20"/>
                <w:szCs w:val="20"/>
              </w:rPr>
            </w:pPr>
            <w:r w:rsidRPr="0092404B">
              <w:rPr>
                <w:rFonts w:ascii="Arial" w:hAnsi="Arial" w:cs="Arial"/>
                <w:b/>
                <w:sz w:val="20"/>
                <w:szCs w:val="20"/>
              </w:rPr>
              <w:t>Essential oils</w:t>
            </w:r>
          </w:p>
        </w:tc>
        <w:tc>
          <w:tcPr>
            <w:tcW w:w="2742" w:type="dxa"/>
            <w:gridSpan w:val="2"/>
            <w:tcBorders>
              <w:top w:val="single" w:sz="4" w:space="0" w:color="auto"/>
              <w:bottom w:val="single" w:sz="4" w:space="0" w:color="auto"/>
            </w:tcBorders>
            <w:vAlign w:val="center"/>
          </w:tcPr>
          <w:p w14:paraId="09B511A9" w14:textId="7105C4FF" w:rsidR="0092404B" w:rsidRPr="0092404B" w:rsidRDefault="0092404B" w:rsidP="00B125E8">
            <w:pPr>
              <w:spacing w:line="276" w:lineRule="auto"/>
              <w:jc w:val="center"/>
              <w:rPr>
                <w:rFonts w:ascii="Arial" w:hAnsi="Arial" w:cs="Arial"/>
                <w:b/>
                <w:sz w:val="20"/>
                <w:szCs w:val="20"/>
              </w:rPr>
            </w:pPr>
            <w:r w:rsidRPr="0092404B">
              <w:rPr>
                <w:rFonts w:ascii="Arial" w:hAnsi="Arial" w:cs="Arial"/>
                <w:b/>
                <w:sz w:val="20"/>
                <w:szCs w:val="20"/>
              </w:rPr>
              <w:t>Concentration (</w:t>
            </w:r>
            <w:r w:rsidR="009242E5">
              <w:rPr>
                <w:rFonts w:ascii="Arial" w:hAnsi="Arial" w:cs="Arial"/>
                <w:b/>
                <w:sz w:val="20"/>
                <w:szCs w:val="20"/>
              </w:rPr>
              <w:t>µL mL</w:t>
            </w:r>
            <w:r w:rsidR="009242E5">
              <w:rPr>
                <w:rFonts w:ascii="Cambria Math" w:hAnsi="Cambria Math" w:cs="Cambria Math"/>
                <w:b/>
                <w:sz w:val="20"/>
                <w:szCs w:val="20"/>
              </w:rPr>
              <w:t>⁻</w:t>
            </w:r>
            <w:r w:rsidR="009242E5">
              <w:rPr>
                <w:rFonts w:ascii="Arial" w:hAnsi="Arial" w:cs="Arial"/>
                <w:b/>
                <w:sz w:val="20"/>
                <w:szCs w:val="20"/>
              </w:rPr>
              <w:t>¹</w:t>
            </w:r>
            <w:r w:rsidRPr="0092404B">
              <w:rPr>
                <w:rFonts w:ascii="Arial" w:hAnsi="Arial" w:cs="Arial"/>
                <w:b/>
                <w:sz w:val="20"/>
                <w:szCs w:val="20"/>
              </w:rPr>
              <w:t>)</w:t>
            </w:r>
          </w:p>
        </w:tc>
        <w:tc>
          <w:tcPr>
            <w:tcW w:w="4034" w:type="dxa"/>
            <w:gridSpan w:val="2"/>
            <w:tcBorders>
              <w:top w:val="single" w:sz="4" w:space="0" w:color="auto"/>
              <w:bottom w:val="single" w:sz="4" w:space="0" w:color="auto"/>
            </w:tcBorders>
            <w:vAlign w:val="center"/>
          </w:tcPr>
          <w:p w14:paraId="02732D48" w14:textId="77777777" w:rsidR="0092404B" w:rsidRPr="0092404B" w:rsidRDefault="0092404B" w:rsidP="00B125E8">
            <w:pPr>
              <w:spacing w:line="276" w:lineRule="auto"/>
              <w:rPr>
                <w:rFonts w:ascii="Arial" w:hAnsi="Arial" w:cs="Arial"/>
                <w:b/>
                <w:i/>
                <w:iCs/>
                <w:sz w:val="20"/>
                <w:szCs w:val="20"/>
              </w:rPr>
            </w:pPr>
            <w:r w:rsidRPr="006768B0">
              <w:rPr>
                <w:rFonts w:ascii="Arial" w:hAnsi="Arial" w:cs="Arial"/>
                <w:b/>
                <w:sz w:val="20"/>
                <w:szCs w:val="20"/>
              </w:rPr>
              <w:t>PI (%) of Mycelial Growth Diameter (%)</w:t>
            </w:r>
          </w:p>
        </w:tc>
      </w:tr>
      <w:tr w:rsidR="0092404B" w:rsidRPr="0092404B" w14:paraId="3DBEB371" w14:textId="77777777" w:rsidTr="00DE05A5">
        <w:trPr>
          <w:trHeight w:val="262"/>
        </w:trPr>
        <w:tc>
          <w:tcPr>
            <w:tcW w:w="2156" w:type="dxa"/>
            <w:vMerge w:val="restart"/>
            <w:tcBorders>
              <w:top w:val="single" w:sz="4" w:space="0" w:color="auto"/>
            </w:tcBorders>
            <w:vAlign w:val="center"/>
          </w:tcPr>
          <w:p w14:paraId="75C08396" w14:textId="77777777" w:rsidR="0092404B" w:rsidRPr="0092404B" w:rsidRDefault="0092404B" w:rsidP="00B125E8">
            <w:pPr>
              <w:spacing w:line="480" w:lineRule="auto"/>
              <w:jc w:val="both"/>
              <w:rPr>
                <w:rFonts w:ascii="Arial" w:hAnsi="Arial" w:cs="Arial"/>
                <w:sz w:val="20"/>
                <w:szCs w:val="20"/>
              </w:rPr>
            </w:pPr>
            <w:r w:rsidRPr="0092404B">
              <w:rPr>
                <w:rFonts w:ascii="Arial" w:hAnsi="Arial" w:cs="Arial"/>
                <w:i/>
                <w:iCs/>
                <w:sz w:val="20"/>
                <w:szCs w:val="20"/>
              </w:rPr>
              <w:t>C. aurantifolia</w:t>
            </w:r>
          </w:p>
        </w:tc>
        <w:tc>
          <w:tcPr>
            <w:tcW w:w="2742" w:type="dxa"/>
            <w:gridSpan w:val="2"/>
            <w:tcBorders>
              <w:top w:val="single" w:sz="4" w:space="0" w:color="auto"/>
            </w:tcBorders>
            <w:vAlign w:val="center"/>
          </w:tcPr>
          <w:p w14:paraId="7584FC1D" w14:textId="77777777" w:rsidR="0092404B" w:rsidRPr="0092404B" w:rsidRDefault="0092404B" w:rsidP="00B125E8">
            <w:pPr>
              <w:spacing w:line="480" w:lineRule="auto"/>
              <w:jc w:val="center"/>
              <w:rPr>
                <w:rFonts w:ascii="Arial" w:hAnsi="Arial" w:cs="Arial"/>
                <w:sz w:val="20"/>
                <w:szCs w:val="20"/>
              </w:rPr>
            </w:pPr>
          </w:p>
        </w:tc>
        <w:tc>
          <w:tcPr>
            <w:tcW w:w="1747" w:type="dxa"/>
            <w:tcBorders>
              <w:top w:val="single" w:sz="4" w:space="0" w:color="auto"/>
              <w:bottom w:val="single" w:sz="4" w:space="0" w:color="auto"/>
            </w:tcBorders>
            <w:vAlign w:val="center"/>
          </w:tcPr>
          <w:p w14:paraId="09C8D0A9" w14:textId="77777777" w:rsidR="0092404B" w:rsidRPr="0092404B" w:rsidRDefault="0092404B" w:rsidP="00B125E8">
            <w:pPr>
              <w:spacing w:line="480" w:lineRule="auto"/>
              <w:rPr>
                <w:rFonts w:ascii="Arial" w:hAnsi="Arial" w:cs="Arial"/>
                <w:sz w:val="20"/>
                <w:szCs w:val="20"/>
              </w:rPr>
            </w:pPr>
            <w:r w:rsidRPr="0092404B">
              <w:rPr>
                <w:rFonts w:ascii="Arial" w:hAnsi="Arial" w:cs="Arial"/>
                <w:bCs/>
                <w:i/>
                <w:iCs/>
                <w:sz w:val="20"/>
                <w:szCs w:val="20"/>
              </w:rPr>
              <w:t>A. flavus</w:t>
            </w:r>
          </w:p>
        </w:tc>
        <w:tc>
          <w:tcPr>
            <w:tcW w:w="2287" w:type="dxa"/>
            <w:tcBorders>
              <w:top w:val="single" w:sz="4" w:space="0" w:color="auto"/>
              <w:bottom w:val="single" w:sz="4" w:space="0" w:color="auto"/>
            </w:tcBorders>
            <w:vAlign w:val="center"/>
          </w:tcPr>
          <w:p w14:paraId="77F99B10"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bCs/>
                <w:i/>
                <w:iCs/>
                <w:sz w:val="20"/>
                <w:szCs w:val="20"/>
              </w:rPr>
              <w:t>A. parasiticus</w:t>
            </w:r>
          </w:p>
        </w:tc>
      </w:tr>
      <w:tr w:rsidR="0092404B" w:rsidRPr="0092404B" w14:paraId="3D6EAB6A" w14:textId="77777777" w:rsidTr="00DE05A5">
        <w:trPr>
          <w:trHeight w:val="36"/>
        </w:trPr>
        <w:tc>
          <w:tcPr>
            <w:tcW w:w="2156" w:type="dxa"/>
            <w:vMerge/>
            <w:vAlign w:val="center"/>
          </w:tcPr>
          <w:p w14:paraId="57F6CEFD" w14:textId="77777777" w:rsidR="0092404B" w:rsidRPr="0092404B" w:rsidRDefault="0092404B" w:rsidP="00B125E8">
            <w:pPr>
              <w:spacing w:line="480" w:lineRule="auto"/>
              <w:jc w:val="both"/>
              <w:rPr>
                <w:rFonts w:ascii="Arial" w:hAnsi="Arial" w:cs="Arial"/>
                <w:sz w:val="20"/>
                <w:szCs w:val="20"/>
              </w:rPr>
            </w:pPr>
          </w:p>
        </w:tc>
        <w:tc>
          <w:tcPr>
            <w:tcW w:w="2742" w:type="dxa"/>
            <w:gridSpan w:val="2"/>
            <w:vAlign w:val="center"/>
          </w:tcPr>
          <w:p w14:paraId="326FB10E"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12.5</w:t>
            </w:r>
          </w:p>
        </w:tc>
        <w:tc>
          <w:tcPr>
            <w:tcW w:w="1747" w:type="dxa"/>
            <w:tcBorders>
              <w:top w:val="single" w:sz="4" w:space="0" w:color="auto"/>
            </w:tcBorders>
            <w:vAlign w:val="center"/>
          </w:tcPr>
          <w:p w14:paraId="01E82435"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32.22 ± 1.23</w:t>
            </w:r>
          </w:p>
        </w:tc>
        <w:tc>
          <w:tcPr>
            <w:tcW w:w="2287" w:type="dxa"/>
            <w:tcBorders>
              <w:top w:val="single" w:sz="4" w:space="0" w:color="auto"/>
            </w:tcBorders>
            <w:vAlign w:val="center"/>
          </w:tcPr>
          <w:p w14:paraId="41C1A89F"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16.44 ± 2.30</w:t>
            </w:r>
          </w:p>
        </w:tc>
      </w:tr>
      <w:tr w:rsidR="0092404B" w:rsidRPr="0092404B" w14:paraId="0F71E7BC" w14:textId="77777777" w:rsidTr="00DE05A5">
        <w:trPr>
          <w:trHeight w:val="100"/>
        </w:trPr>
        <w:tc>
          <w:tcPr>
            <w:tcW w:w="2156" w:type="dxa"/>
            <w:vMerge/>
            <w:vAlign w:val="center"/>
          </w:tcPr>
          <w:p w14:paraId="59B2CF35" w14:textId="77777777" w:rsidR="0092404B" w:rsidRPr="0092404B" w:rsidRDefault="0092404B" w:rsidP="00B125E8">
            <w:pPr>
              <w:spacing w:line="480" w:lineRule="auto"/>
              <w:jc w:val="both"/>
              <w:rPr>
                <w:rFonts w:ascii="Arial" w:hAnsi="Arial" w:cs="Arial"/>
                <w:sz w:val="20"/>
                <w:szCs w:val="20"/>
              </w:rPr>
            </w:pPr>
          </w:p>
        </w:tc>
        <w:tc>
          <w:tcPr>
            <w:tcW w:w="2742" w:type="dxa"/>
            <w:gridSpan w:val="2"/>
            <w:vAlign w:val="center"/>
          </w:tcPr>
          <w:p w14:paraId="3BC40BF5"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25</w:t>
            </w:r>
          </w:p>
        </w:tc>
        <w:tc>
          <w:tcPr>
            <w:tcW w:w="1747" w:type="dxa"/>
            <w:vAlign w:val="center"/>
          </w:tcPr>
          <w:p w14:paraId="6B0B7877"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100</w:t>
            </w:r>
          </w:p>
        </w:tc>
        <w:tc>
          <w:tcPr>
            <w:tcW w:w="2287" w:type="dxa"/>
            <w:vAlign w:val="center"/>
          </w:tcPr>
          <w:p w14:paraId="32194B7E"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81.94 ± 4.92</w:t>
            </w:r>
          </w:p>
        </w:tc>
      </w:tr>
      <w:tr w:rsidR="0092404B" w:rsidRPr="0092404B" w14:paraId="4CF867EE" w14:textId="77777777" w:rsidTr="00DE05A5">
        <w:trPr>
          <w:trHeight w:val="133"/>
        </w:trPr>
        <w:tc>
          <w:tcPr>
            <w:tcW w:w="2156" w:type="dxa"/>
            <w:vMerge/>
            <w:tcBorders>
              <w:bottom w:val="single" w:sz="4" w:space="0" w:color="auto"/>
            </w:tcBorders>
            <w:vAlign w:val="center"/>
          </w:tcPr>
          <w:p w14:paraId="1FD3CB4D" w14:textId="77777777" w:rsidR="0092404B" w:rsidRPr="0092404B" w:rsidRDefault="0092404B" w:rsidP="00B125E8">
            <w:pPr>
              <w:spacing w:line="480" w:lineRule="auto"/>
              <w:jc w:val="both"/>
              <w:rPr>
                <w:rFonts w:ascii="Arial" w:hAnsi="Arial" w:cs="Arial"/>
                <w:sz w:val="20"/>
                <w:szCs w:val="20"/>
              </w:rPr>
            </w:pPr>
          </w:p>
        </w:tc>
        <w:tc>
          <w:tcPr>
            <w:tcW w:w="2742" w:type="dxa"/>
            <w:gridSpan w:val="2"/>
            <w:tcBorders>
              <w:bottom w:val="single" w:sz="4" w:space="0" w:color="auto"/>
            </w:tcBorders>
            <w:vAlign w:val="center"/>
          </w:tcPr>
          <w:p w14:paraId="1B2AFEB3"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50</w:t>
            </w:r>
          </w:p>
        </w:tc>
        <w:tc>
          <w:tcPr>
            <w:tcW w:w="1747" w:type="dxa"/>
            <w:tcBorders>
              <w:bottom w:val="single" w:sz="4" w:space="0" w:color="auto"/>
            </w:tcBorders>
            <w:vAlign w:val="center"/>
          </w:tcPr>
          <w:p w14:paraId="5B79D591"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100</w:t>
            </w:r>
          </w:p>
        </w:tc>
        <w:tc>
          <w:tcPr>
            <w:tcW w:w="2287" w:type="dxa"/>
            <w:tcBorders>
              <w:bottom w:val="single" w:sz="4" w:space="0" w:color="auto"/>
            </w:tcBorders>
            <w:vAlign w:val="center"/>
          </w:tcPr>
          <w:p w14:paraId="6C0312E2"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97.33 ± 1.60</w:t>
            </w:r>
          </w:p>
        </w:tc>
      </w:tr>
      <w:tr w:rsidR="0092404B" w:rsidRPr="0092404B" w14:paraId="3EC10134" w14:textId="77777777" w:rsidTr="00DE05A5">
        <w:trPr>
          <w:trHeight w:val="36"/>
        </w:trPr>
        <w:tc>
          <w:tcPr>
            <w:tcW w:w="2156" w:type="dxa"/>
            <w:vMerge w:val="restart"/>
            <w:tcBorders>
              <w:top w:val="single" w:sz="4" w:space="0" w:color="auto"/>
            </w:tcBorders>
            <w:vAlign w:val="center"/>
          </w:tcPr>
          <w:p w14:paraId="70B7EACD" w14:textId="77777777" w:rsidR="0092404B" w:rsidRPr="0092404B" w:rsidRDefault="0092404B" w:rsidP="00B125E8">
            <w:pPr>
              <w:spacing w:line="480" w:lineRule="auto"/>
              <w:jc w:val="both"/>
              <w:rPr>
                <w:rFonts w:ascii="Arial" w:hAnsi="Arial" w:cs="Arial"/>
                <w:sz w:val="20"/>
                <w:szCs w:val="20"/>
              </w:rPr>
            </w:pPr>
            <w:r w:rsidRPr="0092404B">
              <w:rPr>
                <w:rFonts w:ascii="Arial" w:hAnsi="Arial" w:cs="Arial"/>
                <w:i/>
                <w:iCs/>
                <w:sz w:val="20"/>
                <w:szCs w:val="20"/>
              </w:rPr>
              <w:t>C. sinensis</w:t>
            </w:r>
          </w:p>
        </w:tc>
        <w:tc>
          <w:tcPr>
            <w:tcW w:w="2742" w:type="dxa"/>
            <w:gridSpan w:val="2"/>
            <w:tcBorders>
              <w:top w:val="single" w:sz="4" w:space="0" w:color="auto"/>
            </w:tcBorders>
            <w:vAlign w:val="center"/>
          </w:tcPr>
          <w:p w14:paraId="5AB7B667"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12.5</w:t>
            </w:r>
          </w:p>
        </w:tc>
        <w:tc>
          <w:tcPr>
            <w:tcW w:w="1747" w:type="dxa"/>
            <w:tcBorders>
              <w:top w:val="single" w:sz="4" w:space="0" w:color="auto"/>
            </w:tcBorders>
            <w:vAlign w:val="center"/>
          </w:tcPr>
          <w:p w14:paraId="54DD780A"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22.44 ± 0.36</w:t>
            </w:r>
          </w:p>
        </w:tc>
        <w:tc>
          <w:tcPr>
            <w:tcW w:w="2287" w:type="dxa"/>
            <w:tcBorders>
              <w:top w:val="single" w:sz="4" w:space="0" w:color="auto"/>
            </w:tcBorders>
            <w:vAlign w:val="center"/>
          </w:tcPr>
          <w:p w14:paraId="4F5303AE"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8.77 ± 0.16</w:t>
            </w:r>
          </w:p>
        </w:tc>
      </w:tr>
      <w:tr w:rsidR="0092404B" w:rsidRPr="0092404B" w14:paraId="03AE5299" w14:textId="77777777" w:rsidTr="00DE05A5">
        <w:trPr>
          <w:trHeight w:val="217"/>
        </w:trPr>
        <w:tc>
          <w:tcPr>
            <w:tcW w:w="2156" w:type="dxa"/>
            <w:vMerge/>
            <w:vAlign w:val="center"/>
          </w:tcPr>
          <w:p w14:paraId="0D57FD50" w14:textId="77777777" w:rsidR="0092404B" w:rsidRPr="0092404B" w:rsidRDefault="0092404B" w:rsidP="00B125E8">
            <w:pPr>
              <w:spacing w:line="480" w:lineRule="auto"/>
              <w:jc w:val="both"/>
              <w:rPr>
                <w:rFonts w:ascii="Arial" w:hAnsi="Arial" w:cs="Arial"/>
                <w:sz w:val="20"/>
                <w:szCs w:val="20"/>
              </w:rPr>
            </w:pPr>
          </w:p>
        </w:tc>
        <w:tc>
          <w:tcPr>
            <w:tcW w:w="2742" w:type="dxa"/>
            <w:gridSpan w:val="2"/>
            <w:vAlign w:val="center"/>
          </w:tcPr>
          <w:p w14:paraId="039D9C3D"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25</w:t>
            </w:r>
          </w:p>
        </w:tc>
        <w:tc>
          <w:tcPr>
            <w:tcW w:w="1747" w:type="dxa"/>
            <w:vAlign w:val="center"/>
          </w:tcPr>
          <w:p w14:paraId="507F9026"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72.69 ± 9.10</w:t>
            </w:r>
          </w:p>
        </w:tc>
        <w:tc>
          <w:tcPr>
            <w:tcW w:w="2287" w:type="dxa"/>
            <w:vAlign w:val="center"/>
          </w:tcPr>
          <w:p w14:paraId="48C9E04A"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33.05 ± 8.72</w:t>
            </w:r>
          </w:p>
        </w:tc>
      </w:tr>
      <w:tr w:rsidR="0092404B" w:rsidRPr="0092404B" w14:paraId="31BF14F0" w14:textId="77777777" w:rsidTr="00DE05A5">
        <w:trPr>
          <w:trHeight w:val="46"/>
        </w:trPr>
        <w:tc>
          <w:tcPr>
            <w:tcW w:w="2156" w:type="dxa"/>
            <w:vMerge/>
            <w:tcBorders>
              <w:bottom w:val="single" w:sz="4" w:space="0" w:color="auto"/>
            </w:tcBorders>
            <w:vAlign w:val="center"/>
          </w:tcPr>
          <w:p w14:paraId="51A377A5" w14:textId="77777777" w:rsidR="0092404B" w:rsidRPr="0092404B" w:rsidRDefault="0092404B" w:rsidP="00B125E8">
            <w:pPr>
              <w:spacing w:line="480" w:lineRule="auto"/>
              <w:jc w:val="both"/>
              <w:rPr>
                <w:rFonts w:ascii="Arial" w:hAnsi="Arial" w:cs="Arial"/>
                <w:sz w:val="20"/>
                <w:szCs w:val="20"/>
              </w:rPr>
            </w:pPr>
          </w:p>
        </w:tc>
        <w:tc>
          <w:tcPr>
            <w:tcW w:w="2742" w:type="dxa"/>
            <w:gridSpan w:val="2"/>
            <w:tcBorders>
              <w:bottom w:val="single" w:sz="4" w:space="0" w:color="auto"/>
            </w:tcBorders>
            <w:vAlign w:val="center"/>
          </w:tcPr>
          <w:p w14:paraId="0731DA66"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50</w:t>
            </w:r>
          </w:p>
        </w:tc>
        <w:tc>
          <w:tcPr>
            <w:tcW w:w="1747" w:type="dxa"/>
            <w:tcBorders>
              <w:bottom w:val="single" w:sz="4" w:space="0" w:color="auto"/>
            </w:tcBorders>
            <w:vAlign w:val="center"/>
          </w:tcPr>
          <w:p w14:paraId="1E942C49"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94.10 ± 0.18</w:t>
            </w:r>
          </w:p>
        </w:tc>
        <w:tc>
          <w:tcPr>
            <w:tcW w:w="2287" w:type="dxa"/>
            <w:tcBorders>
              <w:bottom w:val="single" w:sz="4" w:space="0" w:color="auto"/>
            </w:tcBorders>
            <w:vAlign w:val="center"/>
          </w:tcPr>
          <w:p w14:paraId="3573ACF5"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67.81 ± 0.24</w:t>
            </w:r>
          </w:p>
        </w:tc>
      </w:tr>
      <w:tr w:rsidR="0092404B" w:rsidRPr="0092404B" w14:paraId="569DB2DE" w14:textId="77777777" w:rsidTr="00DE05A5">
        <w:trPr>
          <w:trHeight w:val="146"/>
        </w:trPr>
        <w:tc>
          <w:tcPr>
            <w:tcW w:w="2156" w:type="dxa"/>
            <w:vMerge w:val="restart"/>
            <w:tcBorders>
              <w:top w:val="single" w:sz="4" w:space="0" w:color="auto"/>
            </w:tcBorders>
            <w:vAlign w:val="center"/>
          </w:tcPr>
          <w:p w14:paraId="0A92FE2D" w14:textId="46566195" w:rsidR="0092404B" w:rsidRPr="0092404B" w:rsidRDefault="0092404B" w:rsidP="00B125E8">
            <w:pPr>
              <w:spacing w:line="480" w:lineRule="auto"/>
              <w:rPr>
                <w:rFonts w:ascii="Arial" w:hAnsi="Arial" w:cs="Arial"/>
                <w:sz w:val="20"/>
                <w:szCs w:val="20"/>
              </w:rPr>
            </w:pPr>
            <w:r w:rsidRPr="0092404B">
              <w:rPr>
                <w:rFonts w:ascii="Arial" w:hAnsi="Arial" w:cs="Arial"/>
                <w:i/>
                <w:iCs/>
                <w:sz w:val="20"/>
                <w:szCs w:val="20"/>
              </w:rPr>
              <w:t>C. aurantifolia</w:t>
            </w:r>
            <w:r w:rsidR="00846E7C">
              <w:rPr>
                <w:rFonts w:ascii="Arial" w:hAnsi="Arial" w:cs="Arial"/>
                <w:i/>
                <w:iCs/>
                <w:sz w:val="20"/>
                <w:szCs w:val="20"/>
              </w:rPr>
              <w:t>+</w:t>
            </w:r>
            <w:r w:rsidRPr="0092404B">
              <w:rPr>
                <w:rFonts w:ascii="Arial" w:hAnsi="Arial" w:cs="Arial"/>
                <w:sz w:val="20"/>
                <w:szCs w:val="20"/>
              </w:rPr>
              <w:t xml:space="preserve"> </w:t>
            </w:r>
            <w:r w:rsidRPr="0092404B">
              <w:rPr>
                <w:rFonts w:ascii="Arial" w:hAnsi="Arial" w:cs="Arial"/>
                <w:i/>
                <w:iCs/>
                <w:sz w:val="20"/>
                <w:szCs w:val="20"/>
              </w:rPr>
              <w:t>C.</w:t>
            </w:r>
            <w:r w:rsidR="00B125E8">
              <w:rPr>
                <w:rFonts w:ascii="Arial" w:hAnsi="Arial" w:cs="Arial"/>
                <w:i/>
                <w:iCs/>
                <w:sz w:val="20"/>
                <w:szCs w:val="20"/>
              </w:rPr>
              <w:t xml:space="preserve"> </w:t>
            </w:r>
            <w:r w:rsidRPr="0092404B">
              <w:rPr>
                <w:rFonts w:ascii="Arial" w:hAnsi="Arial" w:cs="Arial"/>
                <w:i/>
                <w:iCs/>
                <w:sz w:val="20"/>
                <w:szCs w:val="20"/>
              </w:rPr>
              <w:t>sinensis</w:t>
            </w:r>
          </w:p>
        </w:tc>
        <w:tc>
          <w:tcPr>
            <w:tcW w:w="2742" w:type="dxa"/>
            <w:gridSpan w:val="2"/>
            <w:tcBorders>
              <w:top w:val="single" w:sz="4" w:space="0" w:color="auto"/>
            </w:tcBorders>
            <w:vAlign w:val="center"/>
          </w:tcPr>
          <w:p w14:paraId="442DC6A9"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12.5</w:t>
            </w:r>
          </w:p>
        </w:tc>
        <w:tc>
          <w:tcPr>
            <w:tcW w:w="1747" w:type="dxa"/>
            <w:tcBorders>
              <w:top w:val="single" w:sz="4" w:space="0" w:color="auto"/>
            </w:tcBorders>
            <w:vAlign w:val="center"/>
          </w:tcPr>
          <w:p w14:paraId="2B2B11B8"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44.28 ± 0.27</w:t>
            </w:r>
          </w:p>
        </w:tc>
        <w:tc>
          <w:tcPr>
            <w:tcW w:w="2287" w:type="dxa"/>
            <w:tcBorders>
              <w:top w:val="single" w:sz="4" w:space="0" w:color="auto"/>
            </w:tcBorders>
            <w:vAlign w:val="center"/>
          </w:tcPr>
          <w:p w14:paraId="2E538EE5"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22.61 ± 3.12</w:t>
            </w:r>
          </w:p>
        </w:tc>
      </w:tr>
      <w:tr w:rsidR="0092404B" w:rsidRPr="0092404B" w14:paraId="2F1A2418" w14:textId="77777777" w:rsidTr="00DE05A5">
        <w:trPr>
          <w:trHeight w:val="53"/>
        </w:trPr>
        <w:tc>
          <w:tcPr>
            <w:tcW w:w="2156" w:type="dxa"/>
            <w:vMerge/>
            <w:vAlign w:val="center"/>
          </w:tcPr>
          <w:p w14:paraId="7AE3DA04" w14:textId="77777777" w:rsidR="0092404B" w:rsidRPr="0092404B" w:rsidRDefault="0092404B" w:rsidP="00B125E8">
            <w:pPr>
              <w:spacing w:line="480" w:lineRule="auto"/>
              <w:jc w:val="both"/>
              <w:rPr>
                <w:rFonts w:ascii="Arial" w:hAnsi="Arial" w:cs="Arial"/>
                <w:sz w:val="20"/>
                <w:szCs w:val="20"/>
              </w:rPr>
            </w:pPr>
          </w:p>
        </w:tc>
        <w:tc>
          <w:tcPr>
            <w:tcW w:w="2742" w:type="dxa"/>
            <w:gridSpan w:val="2"/>
            <w:vAlign w:val="center"/>
          </w:tcPr>
          <w:p w14:paraId="122FD6D3"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25</w:t>
            </w:r>
          </w:p>
        </w:tc>
        <w:tc>
          <w:tcPr>
            <w:tcW w:w="1747" w:type="dxa"/>
            <w:vAlign w:val="center"/>
          </w:tcPr>
          <w:p w14:paraId="50510A6F"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88.74 ± 2.40</w:t>
            </w:r>
          </w:p>
        </w:tc>
        <w:tc>
          <w:tcPr>
            <w:tcW w:w="2287" w:type="dxa"/>
            <w:vAlign w:val="center"/>
          </w:tcPr>
          <w:p w14:paraId="500A1D7D"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74.33 ± 12.97</w:t>
            </w:r>
          </w:p>
        </w:tc>
      </w:tr>
      <w:tr w:rsidR="0092404B" w:rsidRPr="0092404B" w14:paraId="056958F6" w14:textId="77777777" w:rsidTr="00DE05A5">
        <w:trPr>
          <w:trHeight w:val="46"/>
        </w:trPr>
        <w:tc>
          <w:tcPr>
            <w:tcW w:w="2156" w:type="dxa"/>
            <w:vMerge/>
            <w:tcBorders>
              <w:bottom w:val="single" w:sz="4" w:space="0" w:color="auto"/>
            </w:tcBorders>
            <w:vAlign w:val="center"/>
          </w:tcPr>
          <w:p w14:paraId="18E784D6" w14:textId="77777777" w:rsidR="0092404B" w:rsidRPr="0092404B" w:rsidRDefault="0092404B" w:rsidP="00B125E8">
            <w:pPr>
              <w:spacing w:line="480" w:lineRule="auto"/>
              <w:jc w:val="both"/>
              <w:rPr>
                <w:rFonts w:ascii="Arial" w:hAnsi="Arial" w:cs="Arial"/>
                <w:sz w:val="20"/>
                <w:szCs w:val="20"/>
              </w:rPr>
            </w:pPr>
          </w:p>
        </w:tc>
        <w:tc>
          <w:tcPr>
            <w:tcW w:w="2742" w:type="dxa"/>
            <w:gridSpan w:val="2"/>
            <w:tcBorders>
              <w:bottom w:val="single" w:sz="4" w:space="0" w:color="auto"/>
            </w:tcBorders>
            <w:vAlign w:val="center"/>
          </w:tcPr>
          <w:p w14:paraId="04DFD099"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50</w:t>
            </w:r>
          </w:p>
        </w:tc>
        <w:tc>
          <w:tcPr>
            <w:tcW w:w="1747" w:type="dxa"/>
            <w:tcBorders>
              <w:bottom w:val="single" w:sz="4" w:space="0" w:color="auto"/>
            </w:tcBorders>
            <w:vAlign w:val="center"/>
          </w:tcPr>
          <w:p w14:paraId="195242AB"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100</w:t>
            </w:r>
          </w:p>
        </w:tc>
        <w:tc>
          <w:tcPr>
            <w:tcW w:w="2287" w:type="dxa"/>
            <w:tcBorders>
              <w:bottom w:val="single" w:sz="4" w:space="0" w:color="auto"/>
            </w:tcBorders>
            <w:vAlign w:val="center"/>
          </w:tcPr>
          <w:p w14:paraId="03D45FBC"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91.40 ± 2.00</w:t>
            </w:r>
          </w:p>
        </w:tc>
      </w:tr>
      <w:tr w:rsidR="0092404B" w:rsidRPr="0092404B" w14:paraId="20B59191" w14:textId="77777777" w:rsidTr="00DE05A5">
        <w:trPr>
          <w:trHeight w:val="273"/>
        </w:trPr>
        <w:tc>
          <w:tcPr>
            <w:tcW w:w="2169" w:type="dxa"/>
            <w:gridSpan w:val="2"/>
            <w:tcBorders>
              <w:top w:val="single" w:sz="4" w:space="0" w:color="auto"/>
              <w:bottom w:val="single" w:sz="4" w:space="0" w:color="auto"/>
            </w:tcBorders>
            <w:vAlign w:val="center"/>
          </w:tcPr>
          <w:p w14:paraId="3586888B"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Negative control (10% DMSO)</w:t>
            </w:r>
          </w:p>
        </w:tc>
        <w:tc>
          <w:tcPr>
            <w:tcW w:w="2729" w:type="dxa"/>
            <w:tcBorders>
              <w:top w:val="single" w:sz="4" w:space="0" w:color="auto"/>
              <w:bottom w:val="single" w:sz="4" w:space="0" w:color="auto"/>
            </w:tcBorders>
            <w:vAlign w:val="center"/>
          </w:tcPr>
          <w:p w14:paraId="053118A9"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w:t>
            </w:r>
          </w:p>
        </w:tc>
        <w:tc>
          <w:tcPr>
            <w:tcW w:w="1747" w:type="dxa"/>
            <w:tcBorders>
              <w:top w:val="single" w:sz="4" w:space="0" w:color="auto"/>
              <w:bottom w:val="single" w:sz="4" w:space="0" w:color="auto"/>
            </w:tcBorders>
            <w:vAlign w:val="center"/>
          </w:tcPr>
          <w:p w14:paraId="478BCEE8" w14:textId="77777777" w:rsidR="0092404B" w:rsidRPr="0092404B" w:rsidRDefault="0092404B" w:rsidP="00B125E8">
            <w:pPr>
              <w:spacing w:line="480" w:lineRule="auto"/>
              <w:rPr>
                <w:rFonts w:ascii="Arial" w:hAnsi="Arial" w:cs="Arial"/>
                <w:sz w:val="20"/>
                <w:szCs w:val="20"/>
              </w:rPr>
            </w:pPr>
            <w:r w:rsidRPr="0092404B">
              <w:rPr>
                <w:rFonts w:ascii="Arial" w:hAnsi="Arial" w:cs="Arial"/>
                <w:sz w:val="20"/>
                <w:szCs w:val="20"/>
              </w:rPr>
              <w:t>0.00</w:t>
            </w:r>
          </w:p>
        </w:tc>
        <w:tc>
          <w:tcPr>
            <w:tcW w:w="2287" w:type="dxa"/>
            <w:tcBorders>
              <w:top w:val="single" w:sz="4" w:space="0" w:color="auto"/>
              <w:bottom w:val="single" w:sz="4" w:space="0" w:color="auto"/>
            </w:tcBorders>
            <w:vAlign w:val="center"/>
          </w:tcPr>
          <w:p w14:paraId="598D6702" w14:textId="77777777" w:rsidR="0092404B" w:rsidRPr="0092404B" w:rsidRDefault="0092404B" w:rsidP="00B125E8">
            <w:pPr>
              <w:spacing w:line="480" w:lineRule="auto"/>
              <w:jc w:val="center"/>
              <w:rPr>
                <w:rFonts w:ascii="Arial" w:hAnsi="Arial" w:cs="Arial"/>
                <w:sz w:val="20"/>
                <w:szCs w:val="20"/>
              </w:rPr>
            </w:pPr>
            <w:r w:rsidRPr="0092404B">
              <w:rPr>
                <w:rFonts w:ascii="Arial" w:hAnsi="Arial" w:cs="Arial"/>
                <w:sz w:val="20"/>
                <w:szCs w:val="20"/>
              </w:rPr>
              <w:t>0.00</w:t>
            </w:r>
          </w:p>
        </w:tc>
      </w:tr>
    </w:tbl>
    <w:p w14:paraId="14542504" w14:textId="77777777" w:rsidR="00B125E8" w:rsidRDefault="00B125E8" w:rsidP="001B53DE">
      <w:pPr>
        <w:spacing w:before="120" w:after="120"/>
        <w:jc w:val="both"/>
        <w:rPr>
          <w:rFonts w:ascii="Arial" w:eastAsia="Calibri" w:hAnsi="Arial" w:cs="Arial"/>
          <w:b/>
          <w:bCs/>
          <w:kern w:val="2"/>
        </w:rPr>
      </w:pPr>
      <w:r>
        <w:rPr>
          <w:rFonts w:ascii="Arial" w:eastAsia="Calibri" w:hAnsi="Arial" w:cs="Arial"/>
          <w:b/>
          <w:bCs/>
          <w:kern w:val="2"/>
        </w:rPr>
        <w:br w:type="textWrapping" w:clear="all"/>
      </w:r>
    </w:p>
    <w:p w14:paraId="39F96C88" w14:textId="2553A0FF" w:rsidR="00470FEB" w:rsidRPr="001B53DE" w:rsidRDefault="00470FEB" w:rsidP="001B53DE">
      <w:pPr>
        <w:spacing w:before="120" w:after="120"/>
        <w:jc w:val="both"/>
        <w:rPr>
          <w:rFonts w:ascii="Arial" w:eastAsia="Calibri" w:hAnsi="Arial" w:cs="Arial"/>
          <w:b/>
          <w:bCs/>
          <w:kern w:val="2"/>
        </w:rPr>
      </w:pPr>
      <w:r w:rsidRPr="006768B0">
        <w:rPr>
          <w:rFonts w:ascii="Arial" w:eastAsia="Calibri" w:hAnsi="Arial" w:cs="Arial"/>
          <w:b/>
          <w:bCs/>
          <w:kern w:val="2"/>
        </w:rPr>
        <w:t xml:space="preserve">Table 5. Minimum </w:t>
      </w:r>
      <w:r w:rsidR="00846E7C">
        <w:rPr>
          <w:rFonts w:ascii="Arial" w:eastAsia="Calibri" w:hAnsi="Arial" w:cs="Arial"/>
          <w:b/>
          <w:bCs/>
          <w:kern w:val="2"/>
        </w:rPr>
        <w:t>i</w:t>
      </w:r>
      <w:r w:rsidRPr="006768B0">
        <w:rPr>
          <w:rFonts w:ascii="Arial" w:eastAsia="Calibri" w:hAnsi="Arial" w:cs="Arial"/>
          <w:b/>
          <w:bCs/>
          <w:kern w:val="2"/>
        </w:rPr>
        <w:t xml:space="preserve">nhibitory and </w:t>
      </w:r>
      <w:r w:rsidR="00846E7C">
        <w:rPr>
          <w:rFonts w:ascii="Arial" w:eastAsia="Calibri" w:hAnsi="Arial" w:cs="Arial"/>
          <w:b/>
          <w:bCs/>
          <w:kern w:val="2"/>
        </w:rPr>
        <w:t>f</w:t>
      </w:r>
      <w:r w:rsidRPr="006768B0">
        <w:rPr>
          <w:rFonts w:ascii="Arial" w:eastAsia="Calibri" w:hAnsi="Arial" w:cs="Arial"/>
          <w:b/>
          <w:bCs/>
          <w:kern w:val="2"/>
        </w:rPr>
        <w:t xml:space="preserve">ungicidal Concentrations of </w:t>
      </w:r>
      <w:r w:rsidR="00846E7C">
        <w:rPr>
          <w:rFonts w:ascii="Arial" w:eastAsia="Calibri" w:hAnsi="Arial" w:cs="Arial"/>
          <w:b/>
          <w:bCs/>
          <w:kern w:val="2"/>
        </w:rPr>
        <w:t>e</w:t>
      </w:r>
      <w:r w:rsidRPr="006768B0">
        <w:rPr>
          <w:rFonts w:ascii="Arial" w:eastAsia="Calibri" w:hAnsi="Arial" w:cs="Arial"/>
          <w:b/>
          <w:bCs/>
          <w:kern w:val="2"/>
        </w:rPr>
        <w:t xml:space="preserve">ssential </w:t>
      </w:r>
      <w:r w:rsidR="00846E7C">
        <w:rPr>
          <w:rFonts w:ascii="Arial" w:eastAsia="Calibri" w:hAnsi="Arial" w:cs="Arial"/>
          <w:b/>
          <w:bCs/>
          <w:kern w:val="2"/>
        </w:rPr>
        <w:t>o</w:t>
      </w:r>
      <w:r w:rsidRPr="006768B0">
        <w:rPr>
          <w:rFonts w:ascii="Arial" w:eastAsia="Calibri" w:hAnsi="Arial" w:cs="Arial"/>
          <w:b/>
          <w:bCs/>
          <w:kern w:val="2"/>
        </w:rPr>
        <w:t>ils</w:t>
      </w:r>
      <w:r w:rsidR="00FA3288">
        <w:rPr>
          <w:rFonts w:ascii="Arial" w:eastAsia="Calibri" w:hAnsi="Arial" w:cs="Arial"/>
          <w:b/>
          <w:bCs/>
          <w:kern w:val="2"/>
        </w:rPr>
        <w:t xml:space="preserve"> </w:t>
      </w:r>
      <w:r w:rsidRPr="006768B0">
        <w:rPr>
          <w:rFonts w:ascii="Arial" w:eastAsia="Calibri" w:hAnsi="Arial" w:cs="Arial"/>
          <w:b/>
          <w:bCs/>
          <w:kern w:val="2"/>
        </w:rPr>
        <w:t>(</w:t>
      </w:r>
      <w:r w:rsidR="009242E5">
        <w:rPr>
          <w:rFonts w:ascii="Arial" w:eastAsia="Calibri" w:hAnsi="Arial" w:cs="Arial"/>
          <w:b/>
          <w:bCs/>
          <w:kern w:val="2"/>
        </w:rPr>
        <w:t>µL mL</w:t>
      </w:r>
      <w:r w:rsidR="009242E5">
        <w:rPr>
          <w:rFonts w:ascii="Cambria Math" w:eastAsia="Calibri" w:hAnsi="Cambria Math" w:cs="Cambria Math"/>
          <w:b/>
          <w:bCs/>
          <w:kern w:val="2"/>
        </w:rPr>
        <w:t>⁻</w:t>
      </w:r>
      <w:r w:rsidR="009242E5">
        <w:rPr>
          <w:rFonts w:ascii="Arial" w:eastAsia="Calibri" w:hAnsi="Arial" w:cs="Arial"/>
          <w:b/>
          <w:bCs/>
          <w:kern w:val="2"/>
        </w:rPr>
        <w:t>¹</w:t>
      </w:r>
      <w:r w:rsidRPr="006768B0">
        <w:rPr>
          <w:rFonts w:ascii="Arial" w:eastAsia="Calibri" w:hAnsi="Arial" w:cs="Arial"/>
          <w:b/>
          <w:bCs/>
          <w:kern w:val="2"/>
        </w:rPr>
        <w:t>)</w:t>
      </w:r>
    </w:p>
    <w:tbl>
      <w:tblPr>
        <w:tblStyle w:val="Grilledutableau4"/>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1047"/>
        <w:gridCol w:w="1125"/>
        <w:gridCol w:w="1134"/>
        <w:gridCol w:w="851"/>
      </w:tblGrid>
      <w:tr w:rsidR="00470FEB" w:rsidRPr="00470FEB" w14:paraId="43EFFFD5" w14:textId="77777777" w:rsidTr="00861400">
        <w:trPr>
          <w:trHeight w:val="457"/>
          <w:jc w:val="center"/>
        </w:trPr>
        <w:tc>
          <w:tcPr>
            <w:tcW w:w="3073" w:type="dxa"/>
            <w:vMerge w:val="restart"/>
            <w:tcBorders>
              <w:top w:val="single" w:sz="4" w:space="0" w:color="auto"/>
            </w:tcBorders>
            <w:vAlign w:val="center"/>
          </w:tcPr>
          <w:p w14:paraId="187207FE" w14:textId="77777777" w:rsidR="00470FEB" w:rsidRPr="006768B0" w:rsidRDefault="00470FEB" w:rsidP="006768B0">
            <w:pPr>
              <w:spacing w:line="480" w:lineRule="auto"/>
              <w:jc w:val="both"/>
              <w:rPr>
                <w:rFonts w:ascii="Arial" w:hAnsi="Arial" w:cs="Arial"/>
                <w:b/>
                <w:sz w:val="20"/>
                <w:szCs w:val="20"/>
              </w:rPr>
            </w:pPr>
            <w:r w:rsidRPr="00470FEB">
              <w:rPr>
                <w:rFonts w:ascii="Arial" w:hAnsi="Arial" w:cs="Arial"/>
                <w:b/>
                <w:sz w:val="20"/>
                <w:szCs w:val="20"/>
              </w:rPr>
              <w:t>Essential oils</w:t>
            </w:r>
          </w:p>
        </w:tc>
        <w:tc>
          <w:tcPr>
            <w:tcW w:w="2172" w:type="dxa"/>
            <w:gridSpan w:val="2"/>
            <w:tcBorders>
              <w:top w:val="single" w:sz="4" w:space="0" w:color="auto"/>
              <w:bottom w:val="single" w:sz="4" w:space="0" w:color="auto"/>
            </w:tcBorders>
            <w:vAlign w:val="center"/>
          </w:tcPr>
          <w:p w14:paraId="69A95C4F" w14:textId="77777777" w:rsidR="00470FEB" w:rsidRPr="006768B0" w:rsidRDefault="00470FEB" w:rsidP="006768B0">
            <w:pPr>
              <w:spacing w:line="480" w:lineRule="auto"/>
              <w:rPr>
                <w:rFonts w:ascii="Arial" w:hAnsi="Arial" w:cs="Arial"/>
                <w:b/>
                <w:sz w:val="20"/>
                <w:szCs w:val="20"/>
              </w:rPr>
            </w:pPr>
            <w:r w:rsidRPr="00470FEB">
              <w:rPr>
                <w:rFonts w:ascii="Arial" w:hAnsi="Arial" w:cs="Arial"/>
                <w:b/>
                <w:i/>
                <w:iCs/>
                <w:sz w:val="20"/>
                <w:szCs w:val="20"/>
              </w:rPr>
              <w:t xml:space="preserve">         A. flavus</w:t>
            </w:r>
          </w:p>
        </w:tc>
        <w:tc>
          <w:tcPr>
            <w:tcW w:w="1985" w:type="dxa"/>
            <w:gridSpan w:val="2"/>
            <w:tcBorders>
              <w:top w:val="single" w:sz="4" w:space="0" w:color="auto"/>
              <w:bottom w:val="single" w:sz="4" w:space="0" w:color="auto"/>
            </w:tcBorders>
            <w:vAlign w:val="center"/>
          </w:tcPr>
          <w:p w14:paraId="21473604" w14:textId="77777777" w:rsidR="00470FEB" w:rsidRPr="006768B0" w:rsidRDefault="00470FEB" w:rsidP="006768B0">
            <w:pPr>
              <w:spacing w:line="480" w:lineRule="auto"/>
              <w:rPr>
                <w:rFonts w:ascii="Arial" w:hAnsi="Arial" w:cs="Arial"/>
                <w:b/>
                <w:sz w:val="20"/>
                <w:szCs w:val="20"/>
              </w:rPr>
            </w:pPr>
            <w:r w:rsidRPr="00470FEB">
              <w:rPr>
                <w:rFonts w:ascii="Arial" w:hAnsi="Arial" w:cs="Arial"/>
                <w:b/>
                <w:i/>
                <w:iCs/>
                <w:sz w:val="20"/>
                <w:szCs w:val="20"/>
              </w:rPr>
              <w:t xml:space="preserve">     A. parasiticus</w:t>
            </w:r>
          </w:p>
        </w:tc>
      </w:tr>
      <w:tr w:rsidR="00470FEB" w:rsidRPr="00470FEB" w14:paraId="166B8467" w14:textId="77777777" w:rsidTr="00861400">
        <w:trPr>
          <w:trHeight w:val="133"/>
          <w:jc w:val="center"/>
        </w:trPr>
        <w:tc>
          <w:tcPr>
            <w:tcW w:w="3073" w:type="dxa"/>
            <w:vMerge/>
            <w:tcBorders>
              <w:bottom w:val="single" w:sz="4" w:space="0" w:color="auto"/>
            </w:tcBorders>
          </w:tcPr>
          <w:p w14:paraId="69367A0C" w14:textId="77777777" w:rsidR="00470FEB" w:rsidRPr="00470FEB" w:rsidRDefault="00470FEB" w:rsidP="006768B0">
            <w:pPr>
              <w:spacing w:line="480" w:lineRule="auto"/>
              <w:jc w:val="both"/>
              <w:rPr>
                <w:rFonts w:ascii="Arial" w:hAnsi="Arial" w:cs="Arial"/>
                <w:sz w:val="20"/>
                <w:szCs w:val="20"/>
              </w:rPr>
            </w:pPr>
          </w:p>
        </w:tc>
        <w:tc>
          <w:tcPr>
            <w:tcW w:w="1047" w:type="dxa"/>
            <w:tcBorders>
              <w:top w:val="single" w:sz="4" w:space="0" w:color="auto"/>
              <w:bottom w:val="single" w:sz="4" w:space="0" w:color="auto"/>
            </w:tcBorders>
          </w:tcPr>
          <w:p w14:paraId="69F51F3C"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 xml:space="preserve">MIC </w:t>
            </w:r>
          </w:p>
        </w:tc>
        <w:tc>
          <w:tcPr>
            <w:tcW w:w="1125" w:type="dxa"/>
            <w:tcBorders>
              <w:top w:val="single" w:sz="4" w:space="0" w:color="auto"/>
              <w:bottom w:val="single" w:sz="4" w:space="0" w:color="auto"/>
            </w:tcBorders>
          </w:tcPr>
          <w:p w14:paraId="7BBC2AD1"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 xml:space="preserve">MFC </w:t>
            </w:r>
          </w:p>
        </w:tc>
        <w:tc>
          <w:tcPr>
            <w:tcW w:w="1134" w:type="dxa"/>
            <w:tcBorders>
              <w:top w:val="single" w:sz="4" w:space="0" w:color="auto"/>
              <w:bottom w:val="single" w:sz="4" w:space="0" w:color="auto"/>
            </w:tcBorders>
          </w:tcPr>
          <w:p w14:paraId="7CC394F3"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 xml:space="preserve">MIC </w:t>
            </w:r>
          </w:p>
        </w:tc>
        <w:tc>
          <w:tcPr>
            <w:tcW w:w="851" w:type="dxa"/>
            <w:tcBorders>
              <w:top w:val="single" w:sz="4" w:space="0" w:color="auto"/>
              <w:bottom w:val="single" w:sz="4" w:space="0" w:color="auto"/>
            </w:tcBorders>
          </w:tcPr>
          <w:p w14:paraId="76362662"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 xml:space="preserve">MFC </w:t>
            </w:r>
          </w:p>
        </w:tc>
      </w:tr>
      <w:tr w:rsidR="00470FEB" w:rsidRPr="00470FEB" w14:paraId="4E1801DC" w14:textId="77777777" w:rsidTr="00861400">
        <w:trPr>
          <w:trHeight w:val="146"/>
          <w:jc w:val="center"/>
        </w:trPr>
        <w:tc>
          <w:tcPr>
            <w:tcW w:w="3073" w:type="dxa"/>
            <w:tcBorders>
              <w:top w:val="single" w:sz="4" w:space="0" w:color="auto"/>
            </w:tcBorders>
            <w:vAlign w:val="center"/>
          </w:tcPr>
          <w:p w14:paraId="35C30E34" w14:textId="646C9324"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w:t>
            </w:r>
            <w:r w:rsidR="00DE05A5">
              <w:rPr>
                <w:rFonts w:ascii="Arial" w:hAnsi="Arial" w:cs="Arial"/>
                <w:i/>
                <w:iCs/>
                <w:sz w:val="20"/>
                <w:szCs w:val="20"/>
              </w:rPr>
              <w:t>.</w:t>
            </w:r>
            <w:r w:rsidRPr="00470FEB">
              <w:rPr>
                <w:rFonts w:ascii="Arial" w:hAnsi="Arial" w:cs="Arial"/>
                <w:i/>
                <w:iCs/>
                <w:sz w:val="20"/>
                <w:szCs w:val="20"/>
              </w:rPr>
              <w:t xml:space="preserve"> aurantifolia</w:t>
            </w:r>
            <w:r w:rsidRPr="00470FEB">
              <w:rPr>
                <w:rFonts w:ascii="Arial" w:hAnsi="Arial" w:cs="Arial"/>
                <w:sz w:val="20"/>
                <w:szCs w:val="20"/>
              </w:rPr>
              <w:t xml:space="preserve"> </w:t>
            </w:r>
          </w:p>
        </w:tc>
        <w:tc>
          <w:tcPr>
            <w:tcW w:w="1047" w:type="dxa"/>
            <w:tcBorders>
              <w:top w:val="single" w:sz="4" w:space="0" w:color="auto"/>
            </w:tcBorders>
            <w:vAlign w:val="center"/>
          </w:tcPr>
          <w:p w14:paraId="1704AFDE"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20</w:t>
            </w:r>
          </w:p>
        </w:tc>
        <w:tc>
          <w:tcPr>
            <w:tcW w:w="1125" w:type="dxa"/>
            <w:tcBorders>
              <w:top w:val="single" w:sz="4" w:space="0" w:color="auto"/>
            </w:tcBorders>
            <w:vAlign w:val="center"/>
          </w:tcPr>
          <w:p w14:paraId="29DB9C5C"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25</w:t>
            </w:r>
          </w:p>
        </w:tc>
        <w:tc>
          <w:tcPr>
            <w:tcW w:w="1134" w:type="dxa"/>
            <w:tcBorders>
              <w:top w:val="single" w:sz="4" w:space="0" w:color="auto"/>
            </w:tcBorders>
            <w:vAlign w:val="center"/>
          </w:tcPr>
          <w:p w14:paraId="690A3E8D"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37.5</w:t>
            </w:r>
          </w:p>
        </w:tc>
        <w:tc>
          <w:tcPr>
            <w:tcW w:w="851" w:type="dxa"/>
            <w:tcBorders>
              <w:top w:val="single" w:sz="4" w:space="0" w:color="auto"/>
            </w:tcBorders>
            <w:vAlign w:val="center"/>
          </w:tcPr>
          <w:p w14:paraId="490E8BDA"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r w:rsidR="00470FEB" w:rsidRPr="00470FEB" w14:paraId="22CBB863" w14:textId="77777777" w:rsidTr="00861400">
        <w:trPr>
          <w:trHeight w:val="56"/>
          <w:jc w:val="center"/>
        </w:trPr>
        <w:tc>
          <w:tcPr>
            <w:tcW w:w="3073" w:type="dxa"/>
            <w:vAlign w:val="center"/>
          </w:tcPr>
          <w:p w14:paraId="0A0C42B2" w14:textId="54C25A6E"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w:t>
            </w:r>
            <w:r w:rsidR="00DE05A5">
              <w:rPr>
                <w:rFonts w:ascii="Arial" w:hAnsi="Arial" w:cs="Arial"/>
                <w:i/>
                <w:iCs/>
                <w:sz w:val="20"/>
                <w:szCs w:val="20"/>
              </w:rPr>
              <w:t>.</w:t>
            </w:r>
            <w:r w:rsidRPr="00470FEB">
              <w:rPr>
                <w:rFonts w:ascii="Arial" w:hAnsi="Arial" w:cs="Arial"/>
                <w:i/>
                <w:iCs/>
                <w:sz w:val="20"/>
                <w:szCs w:val="20"/>
              </w:rPr>
              <w:t xml:space="preserve"> sinensis</w:t>
            </w:r>
            <w:r w:rsidRPr="00470FEB">
              <w:rPr>
                <w:rFonts w:ascii="Arial" w:hAnsi="Arial" w:cs="Arial"/>
                <w:sz w:val="20"/>
                <w:szCs w:val="20"/>
              </w:rPr>
              <w:t xml:space="preserve"> </w:t>
            </w:r>
          </w:p>
        </w:tc>
        <w:tc>
          <w:tcPr>
            <w:tcW w:w="1047" w:type="dxa"/>
            <w:vAlign w:val="center"/>
          </w:tcPr>
          <w:p w14:paraId="13675E1D"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45</w:t>
            </w:r>
          </w:p>
        </w:tc>
        <w:tc>
          <w:tcPr>
            <w:tcW w:w="1125" w:type="dxa"/>
            <w:vAlign w:val="center"/>
          </w:tcPr>
          <w:p w14:paraId="7F9241E4"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&gt; 50</w:t>
            </w:r>
          </w:p>
        </w:tc>
        <w:tc>
          <w:tcPr>
            <w:tcW w:w="1134" w:type="dxa"/>
            <w:vAlign w:val="center"/>
          </w:tcPr>
          <w:p w14:paraId="28F6D359"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c>
          <w:tcPr>
            <w:tcW w:w="851" w:type="dxa"/>
            <w:vAlign w:val="center"/>
          </w:tcPr>
          <w:p w14:paraId="2016B934"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r w:rsidR="00470FEB" w:rsidRPr="00470FEB" w14:paraId="61B836C6" w14:textId="77777777" w:rsidTr="00861400">
        <w:trPr>
          <w:trHeight w:val="162"/>
          <w:jc w:val="center"/>
        </w:trPr>
        <w:tc>
          <w:tcPr>
            <w:tcW w:w="3073" w:type="dxa"/>
            <w:tcBorders>
              <w:bottom w:val="single" w:sz="4" w:space="0" w:color="auto"/>
            </w:tcBorders>
            <w:vAlign w:val="center"/>
          </w:tcPr>
          <w:p w14:paraId="7C6D8627" w14:textId="37A66112"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 aurant</w:t>
            </w:r>
            <w:r w:rsidR="006768B0">
              <w:rPr>
                <w:rFonts w:ascii="Arial" w:hAnsi="Arial" w:cs="Arial"/>
                <w:i/>
                <w:iCs/>
                <w:sz w:val="20"/>
                <w:szCs w:val="20"/>
              </w:rPr>
              <w:t>i</w:t>
            </w:r>
            <w:r w:rsidRPr="00470FEB">
              <w:rPr>
                <w:rFonts w:ascii="Arial" w:hAnsi="Arial" w:cs="Arial"/>
                <w:i/>
                <w:iCs/>
                <w:sz w:val="20"/>
                <w:szCs w:val="20"/>
              </w:rPr>
              <w:t>folia</w:t>
            </w:r>
            <w:r w:rsidRPr="00470FEB">
              <w:rPr>
                <w:rFonts w:ascii="Arial" w:hAnsi="Arial" w:cs="Arial"/>
                <w:sz w:val="20"/>
                <w:szCs w:val="20"/>
              </w:rPr>
              <w:t xml:space="preserve"> + </w:t>
            </w:r>
            <w:r w:rsidRPr="00470FEB">
              <w:rPr>
                <w:rFonts w:ascii="Arial" w:hAnsi="Arial" w:cs="Arial"/>
                <w:i/>
                <w:iCs/>
                <w:sz w:val="20"/>
                <w:szCs w:val="20"/>
              </w:rPr>
              <w:t>C. sinensis</w:t>
            </w:r>
          </w:p>
        </w:tc>
        <w:tc>
          <w:tcPr>
            <w:tcW w:w="1047" w:type="dxa"/>
            <w:tcBorders>
              <w:bottom w:val="single" w:sz="4" w:space="0" w:color="auto"/>
            </w:tcBorders>
            <w:vAlign w:val="center"/>
          </w:tcPr>
          <w:p w14:paraId="10C07E5B"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40</w:t>
            </w:r>
          </w:p>
        </w:tc>
        <w:tc>
          <w:tcPr>
            <w:tcW w:w="1125" w:type="dxa"/>
            <w:tcBorders>
              <w:bottom w:val="single" w:sz="4" w:space="0" w:color="auto"/>
            </w:tcBorders>
            <w:vAlign w:val="center"/>
          </w:tcPr>
          <w:p w14:paraId="43BC2A06"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&gt; 50</w:t>
            </w:r>
          </w:p>
        </w:tc>
        <w:tc>
          <w:tcPr>
            <w:tcW w:w="1134" w:type="dxa"/>
            <w:tcBorders>
              <w:bottom w:val="single" w:sz="4" w:space="0" w:color="auto"/>
            </w:tcBorders>
            <w:vAlign w:val="center"/>
          </w:tcPr>
          <w:p w14:paraId="24A4EE2A"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c>
          <w:tcPr>
            <w:tcW w:w="851" w:type="dxa"/>
            <w:tcBorders>
              <w:bottom w:val="single" w:sz="4" w:space="0" w:color="auto"/>
            </w:tcBorders>
            <w:vAlign w:val="center"/>
          </w:tcPr>
          <w:p w14:paraId="66518DC2"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bl>
    <w:p w14:paraId="6E158F8F" w14:textId="77777777" w:rsidR="008F0501" w:rsidRDefault="008F0501" w:rsidP="0071526D">
      <w:pPr>
        <w:adjustRightInd w:val="0"/>
        <w:snapToGrid w:val="0"/>
        <w:spacing w:before="120" w:after="120" w:line="276" w:lineRule="auto"/>
        <w:jc w:val="both"/>
        <w:outlineLvl w:val="1"/>
        <w:rPr>
          <w:rFonts w:ascii="Arial" w:hAnsi="Arial" w:cs="Arial"/>
          <w:b/>
          <w:caps/>
          <w:sz w:val="22"/>
        </w:rPr>
      </w:pPr>
    </w:p>
    <w:p w14:paraId="124286BE" w14:textId="0633EBBE" w:rsidR="00EB740E" w:rsidRPr="00CA3333" w:rsidRDefault="00EB740E" w:rsidP="0071526D">
      <w:pPr>
        <w:adjustRightInd w:val="0"/>
        <w:snapToGrid w:val="0"/>
        <w:spacing w:before="120" w:after="120" w:line="276" w:lineRule="auto"/>
        <w:jc w:val="both"/>
        <w:outlineLvl w:val="1"/>
        <w:rPr>
          <w:rFonts w:ascii="Arial" w:hAnsi="Arial" w:cs="Arial"/>
          <w:b/>
          <w:caps/>
          <w:sz w:val="22"/>
        </w:rPr>
      </w:pPr>
      <w:r>
        <w:rPr>
          <w:rFonts w:ascii="Arial" w:hAnsi="Arial" w:cs="Arial"/>
          <w:b/>
          <w:caps/>
          <w:sz w:val="22"/>
        </w:rPr>
        <w:t xml:space="preserve">4. </w:t>
      </w:r>
      <w:r w:rsidRPr="00CA3333">
        <w:rPr>
          <w:rFonts w:ascii="Arial" w:hAnsi="Arial" w:cs="Arial"/>
          <w:b/>
          <w:caps/>
          <w:sz w:val="22"/>
        </w:rPr>
        <w:t>discussion</w:t>
      </w:r>
    </w:p>
    <w:p w14:paraId="62461900" w14:textId="77777777" w:rsidR="003504F4" w:rsidRPr="003504F4" w:rsidRDefault="003504F4" w:rsidP="00E8203D">
      <w:pPr>
        <w:pStyle w:val="Body"/>
        <w:spacing w:after="0"/>
        <w:rPr>
          <w:rFonts w:ascii="Arial" w:hAnsi="Arial" w:cs="Arial"/>
        </w:rPr>
      </w:pPr>
      <w:r w:rsidRPr="003504F4">
        <w:rPr>
          <w:rFonts w:ascii="Arial" w:hAnsi="Arial" w:cs="Arial"/>
        </w:rPr>
        <w:t xml:space="preserve">The results indicate that yields depend on the citrus species. The essential oil yield of </w:t>
      </w:r>
      <w:r w:rsidRPr="00E8203D">
        <w:rPr>
          <w:rFonts w:ascii="Arial" w:hAnsi="Arial" w:cs="Arial"/>
          <w:i/>
          <w:iCs/>
        </w:rPr>
        <w:t>C. sinensis</w:t>
      </w:r>
      <w:r w:rsidRPr="003504F4">
        <w:rPr>
          <w:rFonts w:ascii="Arial" w:hAnsi="Arial" w:cs="Arial"/>
        </w:rPr>
        <w:t xml:space="preserve"> obtained in our study (0.9%) is higher than those reported by Muhoho et al. (2014), who obtained 0.06% and 0.05% in Uganda and Rwanda, respectively, but slightly lower than that reported by </w:t>
      </w:r>
      <w:proofErr w:type="spellStart"/>
      <w:r w:rsidRPr="003504F4">
        <w:rPr>
          <w:rFonts w:ascii="Arial" w:hAnsi="Arial" w:cs="Arial"/>
        </w:rPr>
        <w:t>Yolidje</w:t>
      </w:r>
      <w:proofErr w:type="spellEnd"/>
      <w:r w:rsidRPr="003504F4">
        <w:rPr>
          <w:rFonts w:ascii="Arial" w:hAnsi="Arial" w:cs="Arial"/>
        </w:rPr>
        <w:t xml:space="preserve"> et al. (2024) in Niger (1.14%). These findings highlight the variability of yields depending on the study area. The yield obtained from </w:t>
      </w:r>
      <w:r w:rsidRPr="00E8203D">
        <w:rPr>
          <w:rFonts w:ascii="Arial" w:hAnsi="Arial" w:cs="Arial"/>
          <w:i/>
          <w:iCs/>
        </w:rPr>
        <w:t>C. aurantifolia</w:t>
      </w:r>
      <w:r w:rsidRPr="003504F4">
        <w:rPr>
          <w:rFonts w:ascii="Arial" w:hAnsi="Arial" w:cs="Arial"/>
        </w:rPr>
        <w:t xml:space="preserve"> peels (1.22%) in our study is lower than those reported in Nigeria (1.8%) and China (2.3%) (Lin et al., 2019; Awolola et al., 2022). The differences in yield observed within the same species can be attributed to several factors, including the production area </w:t>
      </w:r>
      <w:r w:rsidRPr="003504F4">
        <w:rPr>
          <w:rFonts w:ascii="Arial" w:hAnsi="Arial" w:cs="Arial"/>
        </w:rPr>
        <w:lastRenderedPageBreak/>
        <w:t>of the citrus fruits, climatic conditions, cultivation practices, maturity stage, harvest period, and peel granulometry (</w:t>
      </w:r>
      <w:proofErr w:type="spellStart"/>
      <w:r w:rsidRPr="003504F4">
        <w:rPr>
          <w:rFonts w:ascii="Arial" w:hAnsi="Arial" w:cs="Arial"/>
        </w:rPr>
        <w:t>Vekiari</w:t>
      </w:r>
      <w:proofErr w:type="spellEnd"/>
      <w:r w:rsidRPr="003504F4">
        <w:rPr>
          <w:rFonts w:ascii="Arial" w:hAnsi="Arial" w:cs="Arial"/>
        </w:rPr>
        <w:t xml:space="preserve"> et al., 2002; </w:t>
      </w:r>
      <w:proofErr w:type="spellStart"/>
      <w:r w:rsidRPr="003504F4">
        <w:rPr>
          <w:rFonts w:ascii="Arial" w:hAnsi="Arial" w:cs="Arial"/>
        </w:rPr>
        <w:t>Jalgaonkar</w:t>
      </w:r>
      <w:proofErr w:type="spellEnd"/>
      <w:r w:rsidRPr="003504F4">
        <w:rPr>
          <w:rFonts w:ascii="Arial" w:hAnsi="Arial" w:cs="Arial"/>
        </w:rPr>
        <w:t xml:space="preserve"> et al., 2013; Calo et al., 2015).</w:t>
      </w:r>
    </w:p>
    <w:p w14:paraId="6AF65876" w14:textId="77777777" w:rsidR="003504F4" w:rsidRPr="003504F4" w:rsidRDefault="003504F4" w:rsidP="00E8203D">
      <w:pPr>
        <w:pStyle w:val="Body"/>
        <w:spacing w:after="0"/>
        <w:rPr>
          <w:rFonts w:ascii="Arial" w:hAnsi="Arial" w:cs="Arial"/>
        </w:rPr>
      </w:pPr>
      <w:r w:rsidRPr="003504F4">
        <w:rPr>
          <w:rFonts w:ascii="Arial" w:hAnsi="Arial" w:cs="Arial"/>
        </w:rPr>
        <w:t>The determination of density, acid value, refractive index, and ester value constitutes an important means of verifying and controlling the quality of an essential oil.</w:t>
      </w:r>
    </w:p>
    <w:p w14:paraId="557878AD" w14:textId="2EE565AC" w:rsidR="00072D53" w:rsidRPr="00B308B2" w:rsidRDefault="003504F4" w:rsidP="00072D53">
      <w:pPr>
        <w:pStyle w:val="Body"/>
        <w:spacing w:after="0"/>
        <w:rPr>
          <w:rFonts w:ascii="Arial" w:hAnsi="Arial" w:cs="Arial"/>
          <w:color w:val="EE0000"/>
        </w:rPr>
      </w:pPr>
      <w:r w:rsidRPr="003504F4">
        <w:rPr>
          <w:rFonts w:ascii="Arial" w:hAnsi="Arial" w:cs="Arial"/>
        </w:rPr>
        <w:t xml:space="preserve">For </w:t>
      </w:r>
      <w:r w:rsidRPr="00E8203D">
        <w:rPr>
          <w:rFonts w:ascii="Arial" w:hAnsi="Arial" w:cs="Arial"/>
          <w:i/>
          <w:iCs/>
        </w:rPr>
        <w:t>C</w:t>
      </w:r>
      <w:r w:rsidR="00B72D13">
        <w:rPr>
          <w:rFonts w:ascii="Arial" w:hAnsi="Arial" w:cs="Arial"/>
          <w:i/>
          <w:iCs/>
        </w:rPr>
        <w:t>.</w:t>
      </w:r>
      <w:r w:rsidRPr="00E8203D">
        <w:rPr>
          <w:rFonts w:ascii="Arial" w:hAnsi="Arial" w:cs="Arial"/>
          <w:i/>
          <w:iCs/>
        </w:rPr>
        <w:t xml:space="preserve"> sinensis</w:t>
      </w:r>
      <w:r w:rsidRPr="003504F4">
        <w:rPr>
          <w:rFonts w:ascii="Arial" w:hAnsi="Arial" w:cs="Arial"/>
        </w:rPr>
        <w:t xml:space="preserve">, the relative density (d = 0.835) and refractive index (RI = 1.467) were slightly lower than the ranges specified by ISO 3140:2019. These deviations may be attributed to differences in extraction methods (cold expression for the ISO standard </w:t>
      </w:r>
      <w:r w:rsidR="00DE05A5">
        <w:rPr>
          <w:rFonts w:ascii="Arial" w:hAnsi="Arial" w:cs="Arial"/>
        </w:rPr>
        <w:t>and</w:t>
      </w:r>
      <w:r w:rsidRPr="003504F4">
        <w:rPr>
          <w:rFonts w:ascii="Arial" w:hAnsi="Arial" w:cs="Arial"/>
        </w:rPr>
        <w:t xml:space="preserve"> hydrodistillation in the present study) (Baser &amp; </w:t>
      </w:r>
      <w:proofErr w:type="spellStart"/>
      <w:r w:rsidRPr="003504F4">
        <w:rPr>
          <w:rFonts w:ascii="Arial" w:hAnsi="Arial" w:cs="Arial"/>
        </w:rPr>
        <w:t>Buchbauer</w:t>
      </w:r>
      <w:proofErr w:type="spellEnd"/>
      <w:r w:rsidRPr="003504F4">
        <w:rPr>
          <w:rFonts w:ascii="Arial" w:hAnsi="Arial" w:cs="Arial"/>
        </w:rPr>
        <w:t>, 2016). Ferhat et al. (2016) reported that refractive index and density values are generally lower in essential oils obtained by hydrodistillation compared to cold pressing. This difference c</w:t>
      </w:r>
      <w:r w:rsidR="00B308B2">
        <w:rPr>
          <w:rFonts w:ascii="Arial" w:hAnsi="Arial" w:cs="Arial"/>
        </w:rPr>
        <w:t xml:space="preserve">ould </w:t>
      </w:r>
      <w:r w:rsidRPr="003504F4">
        <w:rPr>
          <w:rFonts w:ascii="Arial" w:hAnsi="Arial" w:cs="Arial"/>
        </w:rPr>
        <w:t>be explained by the predominance of light and volatile compounds extracted under the influence of steam and heat, whereas cold pressing allows the co-extraction of heavier, non-volatile compounds (</w:t>
      </w:r>
      <w:proofErr w:type="spellStart"/>
      <w:r w:rsidRPr="003504F4">
        <w:rPr>
          <w:rFonts w:ascii="Arial" w:hAnsi="Arial" w:cs="Arial"/>
        </w:rPr>
        <w:t>Bozova</w:t>
      </w:r>
      <w:proofErr w:type="spellEnd"/>
      <w:r w:rsidRPr="003504F4">
        <w:rPr>
          <w:rFonts w:ascii="Arial" w:hAnsi="Arial" w:cs="Arial"/>
        </w:rPr>
        <w:t xml:space="preserve"> et al., 2024).</w:t>
      </w:r>
      <w:r w:rsidR="000E2C5F">
        <w:rPr>
          <w:rFonts w:ascii="Arial" w:hAnsi="Arial" w:cs="Arial"/>
        </w:rPr>
        <w:t xml:space="preserve"> </w:t>
      </w:r>
      <w:r w:rsidR="00072D53" w:rsidRPr="00072D53">
        <w:rPr>
          <w:rFonts w:ascii="Arial" w:hAnsi="Arial" w:cs="Arial"/>
        </w:rPr>
        <w:t>Acid and ester values are not specified by the ISO standard (Table 2). However, a low acid value (AV = 2) may suggest that the oil is only slightly oxidized (</w:t>
      </w:r>
      <w:proofErr w:type="spellStart"/>
      <w:r w:rsidR="00072D53" w:rsidRPr="00072D53">
        <w:rPr>
          <w:rFonts w:ascii="Arial" w:hAnsi="Arial" w:cs="Arial"/>
        </w:rPr>
        <w:t>Ungo</w:t>
      </w:r>
      <w:proofErr w:type="spellEnd"/>
      <w:r w:rsidR="00072D53" w:rsidRPr="00072D53">
        <w:rPr>
          <w:rFonts w:ascii="Arial" w:hAnsi="Arial" w:cs="Arial"/>
        </w:rPr>
        <w:t xml:space="preserve">-Kore et al., 2021), while an ester value (EV = 25) indicates a rich aromatic composition suitable for applications in perfumery and aromatherapy (Sharmeen et al., 2021). The acid value of </w:t>
      </w:r>
      <w:r w:rsidR="00072D53" w:rsidRPr="00072D53">
        <w:rPr>
          <w:rFonts w:ascii="Arial" w:hAnsi="Arial" w:cs="Arial"/>
          <w:i/>
          <w:iCs/>
        </w:rPr>
        <w:t>C. sinensis</w:t>
      </w:r>
      <w:r w:rsidR="00072D53" w:rsidRPr="00072D53">
        <w:rPr>
          <w:rFonts w:ascii="Arial" w:hAnsi="Arial" w:cs="Arial"/>
        </w:rPr>
        <w:t xml:space="preserve"> essential oil is highly sensitive to light and temperature and can increase rapidly if these parameters are not controlled (Mahanta et al., 2021</w:t>
      </w:r>
      <w:r w:rsidR="000E2C5F" w:rsidRPr="00072D53">
        <w:rPr>
          <w:rFonts w:ascii="Arial" w:hAnsi="Arial" w:cs="Arial"/>
        </w:rPr>
        <w:t xml:space="preserve">). </w:t>
      </w:r>
    </w:p>
    <w:p w14:paraId="764C4340" w14:textId="141EDEDE" w:rsidR="00072D53" w:rsidRDefault="00072D53" w:rsidP="00BA4D3B">
      <w:pPr>
        <w:pStyle w:val="Body"/>
        <w:spacing w:after="0"/>
        <w:rPr>
          <w:rFonts w:ascii="Arial" w:hAnsi="Arial" w:cs="Arial"/>
        </w:rPr>
      </w:pPr>
      <w:r w:rsidRPr="00072D53">
        <w:rPr>
          <w:rFonts w:ascii="Arial" w:hAnsi="Arial" w:cs="Arial"/>
        </w:rPr>
        <w:t xml:space="preserve">The essential oil of </w:t>
      </w:r>
      <w:r w:rsidRPr="000E2C5F">
        <w:rPr>
          <w:rFonts w:ascii="Arial" w:hAnsi="Arial" w:cs="Arial"/>
          <w:i/>
          <w:iCs/>
        </w:rPr>
        <w:t>C</w:t>
      </w:r>
      <w:r w:rsidR="00DE05A5">
        <w:rPr>
          <w:rFonts w:ascii="Arial" w:hAnsi="Arial" w:cs="Arial"/>
          <w:i/>
          <w:iCs/>
        </w:rPr>
        <w:t>.</w:t>
      </w:r>
      <w:r w:rsidRPr="000E2C5F">
        <w:rPr>
          <w:rFonts w:ascii="Arial" w:hAnsi="Arial" w:cs="Arial"/>
          <w:i/>
          <w:iCs/>
        </w:rPr>
        <w:t xml:space="preserve"> aurantifolia</w:t>
      </w:r>
      <w:r w:rsidRPr="00072D53">
        <w:rPr>
          <w:rFonts w:ascii="Arial" w:hAnsi="Arial" w:cs="Arial"/>
        </w:rPr>
        <w:t xml:space="preserve"> exhibited a high acid value (AV = 11.11) compared to the ISO 3519/3809 standard. This result may indicate advanced oxidation, reflecting the strong sensitivity of citrus essential oils to air and light (Jain et al., 2020). The ester value (EV = 30.05) is not specified by ISO standards; however, it appears consistent with the AFNOR standard, which ranges between 20 and 40 mg KOH/g. Such a value suggests preservation of the aromatic profile of the essential oil (Yadav, 2021).</w:t>
      </w:r>
      <w:r w:rsidR="000E2C5F">
        <w:rPr>
          <w:rFonts w:ascii="Arial" w:hAnsi="Arial" w:cs="Arial"/>
        </w:rPr>
        <w:t xml:space="preserve"> </w:t>
      </w:r>
      <w:r w:rsidRPr="00072D53">
        <w:rPr>
          <w:rFonts w:ascii="Arial" w:hAnsi="Arial" w:cs="Arial"/>
        </w:rPr>
        <w:t xml:space="preserve">The low refractive index (RI = 1.3949) measured may signify a modification of the chemical composition of the oil, likely linked to the loss of volatile compounds (Meryem et al., 2023; </w:t>
      </w:r>
      <w:proofErr w:type="spellStart"/>
      <w:r w:rsidRPr="00072D53">
        <w:rPr>
          <w:rFonts w:ascii="Arial" w:hAnsi="Arial" w:cs="Arial"/>
        </w:rPr>
        <w:t>Aprisza</w:t>
      </w:r>
      <w:proofErr w:type="spellEnd"/>
      <w:r w:rsidRPr="00072D53">
        <w:rPr>
          <w:rFonts w:ascii="Arial" w:hAnsi="Arial" w:cs="Arial"/>
        </w:rPr>
        <w:t xml:space="preserve"> et al., 2025). In contrast, the relative density (d = 0.861) falls within the ISO range, confirming the absence of heavy contaminants or non-volatile solvents.</w:t>
      </w:r>
      <w:r w:rsidR="005B0879">
        <w:rPr>
          <w:rFonts w:ascii="Arial" w:hAnsi="Arial" w:cs="Arial"/>
        </w:rPr>
        <w:t xml:space="preserve"> </w:t>
      </w:r>
      <w:r w:rsidRPr="00072D53">
        <w:rPr>
          <w:rFonts w:ascii="Arial" w:hAnsi="Arial" w:cs="Arial"/>
        </w:rPr>
        <w:t>Taken together, these results suggest that the essential oil has undergone moderate chemical degradation, probably related to extraction or storage conditions.</w:t>
      </w:r>
    </w:p>
    <w:p w14:paraId="7E45DBEC" w14:textId="0A5BB0AF" w:rsidR="00B308B2" w:rsidRPr="00072D53" w:rsidRDefault="00B308B2" w:rsidP="00BA4D3B">
      <w:pPr>
        <w:pStyle w:val="Body"/>
        <w:spacing w:after="0"/>
        <w:rPr>
          <w:rFonts w:ascii="Arial" w:hAnsi="Arial" w:cs="Arial"/>
        </w:rPr>
      </w:pPr>
      <w:r w:rsidRPr="00B308B2">
        <w:rPr>
          <w:rFonts w:ascii="Arial" w:hAnsi="Arial" w:cs="Arial"/>
        </w:rPr>
        <w:t xml:space="preserve">The density and refractive index of </w:t>
      </w:r>
      <w:r w:rsidRPr="00B308B2">
        <w:rPr>
          <w:rFonts w:ascii="Arial" w:hAnsi="Arial" w:cs="Arial"/>
          <w:i/>
          <w:iCs/>
        </w:rPr>
        <w:t>C</w:t>
      </w:r>
      <w:r>
        <w:rPr>
          <w:rFonts w:ascii="Arial" w:hAnsi="Arial" w:cs="Arial"/>
          <w:i/>
          <w:iCs/>
        </w:rPr>
        <w:t>.</w:t>
      </w:r>
      <w:r w:rsidRPr="00B308B2">
        <w:rPr>
          <w:rFonts w:ascii="Arial" w:hAnsi="Arial" w:cs="Arial"/>
          <w:i/>
          <w:iCs/>
        </w:rPr>
        <w:t xml:space="preserve"> sinensis</w:t>
      </w:r>
      <w:r w:rsidRPr="00B308B2">
        <w:rPr>
          <w:rFonts w:ascii="Arial" w:hAnsi="Arial" w:cs="Arial"/>
        </w:rPr>
        <w:t xml:space="preserve"> essential oil exhibit variations in the literature depending on the geographical regions studied. In Algeria, a density of 0.849 was reported (Ferhat et al., 2016), whereas in Turkey a value of 0.8315 was observed (</w:t>
      </w:r>
      <w:proofErr w:type="spellStart"/>
      <w:r w:rsidRPr="00B308B2">
        <w:rPr>
          <w:rFonts w:ascii="Arial" w:hAnsi="Arial" w:cs="Arial"/>
        </w:rPr>
        <w:t>Bozova</w:t>
      </w:r>
      <w:proofErr w:type="spellEnd"/>
      <w:r w:rsidRPr="00B308B2">
        <w:rPr>
          <w:rFonts w:ascii="Arial" w:hAnsi="Arial" w:cs="Arial"/>
        </w:rPr>
        <w:t xml:space="preserve"> et al., 2024). The corresponding refractive indices were 1.474 and 1.4725, respectively. For </w:t>
      </w:r>
      <w:r w:rsidRPr="00B308B2">
        <w:rPr>
          <w:rFonts w:ascii="Arial" w:hAnsi="Arial" w:cs="Arial"/>
          <w:i/>
          <w:iCs/>
        </w:rPr>
        <w:t>C</w:t>
      </w:r>
      <w:r>
        <w:rPr>
          <w:rFonts w:ascii="Arial" w:hAnsi="Arial" w:cs="Arial"/>
          <w:i/>
          <w:iCs/>
        </w:rPr>
        <w:t>.</w:t>
      </w:r>
      <w:r w:rsidRPr="00B308B2">
        <w:rPr>
          <w:rFonts w:ascii="Arial" w:hAnsi="Arial" w:cs="Arial"/>
          <w:i/>
          <w:iCs/>
        </w:rPr>
        <w:t xml:space="preserve"> aurantifolia</w:t>
      </w:r>
      <w:r w:rsidRPr="00B308B2">
        <w:rPr>
          <w:rFonts w:ascii="Arial" w:hAnsi="Arial" w:cs="Arial"/>
        </w:rPr>
        <w:t xml:space="preserve"> essential oil, Oussou et al. (2017), in a study conducted in Côte d’Ivoire, reported a density of 0.863 and a refractive index of 1.464. These findings highlight the variability of the physicochemical parameters of essential oils, which are strongly influenced by the geographical origin of the samples as well as the extraction conditions (</w:t>
      </w:r>
      <w:proofErr w:type="spellStart"/>
      <w:r w:rsidRPr="00B308B2">
        <w:rPr>
          <w:rFonts w:ascii="Arial" w:hAnsi="Arial" w:cs="Arial"/>
        </w:rPr>
        <w:t>Boughendjioua</w:t>
      </w:r>
      <w:proofErr w:type="spellEnd"/>
      <w:r w:rsidRPr="00B308B2">
        <w:rPr>
          <w:rFonts w:ascii="Arial" w:hAnsi="Arial" w:cs="Arial"/>
        </w:rPr>
        <w:t xml:space="preserve"> &amp; </w:t>
      </w:r>
      <w:proofErr w:type="spellStart"/>
      <w:r w:rsidRPr="00B308B2">
        <w:rPr>
          <w:rFonts w:ascii="Arial" w:hAnsi="Arial" w:cs="Arial"/>
        </w:rPr>
        <w:t>Djeddi</w:t>
      </w:r>
      <w:proofErr w:type="spellEnd"/>
      <w:r w:rsidRPr="00B308B2">
        <w:rPr>
          <w:rFonts w:ascii="Arial" w:hAnsi="Arial" w:cs="Arial"/>
        </w:rPr>
        <w:t xml:space="preserve">, 2017; </w:t>
      </w:r>
      <w:proofErr w:type="spellStart"/>
      <w:r w:rsidRPr="00B308B2">
        <w:rPr>
          <w:rFonts w:ascii="Arial" w:hAnsi="Arial" w:cs="Arial"/>
        </w:rPr>
        <w:t>Gölükc</w:t>
      </w:r>
      <w:proofErr w:type="spellEnd"/>
      <w:r w:rsidRPr="00B308B2">
        <w:rPr>
          <w:rFonts w:ascii="Arial" w:hAnsi="Arial" w:cs="Arial"/>
        </w:rPr>
        <w:t xml:space="preserve"> et al., 2024). In contrast, the acid and ester indices of these essential oils remain insufficiently documented in the literature.</w:t>
      </w:r>
    </w:p>
    <w:p w14:paraId="1B1B95EE" w14:textId="5240DF87" w:rsidR="00072D53" w:rsidRDefault="00072D53" w:rsidP="00072D53">
      <w:pPr>
        <w:pStyle w:val="Body"/>
        <w:spacing w:after="0"/>
        <w:rPr>
          <w:rFonts w:ascii="Arial" w:hAnsi="Arial" w:cs="Arial"/>
        </w:rPr>
      </w:pPr>
      <w:r w:rsidRPr="00072D53">
        <w:rPr>
          <w:rFonts w:ascii="Arial" w:hAnsi="Arial" w:cs="Arial"/>
        </w:rPr>
        <w:t xml:space="preserve">The antifungal activity results show that the essential oil of </w:t>
      </w:r>
      <w:r w:rsidRPr="00BA4D3B">
        <w:rPr>
          <w:rFonts w:ascii="Arial" w:hAnsi="Arial" w:cs="Arial"/>
          <w:i/>
          <w:iCs/>
        </w:rPr>
        <w:t>C</w:t>
      </w:r>
      <w:r w:rsidR="00DE05A5">
        <w:rPr>
          <w:rFonts w:ascii="Arial" w:hAnsi="Arial" w:cs="Arial"/>
          <w:i/>
          <w:iCs/>
        </w:rPr>
        <w:t>.</w:t>
      </w:r>
      <w:r w:rsidRPr="00BA4D3B">
        <w:rPr>
          <w:rFonts w:ascii="Arial" w:hAnsi="Arial" w:cs="Arial"/>
          <w:i/>
          <w:iCs/>
        </w:rPr>
        <w:t xml:space="preserve"> aurantifolia</w:t>
      </w:r>
      <w:r w:rsidRPr="00072D53">
        <w:rPr>
          <w:rFonts w:ascii="Arial" w:hAnsi="Arial" w:cs="Arial"/>
        </w:rPr>
        <w:t xml:space="preserve"> is particularly effective against </w:t>
      </w:r>
      <w:r w:rsidRPr="00BA4D3B">
        <w:rPr>
          <w:rFonts w:ascii="Arial" w:hAnsi="Arial" w:cs="Arial"/>
          <w:i/>
          <w:iCs/>
        </w:rPr>
        <w:t>A. flavus</w:t>
      </w:r>
      <w:r w:rsidRPr="00072D53">
        <w:rPr>
          <w:rFonts w:ascii="Arial" w:hAnsi="Arial" w:cs="Arial"/>
        </w:rPr>
        <w:t>, with complete inhibition observed at 25 </w:t>
      </w:r>
      <w:r w:rsidR="009242E5">
        <w:rPr>
          <w:rFonts w:ascii="Arial" w:hAnsi="Arial" w:cs="Arial"/>
        </w:rPr>
        <w:t>µL mL</w:t>
      </w:r>
      <w:r w:rsidR="009242E5">
        <w:rPr>
          <w:rFonts w:ascii="Cambria Math" w:hAnsi="Cambria Math" w:cs="Cambria Math"/>
        </w:rPr>
        <w:t>⁻</w:t>
      </w:r>
      <w:r w:rsidR="009242E5">
        <w:rPr>
          <w:rFonts w:ascii="Arial" w:hAnsi="Arial" w:cs="Arial"/>
        </w:rPr>
        <w:t>¹</w:t>
      </w:r>
      <w:r w:rsidRPr="00072D53">
        <w:rPr>
          <w:rFonts w:ascii="Arial" w:hAnsi="Arial" w:cs="Arial"/>
        </w:rPr>
        <w:t xml:space="preserve">. Similar conclusions were reached by Mansour et al. (2021), who demonstrated that the oils of </w:t>
      </w:r>
      <w:r w:rsidRPr="00BA4D3B">
        <w:rPr>
          <w:rFonts w:ascii="Arial" w:hAnsi="Arial" w:cs="Arial"/>
          <w:i/>
          <w:iCs/>
        </w:rPr>
        <w:t>C. aurantifolia</w:t>
      </w:r>
      <w:r w:rsidRPr="00072D53">
        <w:rPr>
          <w:rFonts w:ascii="Arial" w:hAnsi="Arial" w:cs="Arial"/>
        </w:rPr>
        <w:t xml:space="preserve"> and </w:t>
      </w:r>
      <w:r w:rsidRPr="00BA4D3B">
        <w:rPr>
          <w:rFonts w:ascii="Arial" w:hAnsi="Arial" w:cs="Arial"/>
          <w:i/>
          <w:iCs/>
        </w:rPr>
        <w:t>C. reticulata</w:t>
      </w:r>
      <w:r w:rsidRPr="00072D53">
        <w:rPr>
          <w:rFonts w:ascii="Arial" w:hAnsi="Arial" w:cs="Arial"/>
        </w:rPr>
        <w:t xml:space="preserve"> exhibited strong antifungal activity against Aspergillus species. In contrast, the essential oil of </w:t>
      </w:r>
      <w:r w:rsidRPr="00BA4D3B">
        <w:rPr>
          <w:rFonts w:ascii="Arial" w:hAnsi="Arial" w:cs="Arial"/>
          <w:i/>
          <w:iCs/>
        </w:rPr>
        <w:t>C. sinensis</w:t>
      </w:r>
      <w:r w:rsidRPr="00072D53">
        <w:rPr>
          <w:rFonts w:ascii="Arial" w:hAnsi="Arial" w:cs="Arial"/>
        </w:rPr>
        <w:t xml:space="preserve"> inhibited the growth of </w:t>
      </w:r>
      <w:r w:rsidRPr="00BA4D3B">
        <w:rPr>
          <w:rFonts w:ascii="Arial" w:hAnsi="Arial" w:cs="Arial"/>
          <w:i/>
          <w:iCs/>
        </w:rPr>
        <w:t>A. flavus</w:t>
      </w:r>
      <w:r w:rsidRPr="00072D53">
        <w:rPr>
          <w:rFonts w:ascii="Arial" w:hAnsi="Arial" w:cs="Arial"/>
        </w:rPr>
        <w:t xml:space="preserve"> and </w:t>
      </w:r>
      <w:r w:rsidRPr="00BA4D3B">
        <w:rPr>
          <w:rFonts w:ascii="Arial" w:hAnsi="Arial" w:cs="Arial"/>
          <w:i/>
          <w:iCs/>
        </w:rPr>
        <w:t xml:space="preserve">A. </w:t>
      </w:r>
      <w:proofErr w:type="spellStart"/>
      <w:r w:rsidRPr="00BA4D3B">
        <w:rPr>
          <w:rFonts w:ascii="Arial" w:hAnsi="Arial" w:cs="Arial"/>
          <w:i/>
          <w:iCs/>
        </w:rPr>
        <w:t>niger</w:t>
      </w:r>
      <w:proofErr w:type="spellEnd"/>
      <w:r w:rsidRPr="00072D53">
        <w:rPr>
          <w:rFonts w:ascii="Arial" w:hAnsi="Arial" w:cs="Arial"/>
        </w:rPr>
        <w:t xml:space="preserve">, but with higher MIC values compared to </w:t>
      </w:r>
      <w:r w:rsidRPr="00BA4D3B">
        <w:rPr>
          <w:rFonts w:ascii="Arial" w:hAnsi="Arial" w:cs="Arial"/>
          <w:i/>
          <w:iCs/>
        </w:rPr>
        <w:t xml:space="preserve">C. </w:t>
      </w:r>
      <w:proofErr w:type="spellStart"/>
      <w:r w:rsidRPr="00BA4D3B">
        <w:rPr>
          <w:rFonts w:ascii="Arial" w:hAnsi="Arial" w:cs="Arial"/>
          <w:i/>
          <w:iCs/>
        </w:rPr>
        <w:t>aurantifolia</w:t>
      </w:r>
      <w:proofErr w:type="spellEnd"/>
      <w:r w:rsidRPr="00072D53">
        <w:rPr>
          <w:rFonts w:ascii="Arial" w:hAnsi="Arial" w:cs="Arial"/>
        </w:rPr>
        <w:t xml:space="preserve"> (</w:t>
      </w:r>
      <w:proofErr w:type="spellStart"/>
      <w:r w:rsidRPr="00072D53">
        <w:rPr>
          <w:rFonts w:ascii="Arial" w:hAnsi="Arial" w:cs="Arial"/>
        </w:rPr>
        <w:t>Elgat</w:t>
      </w:r>
      <w:proofErr w:type="spellEnd"/>
      <w:r w:rsidRPr="00072D53">
        <w:rPr>
          <w:rFonts w:ascii="Arial" w:hAnsi="Arial" w:cs="Arial"/>
        </w:rPr>
        <w:t xml:space="preserve"> et al., 2020). These authors attributed the difference in efficacy to chemical composition, noting that </w:t>
      </w:r>
      <w:r w:rsidRPr="00BA4D3B">
        <w:rPr>
          <w:rFonts w:ascii="Arial" w:hAnsi="Arial" w:cs="Arial"/>
          <w:i/>
          <w:iCs/>
        </w:rPr>
        <w:t>C. sinensis</w:t>
      </w:r>
      <w:r w:rsidRPr="00072D53">
        <w:rPr>
          <w:rFonts w:ascii="Arial" w:hAnsi="Arial" w:cs="Arial"/>
        </w:rPr>
        <w:t xml:space="preserve"> oil contains fewer oxygenated compounds, which are often responsible for antifungal activity.</w:t>
      </w:r>
    </w:p>
    <w:p w14:paraId="5053F521" w14:textId="1B8466A1" w:rsidR="00BA4D3B" w:rsidRDefault="00BA4D3B" w:rsidP="00EF12DD">
      <w:pPr>
        <w:pStyle w:val="ConcHead"/>
        <w:spacing w:after="0"/>
        <w:jc w:val="both"/>
        <w:rPr>
          <w:rFonts w:ascii="Arial" w:hAnsi="Arial" w:cs="Arial"/>
          <w:b w:val="0"/>
          <w:caps w:val="0"/>
          <w:sz w:val="20"/>
        </w:rPr>
      </w:pPr>
      <w:r w:rsidRPr="00BA4D3B">
        <w:rPr>
          <w:rFonts w:ascii="Arial" w:hAnsi="Arial" w:cs="Arial"/>
          <w:b w:val="0"/>
          <w:caps w:val="0"/>
          <w:sz w:val="20"/>
        </w:rPr>
        <w:t xml:space="preserve">The combination of the two essential oils did not significantly enhance activity against either strain, which contrasts with the findings of Rashid (2024), who reported that mixtures of </w:t>
      </w:r>
      <w:r w:rsidRPr="00BA4D3B">
        <w:rPr>
          <w:rFonts w:ascii="Arial" w:hAnsi="Arial" w:cs="Arial"/>
          <w:b w:val="0"/>
          <w:i/>
          <w:iCs/>
          <w:caps w:val="0"/>
          <w:sz w:val="20"/>
        </w:rPr>
        <w:t>C. sinensis, C. reticulata</w:t>
      </w:r>
      <w:r w:rsidRPr="00BA4D3B">
        <w:rPr>
          <w:rFonts w:ascii="Arial" w:hAnsi="Arial" w:cs="Arial"/>
          <w:b w:val="0"/>
          <w:caps w:val="0"/>
          <w:sz w:val="20"/>
        </w:rPr>
        <w:t xml:space="preserve">, and </w:t>
      </w:r>
      <w:r w:rsidRPr="00BA4D3B">
        <w:rPr>
          <w:rFonts w:ascii="Arial" w:hAnsi="Arial" w:cs="Arial"/>
          <w:b w:val="0"/>
          <w:i/>
          <w:iCs/>
          <w:caps w:val="0"/>
          <w:sz w:val="20"/>
        </w:rPr>
        <w:t>C. lemon</w:t>
      </w:r>
      <w:r w:rsidRPr="00BA4D3B">
        <w:rPr>
          <w:rFonts w:ascii="Arial" w:hAnsi="Arial" w:cs="Arial"/>
          <w:b w:val="0"/>
          <w:caps w:val="0"/>
          <w:sz w:val="20"/>
        </w:rPr>
        <w:t xml:space="preserve"> oils exhibited stronger antifungal activity than individual oils. Similarly, Yuan et al. (2024) observed that combinations of essential oils increased efficacy, suggesting additive or synergistic </w:t>
      </w:r>
      <w:r w:rsidR="005B0879" w:rsidRPr="00BA4D3B">
        <w:rPr>
          <w:rFonts w:ascii="Arial" w:hAnsi="Arial" w:cs="Arial"/>
          <w:b w:val="0"/>
          <w:caps w:val="0"/>
          <w:sz w:val="20"/>
        </w:rPr>
        <w:t>effects. The</w:t>
      </w:r>
      <w:r w:rsidRPr="00BA4D3B">
        <w:rPr>
          <w:rFonts w:ascii="Arial" w:hAnsi="Arial" w:cs="Arial"/>
          <w:b w:val="0"/>
          <w:caps w:val="0"/>
          <w:sz w:val="20"/>
        </w:rPr>
        <w:t xml:space="preserve"> MIC and MFC values obtained in this study (20–45 </w:t>
      </w:r>
      <w:r w:rsidR="009242E5">
        <w:rPr>
          <w:rFonts w:ascii="Arial" w:hAnsi="Arial" w:cs="Arial"/>
          <w:b w:val="0"/>
          <w:caps w:val="0"/>
          <w:sz w:val="20"/>
        </w:rPr>
        <w:t>µL mL</w:t>
      </w:r>
      <w:r w:rsidR="009242E5">
        <w:rPr>
          <w:rFonts w:ascii="Cambria Math" w:hAnsi="Cambria Math" w:cs="Cambria Math"/>
          <w:b w:val="0"/>
          <w:caps w:val="0"/>
          <w:sz w:val="20"/>
        </w:rPr>
        <w:t>⁻</w:t>
      </w:r>
      <w:r w:rsidR="009242E5">
        <w:rPr>
          <w:rFonts w:ascii="Arial" w:hAnsi="Arial" w:cs="Arial"/>
          <w:b w:val="0"/>
          <w:caps w:val="0"/>
          <w:sz w:val="20"/>
        </w:rPr>
        <w:t>¹</w:t>
      </w:r>
      <w:r w:rsidRPr="00BA4D3B">
        <w:rPr>
          <w:rFonts w:ascii="Arial" w:hAnsi="Arial" w:cs="Arial"/>
          <w:b w:val="0"/>
          <w:caps w:val="0"/>
          <w:sz w:val="20"/>
        </w:rPr>
        <w:t xml:space="preserve"> for MICs and &gt; 50 </w:t>
      </w:r>
      <w:r w:rsidR="009242E5">
        <w:rPr>
          <w:rFonts w:ascii="Arial" w:hAnsi="Arial" w:cs="Arial"/>
          <w:b w:val="0"/>
          <w:caps w:val="0"/>
          <w:sz w:val="20"/>
        </w:rPr>
        <w:t>µL mL</w:t>
      </w:r>
      <w:r w:rsidR="009242E5">
        <w:rPr>
          <w:rFonts w:ascii="Cambria Math" w:hAnsi="Cambria Math" w:cs="Cambria Math"/>
          <w:b w:val="0"/>
          <w:caps w:val="0"/>
          <w:sz w:val="20"/>
        </w:rPr>
        <w:t>⁻</w:t>
      </w:r>
      <w:r w:rsidR="009242E5">
        <w:rPr>
          <w:rFonts w:ascii="Arial" w:hAnsi="Arial" w:cs="Arial"/>
          <w:b w:val="0"/>
          <w:caps w:val="0"/>
          <w:sz w:val="20"/>
        </w:rPr>
        <w:t>¹</w:t>
      </w:r>
      <w:r w:rsidRPr="00BA4D3B">
        <w:rPr>
          <w:rFonts w:ascii="Arial" w:hAnsi="Arial" w:cs="Arial"/>
          <w:b w:val="0"/>
          <w:caps w:val="0"/>
          <w:sz w:val="20"/>
        </w:rPr>
        <w:t xml:space="preserve"> for MFCs) are comparable to those reported by </w:t>
      </w:r>
      <w:proofErr w:type="spellStart"/>
      <w:r w:rsidRPr="00BA4D3B">
        <w:rPr>
          <w:rFonts w:ascii="Arial" w:hAnsi="Arial" w:cs="Arial"/>
          <w:b w:val="0"/>
          <w:caps w:val="0"/>
          <w:sz w:val="20"/>
        </w:rPr>
        <w:t>Allizond</w:t>
      </w:r>
      <w:proofErr w:type="spellEnd"/>
      <w:r w:rsidRPr="00BA4D3B">
        <w:rPr>
          <w:rFonts w:ascii="Arial" w:hAnsi="Arial" w:cs="Arial"/>
          <w:b w:val="0"/>
          <w:caps w:val="0"/>
          <w:sz w:val="20"/>
        </w:rPr>
        <w:t xml:space="preserve"> et al. (2023) against resistant clinical strains of Aspergillus. These authors showed that MICs generally ranged between 15 and 50 </w:t>
      </w:r>
      <w:r w:rsidR="009242E5">
        <w:rPr>
          <w:rFonts w:ascii="Arial" w:hAnsi="Arial" w:cs="Arial"/>
          <w:b w:val="0"/>
          <w:caps w:val="0"/>
          <w:sz w:val="20"/>
        </w:rPr>
        <w:t>µL mL</w:t>
      </w:r>
      <w:r w:rsidR="009242E5">
        <w:rPr>
          <w:rFonts w:ascii="Cambria Math" w:hAnsi="Cambria Math" w:cs="Cambria Math"/>
          <w:b w:val="0"/>
          <w:caps w:val="0"/>
          <w:sz w:val="20"/>
        </w:rPr>
        <w:t>⁻</w:t>
      </w:r>
      <w:r w:rsidR="009242E5">
        <w:rPr>
          <w:rFonts w:ascii="Arial" w:hAnsi="Arial" w:cs="Arial"/>
          <w:b w:val="0"/>
          <w:caps w:val="0"/>
          <w:sz w:val="20"/>
        </w:rPr>
        <w:t>¹</w:t>
      </w:r>
      <w:r w:rsidRPr="00BA4D3B">
        <w:rPr>
          <w:rFonts w:ascii="Arial" w:hAnsi="Arial" w:cs="Arial"/>
          <w:b w:val="0"/>
          <w:caps w:val="0"/>
          <w:sz w:val="20"/>
        </w:rPr>
        <w:t xml:space="preserve"> depending on the oil and strain tested. The strong efficacy of </w:t>
      </w:r>
      <w:r w:rsidRPr="00BA4D3B">
        <w:rPr>
          <w:rFonts w:ascii="Arial" w:hAnsi="Arial" w:cs="Arial"/>
          <w:b w:val="0"/>
          <w:i/>
          <w:iCs/>
          <w:caps w:val="0"/>
          <w:sz w:val="20"/>
        </w:rPr>
        <w:t>C. aurantifolia</w:t>
      </w:r>
      <w:r w:rsidRPr="00BA4D3B">
        <w:rPr>
          <w:rFonts w:ascii="Arial" w:hAnsi="Arial" w:cs="Arial"/>
          <w:b w:val="0"/>
          <w:caps w:val="0"/>
          <w:sz w:val="20"/>
        </w:rPr>
        <w:t xml:space="preserve"> against </w:t>
      </w:r>
      <w:r w:rsidRPr="00BA4D3B">
        <w:rPr>
          <w:rFonts w:ascii="Arial" w:hAnsi="Arial" w:cs="Arial"/>
          <w:b w:val="0"/>
          <w:i/>
          <w:iCs/>
          <w:caps w:val="0"/>
          <w:sz w:val="20"/>
        </w:rPr>
        <w:t xml:space="preserve">A. </w:t>
      </w:r>
      <w:r w:rsidRPr="00BA4D3B">
        <w:rPr>
          <w:rFonts w:ascii="Arial" w:hAnsi="Arial" w:cs="Arial"/>
          <w:b w:val="0"/>
          <w:i/>
          <w:iCs/>
          <w:caps w:val="0"/>
          <w:sz w:val="20"/>
        </w:rPr>
        <w:lastRenderedPageBreak/>
        <w:t>flavus</w:t>
      </w:r>
      <w:r w:rsidRPr="00BA4D3B">
        <w:rPr>
          <w:rFonts w:ascii="Arial" w:hAnsi="Arial" w:cs="Arial"/>
          <w:b w:val="0"/>
          <w:caps w:val="0"/>
          <w:sz w:val="20"/>
        </w:rPr>
        <w:t xml:space="preserve"> (MIC = 20 </w:t>
      </w:r>
      <w:r w:rsidR="009242E5">
        <w:rPr>
          <w:rFonts w:ascii="Arial" w:hAnsi="Arial" w:cs="Arial"/>
          <w:b w:val="0"/>
          <w:caps w:val="0"/>
          <w:sz w:val="20"/>
        </w:rPr>
        <w:t>µL mL</w:t>
      </w:r>
      <w:r w:rsidR="009242E5">
        <w:rPr>
          <w:rFonts w:ascii="Cambria Math" w:hAnsi="Cambria Math" w:cs="Cambria Math"/>
          <w:b w:val="0"/>
          <w:caps w:val="0"/>
          <w:sz w:val="20"/>
        </w:rPr>
        <w:t>⁻</w:t>
      </w:r>
      <w:r w:rsidR="009242E5">
        <w:rPr>
          <w:rFonts w:ascii="Arial" w:hAnsi="Arial" w:cs="Arial"/>
          <w:b w:val="0"/>
          <w:caps w:val="0"/>
          <w:sz w:val="20"/>
        </w:rPr>
        <w:t>¹</w:t>
      </w:r>
      <w:r w:rsidRPr="00BA4D3B">
        <w:rPr>
          <w:rFonts w:ascii="Arial" w:hAnsi="Arial" w:cs="Arial"/>
          <w:b w:val="0"/>
          <w:caps w:val="0"/>
          <w:sz w:val="20"/>
        </w:rPr>
        <w:t>) confirms that certain citrus essential oils may represent promising natural alternatives to synthetic antifungal agents (</w:t>
      </w:r>
      <w:proofErr w:type="spellStart"/>
      <w:r w:rsidRPr="00BA4D3B">
        <w:rPr>
          <w:rFonts w:ascii="Arial" w:hAnsi="Arial" w:cs="Arial"/>
          <w:b w:val="0"/>
          <w:caps w:val="0"/>
          <w:sz w:val="20"/>
        </w:rPr>
        <w:t>Gharzouli</w:t>
      </w:r>
      <w:proofErr w:type="spellEnd"/>
      <w:r w:rsidRPr="00BA4D3B">
        <w:rPr>
          <w:rFonts w:ascii="Arial" w:hAnsi="Arial" w:cs="Arial"/>
          <w:b w:val="0"/>
          <w:caps w:val="0"/>
          <w:sz w:val="20"/>
        </w:rPr>
        <w:t xml:space="preserve"> et al., 2024).</w:t>
      </w:r>
    </w:p>
    <w:p w14:paraId="02412A39" w14:textId="5AA8E484" w:rsidR="00AE16D5" w:rsidRDefault="00AE16D5" w:rsidP="00EF12DD">
      <w:pPr>
        <w:pStyle w:val="ConcHead"/>
        <w:spacing w:after="0"/>
        <w:jc w:val="both"/>
        <w:rPr>
          <w:rFonts w:ascii="Arial" w:hAnsi="Arial" w:cs="Arial"/>
          <w:b w:val="0"/>
          <w:caps w:val="0"/>
          <w:sz w:val="20"/>
        </w:rPr>
      </w:pPr>
      <w:r w:rsidRPr="00AE16D5">
        <w:rPr>
          <w:rFonts w:ascii="Arial" w:hAnsi="Arial" w:cs="Arial"/>
          <w:b w:val="0"/>
          <w:caps w:val="0"/>
          <w:sz w:val="20"/>
        </w:rPr>
        <w:t xml:space="preserve">The mechanism of action of citrus essential oils on molds is not yet well established. However, according to several </w:t>
      </w:r>
      <w:r>
        <w:rPr>
          <w:rFonts w:ascii="Arial" w:hAnsi="Arial" w:cs="Arial"/>
          <w:b w:val="0"/>
          <w:caps w:val="0"/>
          <w:sz w:val="20"/>
        </w:rPr>
        <w:t>studies</w:t>
      </w:r>
      <w:r w:rsidRPr="00AE16D5">
        <w:rPr>
          <w:rFonts w:ascii="Arial" w:hAnsi="Arial" w:cs="Arial"/>
          <w:b w:val="0"/>
          <w:caps w:val="0"/>
          <w:sz w:val="20"/>
        </w:rPr>
        <w:t xml:space="preserve">, some major compounds of these oils, such as limonene and </w:t>
      </w:r>
      <w:proofErr w:type="spellStart"/>
      <w:r w:rsidRPr="00AE16D5">
        <w:rPr>
          <w:rFonts w:ascii="Arial" w:hAnsi="Arial" w:cs="Arial"/>
          <w:b w:val="0"/>
          <w:caps w:val="0"/>
          <w:sz w:val="20"/>
        </w:rPr>
        <w:t>citral</w:t>
      </w:r>
      <w:proofErr w:type="spellEnd"/>
      <w:r w:rsidRPr="00AE16D5">
        <w:rPr>
          <w:rFonts w:ascii="Arial" w:hAnsi="Arial" w:cs="Arial"/>
          <w:b w:val="0"/>
          <w:caps w:val="0"/>
          <w:sz w:val="20"/>
        </w:rPr>
        <w:t>, may insert into the fungal cell membrane and cause alterations in membrane permeability (</w:t>
      </w:r>
      <w:proofErr w:type="spellStart"/>
      <w:r w:rsidRPr="00AE16D5">
        <w:rPr>
          <w:rFonts w:ascii="Arial" w:hAnsi="Arial" w:cs="Arial"/>
          <w:b w:val="0"/>
          <w:caps w:val="0"/>
          <w:sz w:val="20"/>
        </w:rPr>
        <w:t>Elgat</w:t>
      </w:r>
      <w:proofErr w:type="spellEnd"/>
      <w:r w:rsidRPr="00AE16D5">
        <w:rPr>
          <w:rFonts w:ascii="Arial" w:hAnsi="Arial" w:cs="Arial"/>
          <w:b w:val="0"/>
          <w:caps w:val="0"/>
          <w:sz w:val="20"/>
        </w:rPr>
        <w:t xml:space="preserve"> et al., 2020). This disruption leads to a disorganization of membrane lipids and proteins, thereby compromising cellular integrity and inhibiting fungal growth (Rashid, 2024).</w:t>
      </w:r>
    </w:p>
    <w:p w14:paraId="71206507" w14:textId="72AF7622" w:rsidR="00790ADA" w:rsidRPr="00FB3A86" w:rsidRDefault="00E964D7" w:rsidP="00BA4D3B">
      <w:pPr>
        <w:pStyle w:val="ConcHead"/>
        <w:spacing w:before="120" w:after="12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65EBDAA" w14:textId="61AFD04A" w:rsidR="00EB740E" w:rsidRDefault="00EF12DD" w:rsidP="00EF12DD">
      <w:pPr>
        <w:pStyle w:val="Body"/>
        <w:spacing w:after="0"/>
        <w:rPr>
          <w:rFonts w:ascii="Arial" w:hAnsi="Arial" w:cs="Arial"/>
        </w:rPr>
      </w:pPr>
      <w:r w:rsidRPr="00EF12DD">
        <w:rPr>
          <w:rFonts w:ascii="Arial" w:hAnsi="Arial" w:cs="Arial"/>
        </w:rPr>
        <w:t xml:space="preserve">The peels of </w:t>
      </w:r>
      <w:r w:rsidRPr="008F161A">
        <w:rPr>
          <w:rFonts w:ascii="Arial" w:hAnsi="Arial" w:cs="Arial"/>
          <w:i/>
          <w:iCs/>
        </w:rPr>
        <w:t>C</w:t>
      </w:r>
      <w:r w:rsidR="00ED4D5F">
        <w:rPr>
          <w:rFonts w:ascii="Arial" w:hAnsi="Arial" w:cs="Arial"/>
          <w:i/>
          <w:iCs/>
        </w:rPr>
        <w:t>.</w:t>
      </w:r>
      <w:r w:rsidRPr="008F161A">
        <w:rPr>
          <w:rFonts w:ascii="Arial" w:hAnsi="Arial" w:cs="Arial"/>
          <w:i/>
          <w:iCs/>
        </w:rPr>
        <w:t xml:space="preserve"> sinensis </w:t>
      </w:r>
      <w:r w:rsidRPr="00EF12DD">
        <w:rPr>
          <w:rFonts w:ascii="Arial" w:hAnsi="Arial" w:cs="Arial"/>
        </w:rPr>
        <w:t xml:space="preserve">and </w:t>
      </w:r>
      <w:r w:rsidRPr="008F161A">
        <w:rPr>
          <w:rFonts w:ascii="Arial" w:hAnsi="Arial" w:cs="Arial"/>
          <w:i/>
          <w:iCs/>
        </w:rPr>
        <w:t>C</w:t>
      </w:r>
      <w:r w:rsidR="00ED4D5F">
        <w:rPr>
          <w:rFonts w:ascii="Arial" w:hAnsi="Arial" w:cs="Arial"/>
          <w:i/>
          <w:iCs/>
        </w:rPr>
        <w:t>.</w:t>
      </w:r>
      <w:r w:rsidRPr="008F161A">
        <w:rPr>
          <w:rFonts w:ascii="Arial" w:hAnsi="Arial" w:cs="Arial"/>
          <w:i/>
          <w:iCs/>
        </w:rPr>
        <w:t xml:space="preserve"> aurantifolia</w:t>
      </w:r>
      <w:r w:rsidRPr="00EF12DD">
        <w:rPr>
          <w:rFonts w:ascii="Arial" w:hAnsi="Arial" w:cs="Arial"/>
        </w:rPr>
        <w:t xml:space="preserve"> yield significant amounts of essential oils. Physicochemical analyses revealed characteristics that differ from established standards but remain broadly consistent with values reported in the literature. The essential oil of </w:t>
      </w:r>
      <w:r w:rsidRPr="008F161A">
        <w:rPr>
          <w:rFonts w:ascii="Arial" w:hAnsi="Arial" w:cs="Arial"/>
          <w:i/>
          <w:iCs/>
        </w:rPr>
        <w:t>C. aurantifolia</w:t>
      </w:r>
      <w:r w:rsidRPr="00EF12DD">
        <w:rPr>
          <w:rFonts w:ascii="Arial" w:hAnsi="Arial" w:cs="Arial"/>
        </w:rPr>
        <w:t xml:space="preserve">, as well as the combination of </w:t>
      </w:r>
      <w:r w:rsidRPr="008F161A">
        <w:rPr>
          <w:rFonts w:ascii="Arial" w:hAnsi="Arial" w:cs="Arial"/>
          <w:i/>
          <w:iCs/>
        </w:rPr>
        <w:t>C. aurantifolia</w:t>
      </w:r>
      <w:r w:rsidRPr="00EF12DD">
        <w:rPr>
          <w:rFonts w:ascii="Arial" w:hAnsi="Arial" w:cs="Arial"/>
        </w:rPr>
        <w:t xml:space="preserve"> and </w:t>
      </w:r>
      <w:r w:rsidRPr="008F161A">
        <w:rPr>
          <w:rFonts w:ascii="Arial" w:hAnsi="Arial" w:cs="Arial"/>
          <w:i/>
          <w:iCs/>
        </w:rPr>
        <w:t>C. sinensis</w:t>
      </w:r>
      <w:r w:rsidRPr="00EF12DD">
        <w:rPr>
          <w:rFonts w:ascii="Arial" w:hAnsi="Arial" w:cs="Arial"/>
        </w:rPr>
        <w:t xml:space="preserve">, demonstrated strong antifungal activity against </w:t>
      </w:r>
      <w:r w:rsidRPr="008F161A">
        <w:rPr>
          <w:rFonts w:ascii="Arial" w:hAnsi="Arial" w:cs="Arial"/>
          <w:i/>
          <w:iCs/>
        </w:rPr>
        <w:t>A. flavus</w:t>
      </w:r>
      <w:r w:rsidRPr="00EF12DD">
        <w:rPr>
          <w:rFonts w:ascii="Arial" w:hAnsi="Arial" w:cs="Arial"/>
        </w:rPr>
        <w:t xml:space="preserve"> and </w:t>
      </w:r>
      <w:r w:rsidRPr="008F161A">
        <w:rPr>
          <w:rFonts w:ascii="Arial" w:hAnsi="Arial" w:cs="Arial"/>
          <w:i/>
          <w:iCs/>
        </w:rPr>
        <w:t>A. parasiticus</w:t>
      </w:r>
      <w:r w:rsidRPr="00EF12DD">
        <w:rPr>
          <w:rFonts w:ascii="Arial" w:hAnsi="Arial" w:cs="Arial"/>
        </w:rPr>
        <w:t>.</w:t>
      </w:r>
      <w:r w:rsidR="008F161A">
        <w:rPr>
          <w:rFonts w:ascii="Arial" w:hAnsi="Arial" w:cs="Arial"/>
        </w:rPr>
        <w:t xml:space="preserve"> </w:t>
      </w:r>
      <w:r w:rsidRPr="00EF12DD">
        <w:rPr>
          <w:rFonts w:ascii="Arial" w:hAnsi="Arial" w:cs="Arial"/>
        </w:rPr>
        <w:t>This activity was marked by growth inhibition at relatively low concentrations.</w:t>
      </w:r>
      <w:r>
        <w:rPr>
          <w:rFonts w:ascii="Arial" w:hAnsi="Arial" w:cs="Arial"/>
        </w:rPr>
        <w:t xml:space="preserve"> </w:t>
      </w:r>
      <w:r w:rsidRPr="00EF12DD">
        <w:rPr>
          <w:rFonts w:ascii="Arial" w:hAnsi="Arial" w:cs="Arial"/>
        </w:rPr>
        <w:t>These findings highlight the potential of the studied citrus species as sources of high-quality essential oils, suitable for valorization in diverse application sectors. Moreover, their exploitation could contribute to reducing the environmental impact associated with managing by-products from citrus processing.</w:t>
      </w:r>
    </w:p>
    <w:p w14:paraId="2F058D4F" w14:textId="030ACC8C" w:rsidR="00127511" w:rsidRDefault="00127511" w:rsidP="00E964D7">
      <w:pPr>
        <w:pStyle w:val="Body"/>
        <w:spacing w:after="0"/>
        <w:rPr>
          <w:rFonts w:ascii="Arial" w:hAnsi="Arial" w:cs="Arial"/>
        </w:rPr>
      </w:pPr>
    </w:p>
    <w:p w14:paraId="04CAD1B9" w14:textId="77777777" w:rsidR="00127511" w:rsidRPr="00ED4D5F" w:rsidRDefault="00127511" w:rsidP="000C157C">
      <w:pPr>
        <w:pStyle w:val="NoSpacing"/>
        <w:jc w:val="both"/>
        <w:rPr>
          <w:rFonts w:ascii="Arial" w:hAnsi="Arial" w:cs="Arial"/>
          <w:sz w:val="20"/>
          <w:szCs w:val="20"/>
        </w:rPr>
      </w:pPr>
      <w:bookmarkStart w:id="4" w:name="_Hlk198031404"/>
      <w:r w:rsidRPr="00ED4D5F">
        <w:rPr>
          <w:rFonts w:ascii="Arial" w:hAnsi="Arial" w:cs="Arial"/>
          <w:sz w:val="20"/>
          <w:szCs w:val="20"/>
        </w:rPr>
        <w:t>Disclaimer (Artificial intelligence)</w:t>
      </w:r>
    </w:p>
    <w:p w14:paraId="73DC6A2A" w14:textId="77777777" w:rsidR="00127511" w:rsidRPr="00ED4D5F" w:rsidRDefault="00127511" w:rsidP="000C157C">
      <w:pPr>
        <w:pStyle w:val="NoSpacing"/>
        <w:jc w:val="both"/>
        <w:rPr>
          <w:rFonts w:ascii="Arial" w:hAnsi="Arial" w:cs="Arial"/>
          <w:sz w:val="20"/>
          <w:szCs w:val="20"/>
        </w:rPr>
      </w:pPr>
    </w:p>
    <w:p w14:paraId="69E1C3CB" w14:textId="6BB8BE4B" w:rsidR="00127511" w:rsidRPr="00ED4D5F" w:rsidRDefault="00127511" w:rsidP="000C157C">
      <w:pPr>
        <w:pStyle w:val="NoSpacing"/>
        <w:jc w:val="both"/>
        <w:rPr>
          <w:rFonts w:ascii="Arial" w:hAnsi="Arial" w:cs="Arial"/>
          <w:sz w:val="20"/>
          <w:szCs w:val="20"/>
        </w:rPr>
      </w:pPr>
      <w:r w:rsidRPr="00ED4D5F">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4"/>
    <w:p w14:paraId="5055B6DA" w14:textId="77777777" w:rsidR="00127511" w:rsidRPr="00FB3A86" w:rsidRDefault="00127511" w:rsidP="00E964D7">
      <w:pPr>
        <w:pStyle w:val="Body"/>
        <w:spacing w:after="0"/>
        <w:rPr>
          <w:rFonts w:ascii="Arial" w:hAnsi="Arial" w:cs="Arial"/>
        </w:rPr>
      </w:pPr>
    </w:p>
    <w:p w14:paraId="2E3BBBA1" w14:textId="79E56C22" w:rsidR="00790ADA" w:rsidRPr="00FB3A86" w:rsidRDefault="00B01FCD" w:rsidP="00E964D7">
      <w:pPr>
        <w:pStyle w:val="ReferHead"/>
        <w:spacing w:before="120" w:after="120"/>
        <w:jc w:val="both"/>
        <w:rPr>
          <w:rFonts w:ascii="Arial" w:hAnsi="Arial" w:cs="Arial"/>
        </w:rPr>
      </w:pPr>
      <w:r w:rsidRPr="00FB3A86">
        <w:rPr>
          <w:rFonts w:ascii="Arial" w:hAnsi="Arial" w:cs="Arial"/>
        </w:rPr>
        <w:t>References</w:t>
      </w:r>
    </w:p>
    <w:p w14:paraId="74C7C054" w14:textId="6A1CBABF" w:rsidR="00EB740E" w:rsidRDefault="00EB740E" w:rsidP="006F24B8">
      <w:pPr>
        <w:pStyle w:val="Body"/>
        <w:spacing w:after="120"/>
      </w:pPr>
      <w:proofErr w:type="spellStart"/>
      <w:r>
        <w:t>Allizond</w:t>
      </w:r>
      <w:proofErr w:type="spellEnd"/>
      <w:r>
        <w:t xml:space="preserve"> V, Cavallo L, </w:t>
      </w:r>
      <w:proofErr w:type="spellStart"/>
      <w:r>
        <w:t>Roana</w:t>
      </w:r>
      <w:proofErr w:type="spellEnd"/>
      <w:r>
        <w:t xml:space="preserve"> J, </w:t>
      </w:r>
      <w:proofErr w:type="spellStart"/>
      <w:r>
        <w:t>Mandras</w:t>
      </w:r>
      <w:proofErr w:type="spellEnd"/>
      <w:r>
        <w:t xml:space="preserve"> N, </w:t>
      </w:r>
      <w:proofErr w:type="spellStart"/>
      <w:r>
        <w:t>Cuffini</w:t>
      </w:r>
      <w:proofErr w:type="spellEnd"/>
      <w:r>
        <w:t xml:space="preserve"> AM, and Tullio V (2023). In Vitro Antifungal Activity of Selected Essential Oils against. Molecules 28:7259.</w:t>
      </w:r>
      <w:r w:rsidR="00107C34" w:rsidRPr="00107C34">
        <w:t xml:space="preserve"> </w:t>
      </w:r>
      <w:hyperlink r:id="rId18" w:history="1">
        <w:r w:rsidR="006E31E8" w:rsidRPr="009103E2">
          <w:rPr>
            <w:rStyle w:val="Hyperlink"/>
            <w:color w:val="0070C0"/>
          </w:rPr>
          <w:t>https://doi.org/10.3390/molecules28217259</w:t>
        </w:r>
      </w:hyperlink>
      <w:r w:rsidR="006E31E8">
        <w:t xml:space="preserve"> </w:t>
      </w:r>
      <w:r w:rsidR="00107C34">
        <w:t xml:space="preserve"> </w:t>
      </w:r>
    </w:p>
    <w:p w14:paraId="5D28A720" w14:textId="172B3E6F" w:rsidR="009232AB" w:rsidRDefault="00EB740E" w:rsidP="006F24B8">
      <w:pPr>
        <w:pStyle w:val="Body"/>
        <w:spacing w:after="120"/>
      </w:pPr>
      <w:proofErr w:type="spellStart"/>
      <w:r>
        <w:t>Aprisza</w:t>
      </w:r>
      <w:proofErr w:type="spellEnd"/>
      <w:r>
        <w:t xml:space="preserve"> F, </w:t>
      </w:r>
      <w:proofErr w:type="spellStart"/>
      <w:r>
        <w:t>Reitza</w:t>
      </w:r>
      <w:proofErr w:type="spellEnd"/>
      <w:r>
        <w:t xml:space="preserve"> P, </w:t>
      </w:r>
      <w:proofErr w:type="spellStart"/>
      <w:r>
        <w:t>Vasall</w:t>
      </w:r>
      <w:proofErr w:type="spellEnd"/>
      <w:r>
        <w:t xml:space="preserve"> N, </w:t>
      </w:r>
      <w:proofErr w:type="spellStart"/>
      <w:r>
        <w:t>Permadi</w:t>
      </w:r>
      <w:proofErr w:type="spellEnd"/>
      <w:r>
        <w:t xml:space="preserve"> N, </w:t>
      </w:r>
      <w:proofErr w:type="spellStart"/>
      <w:r>
        <w:t>Harja</w:t>
      </w:r>
      <w:proofErr w:type="spellEnd"/>
      <w:r>
        <w:t xml:space="preserve"> A, </w:t>
      </w:r>
      <w:proofErr w:type="spellStart"/>
      <w:r>
        <w:t>Nurjanah</w:t>
      </w:r>
      <w:proofErr w:type="spellEnd"/>
      <w:r>
        <w:t xml:space="preserve"> S, Al-</w:t>
      </w:r>
      <w:proofErr w:type="spellStart"/>
      <w:r>
        <w:t>anshori</w:t>
      </w:r>
      <w:proofErr w:type="spellEnd"/>
      <w:r>
        <w:t xml:space="preserve"> J, and </w:t>
      </w:r>
      <w:proofErr w:type="spellStart"/>
      <w:r>
        <w:t>Julaeha</w:t>
      </w:r>
      <w:proofErr w:type="spellEnd"/>
      <w:r>
        <w:t xml:space="preserve"> E (2025). Composition and medicinal applications of Citrus essential </w:t>
      </w:r>
      <w:r w:rsidR="001F693A">
        <w:t>oils:</w:t>
      </w:r>
      <w:r>
        <w:t xml:space="preserve"> Current insights and future perspectives. Phytomedicine Plus 5 </w:t>
      </w:r>
      <w:r w:rsidR="009232AB">
        <w:t>:</w:t>
      </w:r>
      <w:r>
        <w:t>100836</w:t>
      </w:r>
      <w:r w:rsidR="009232AB" w:rsidRPr="009103E2">
        <w:rPr>
          <w:color w:val="0070C0"/>
        </w:rPr>
        <w:t xml:space="preserve">. </w:t>
      </w:r>
      <w:hyperlink r:id="rId19" w:history="1">
        <w:r w:rsidR="006E31E8" w:rsidRPr="009103E2">
          <w:rPr>
            <w:rStyle w:val="Hyperlink"/>
            <w:color w:val="0070C0"/>
          </w:rPr>
          <w:t>https://doi.org/10.1016/j.phyplu.2025.100836</w:t>
        </w:r>
      </w:hyperlink>
      <w:r w:rsidR="006E31E8">
        <w:t xml:space="preserve"> </w:t>
      </w:r>
    </w:p>
    <w:p w14:paraId="5F5BE352" w14:textId="78D7CED3" w:rsidR="009232AB" w:rsidRDefault="00EB740E" w:rsidP="006F24B8">
      <w:pPr>
        <w:pStyle w:val="Body"/>
        <w:spacing w:after="120"/>
      </w:pPr>
      <w:r>
        <w:t xml:space="preserve">Awolola OJ, Fehintola JA, Adeyoju OA, Akpan ED (2022). Chemical composition of essential oil from peels of </w:t>
      </w:r>
      <w:r w:rsidRPr="006F24B8">
        <w:rPr>
          <w:i/>
          <w:iCs/>
        </w:rPr>
        <w:t>Citrus Aurantifolia</w:t>
      </w:r>
      <w:r>
        <w:t xml:space="preserve"> </w:t>
      </w:r>
      <w:r w:rsidR="001F693A">
        <w:t>L.</w:t>
      </w:r>
      <w:r>
        <w:t xml:space="preserve"> grown in</w:t>
      </w:r>
      <w:r w:rsidR="00D33F64" w:rsidRPr="00D33F64">
        <w:t xml:space="preserve"> South-West Nigeria</w:t>
      </w:r>
      <w:r w:rsidR="00D33F64">
        <w:t>.</w:t>
      </w:r>
      <w:r>
        <w:t xml:space="preserve"> </w:t>
      </w:r>
      <w:r w:rsidR="009232AB">
        <w:t>Open Access Research Journal of Science and Technology 04</w:t>
      </w:r>
      <w:r w:rsidR="000C157C">
        <w:t>:</w:t>
      </w:r>
      <w:r w:rsidR="009232AB">
        <w:t xml:space="preserve"> 105–113</w:t>
      </w:r>
      <w:r w:rsidR="00D33F64">
        <w:t>.</w:t>
      </w:r>
      <w:r w:rsidR="009103E2">
        <w:t xml:space="preserve"> </w:t>
      </w:r>
      <w:hyperlink r:id="rId20" w:history="1">
        <w:r w:rsidR="00EA5C1C" w:rsidRPr="00EA5C1C">
          <w:rPr>
            <w:rStyle w:val="Hyperlink"/>
            <w:color w:val="4F81BD" w:themeColor="accent1"/>
          </w:rPr>
          <w:t>https://doi.org/10.53022/oarjst.2022.4.2.0039</w:t>
        </w:r>
      </w:hyperlink>
      <w:r w:rsidR="00EA5C1C" w:rsidRPr="00EA5C1C">
        <w:rPr>
          <w:color w:val="4F81BD" w:themeColor="accent1"/>
        </w:rPr>
        <w:t xml:space="preserve"> </w:t>
      </w:r>
      <w:r w:rsidR="009103E2" w:rsidRPr="00EA5C1C">
        <w:rPr>
          <w:color w:val="4F81BD" w:themeColor="accent1"/>
        </w:rPr>
        <w:t xml:space="preserve"> </w:t>
      </w:r>
      <w:r w:rsidR="000F2A4A" w:rsidRPr="00EA5C1C">
        <w:rPr>
          <w:color w:val="4F81BD" w:themeColor="accent1"/>
        </w:rPr>
        <w:t xml:space="preserve"> </w:t>
      </w:r>
      <w:r w:rsidR="006E31E8" w:rsidRPr="00EA5C1C">
        <w:rPr>
          <w:color w:val="4F81BD" w:themeColor="accent1"/>
        </w:rPr>
        <w:t xml:space="preserve"> </w:t>
      </w:r>
    </w:p>
    <w:p w14:paraId="1F9B4B4A" w14:textId="7CCBE7F8" w:rsidR="00A62122" w:rsidRDefault="00A62122" w:rsidP="006F24B8">
      <w:pPr>
        <w:pStyle w:val="Body"/>
        <w:spacing w:after="120"/>
      </w:pPr>
      <w:r w:rsidRPr="00A62122">
        <w:t xml:space="preserve">Baser KHC, </w:t>
      </w:r>
      <w:proofErr w:type="spellStart"/>
      <w:r w:rsidRPr="00A62122">
        <w:t>Buchbauer</w:t>
      </w:r>
      <w:proofErr w:type="spellEnd"/>
      <w:r w:rsidRPr="00A62122">
        <w:t xml:space="preserve"> G (2016). Handbook of essential oils Science, Technology, and Applications (2éme ed.). Boca Raton: London New York</w:t>
      </w:r>
    </w:p>
    <w:p w14:paraId="392623F5" w14:textId="17B754D4" w:rsidR="00684C3B" w:rsidRDefault="00684C3B" w:rsidP="006F24B8">
      <w:pPr>
        <w:pStyle w:val="Body"/>
        <w:spacing w:after="120"/>
      </w:pPr>
      <w:proofErr w:type="spellStart"/>
      <w:r w:rsidRPr="00684C3B">
        <w:t>Bozova</w:t>
      </w:r>
      <w:proofErr w:type="spellEnd"/>
      <w:r w:rsidRPr="00684C3B">
        <w:t xml:space="preserve"> </w:t>
      </w:r>
      <w:proofErr w:type="spellStart"/>
      <w:proofErr w:type="gramStart"/>
      <w:r w:rsidRPr="00684C3B">
        <w:t>B,Gölükcü</w:t>
      </w:r>
      <w:proofErr w:type="spellEnd"/>
      <w:proofErr w:type="gramEnd"/>
      <w:r w:rsidRPr="00684C3B">
        <w:t xml:space="preserve"> M, </w:t>
      </w:r>
      <w:proofErr w:type="spellStart"/>
      <w:r w:rsidRPr="00684C3B">
        <w:t>Turgutoğlu</w:t>
      </w:r>
      <w:proofErr w:type="spellEnd"/>
      <w:r w:rsidRPr="00684C3B">
        <w:t xml:space="preserve"> E (2024). The effect of hydrodistillation times and cold pressing on yield and composition of sweet orange (</w:t>
      </w:r>
      <w:r w:rsidRPr="000C157C">
        <w:rPr>
          <w:i/>
          <w:iCs/>
        </w:rPr>
        <w:t>Citrus sinensis</w:t>
      </w:r>
      <w:r w:rsidRPr="00684C3B">
        <w:t>) peel essential oil. Horticultural Studies 41(1):22-27</w:t>
      </w:r>
      <w:r w:rsidR="009103E2">
        <w:t>.</w:t>
      </w:r>
      <w:r w:rsidRPr="00684C3B">
        <w:t xml:space="preserve"> </w:t>
      </w:r>
      <w:hyperlink r:id="rId21" w:history="1">
        <w:r w:rsidR="006E31E8" w:rsidRPr="009103E2">
          <w:rPr>
            <w:rStyle w:val="Hyperlink"/>
            <w:color w:val="0070C0"/>
          </w:rPr>
          <w:t>http://doi.org/10.16882/HortiS.1417575</w:t>
        </w:r>
      </w:hyperlink>
      <w:r w:rsidR="006E31E8">
        <w:t xml:space="preserve"> </w:t>
      </w:r>
    </w:p>
    <w:p w14:paraId="32A447C5" w14:textId="09335391" w:rsidR="000F2A4A" w:rsidRDefault="00EB740E" w:rsidP="006E31E8">
      <w:pPr>
        <w:pStyle w:val="Body"/>
        <w:spacing w:after="120"/>
      </w:pPr>
      <w:proofErr w:type="spellStart"/>
      <w:r>
        <w:t>Boughendjioua</w:t>
      </w:r>
      <w:proofErr w:type="spellEnd"/>
      <w:r>
        <w:t xml:space="preserve"> H, and </w:t>
      </w:r>
      <w:proofErr w:type="spellStart"/>
      <w:r>
        <w:t>Djeddi</w:t>
      </w:r>
      <w:proofErr w:type="spellEnd"/>
      <w:r>
        <w:t xml:space="preserve"> S (2017). Organoleptic and </w:t>
      </w:r>
      <w:r w:rsidR="006F24B8">
        <w:t xml:space="preserve">physicochemical properties of </w:t>
      </w:r>
      <w:proofErr w:type="spellStart"/>
      <w:r w:rsidR="006F24B8">
        <w:t>algerian</w:t>
      </w:r>
      <w:proofErr w:type="spellEnd"/>
      <w:r w:rsidR="006F24B8">
        <w:t xml:space="preserve"> lemon essential oil.</w:t>
      </w:r>
      <w:r w:rsidR="00D33F64" w:rsidRPr="00D33F64">
        <w:t xml:space="preserve"> World Journal of Applied Chemistry</w:t>
      </w:r>
      <w:r>
        <w:t xml:space="preserve"> </w:t>
      </w:r>
      <w:r w:rsidR="00D33F64" w:rsidRPr="00D33F64">
        <w:t>2: 96-100</w:t>
      </w:r>
      <w:r>
        <w:t>.</w:t>
      </w:r>
      <w:r w:rsidR="00D33F64">
        <w:t xml:space="preserve"> </w:t>
      </w:r>
      <w:hyperlink r:id="rId22" w:history="1">
        <w:r w:rsidR="006E31E8" w:rsidRPr="009103E2">
          <w:rPr>
            <w:rStyle w:val="Hyperlink"/>
            <w:color w:val="0070C0"/>
          </w:rPr>
          <w:t>https://doi.org/10.11648/j.wjac.20170203.14</w:t>
        </w:r>
      </w:hyperlink>
    </w:p>
    <w:p w14:paraId="66571024" w14:textId="3100690F" w:rsidR="00230D77" w:rsidRDefault="00EB740E" w:rsidP="006F24B8">
      <w:pPr>
        <w:pStyle w:val="Body"/>
        <w:spacing w:after="120"/>
      </w:pPr>
      <w:r>
        <w:t xml:space="preserve">Calo JR, Crandall PG, </w:t>
      </w:r>
      <w:r w:rsidR="001F693A">
        <w:t>O’Bryan</w:t>
      </w:r>
      <w:r w:rsidR="00230D77" w:rsidRPr="00230D77">
        <w:t xml:space="preserve"> CA</w:t>
      </w:r>
      <w:r w:rsidR="00D33F64">
        <w:t>,</w:t>
      </w:r>
      <w:r>
        <w:t xml:space="preserve"> Ricke SC (2015). Essential oils as antimicrobials in food systems A review. Food Control 54:111–119</w:t>
      </w:r>
      <w:r w:rsidRPr="009103E2">
        <w:rPr>
          <w:color w:val="0070C0"/>
        </w:rPr>
        <w:t>.</w:t>
      </w:r>
      <w:r w:rsidR="006E31E8" w:rsidRPr="009103E2">
        <w:rPr>
          <w:color w:val="0070C0"/>
        </w:rPr>
        <w:t xml:space="preserve"> </w:t>
      </w:r>
      <w:hyperlink r:id="rId23" w:history="1">
        <w:r w:rsidR="006E31E8" w:rsidRPr="009103E2">
          <w:rPr>
            <w:rStyle w:val="Hyperlink"/>
            <w:color w:val="0070C0"/>
          </w:rPr>
          <w:t>https://doi.org/10.1016/j.foodcont.2014.12.040</w:t>
        </w:r>
      </w:hyperlink>
      <w:r w:rsidR="006E31E8">
        <w:t xml:space="preserve"> </w:t>
      </w:r>
    </w:p>
    <w:p w14:paraId="0B99106D" w14:textId="4C65B8FE" w:rsidR="00EB740E" w:rsidRDefault="00EB740E" w:rsidP="006F24B8">
      <w:pPr>
        <w:pStyle w:val="Body"/>
        <w:spacing w:after="120"/>
      </w:pPr>
      <w:proofErr w:type="spellStart"/>
      <w:r>
        <w:t>Cinardi</w:t>
      </w:r>
      <w:proofErr w:type="spellEnd"/>
      <w:r w:rsidR="00230D77">
        <w:t xml:space="preserve"> </w:t>
      </w:r>
      <w:r>
        <w:t xml:space="preserve">G, </w:t>
      </w:r>
      <w:proofErr w:type="spellStart"/>
      <w:r>
        <w:t>Urso</w:t>
      </w:r>
      <w:proofErr w:type="spellEnd"/>
      <w:r>
        <w:t xml:space="preserve"> PRD, Cascone G, and Arcidiacono C (2025). Citrus Waste </w:t>
      </w:r>
      <w:proofErr w:type="spellStart"/>
      <w:r>
        <w:t>Valorisation</w:t>
      </w:r>
      <w:proofErr w:type="spellEnd"/>
      <w:r>
        <w:t xml:space="preserve"> Processes from an Environmental Sustainability </w:t>
      </w:r>
      <w:r w:rsidR="001F693A">
        <w:t>Perspective:</w:t>
      </w:r>
      <w:r>
        <w:t xml:space="preserve"> A Scoping Literature Review of Life Cycle Assessment </w:t>
      </w:r>
      <w:r w:rsidR="001F693A">
        <w:t xml:space="preserve">Studies. </w:t>
      </w:r>
      <w:proofErr w:type="spellStart"/>
      <w:r w:rsidR="001F693A">
        <w:t>AgriEngineering</w:t>
      </w:r>
      <w:proofErr w:type="spellEnd"/>
      <w:r>
        <w:t xml:space="preserve"> 7</w:t>
      </w:r>
      <w:r w:rsidR="00230D77">
        <w:t>:</w:t>
      </w:r>
      <w:r>
        <w:t>335</w:t>
      </w:r>
      <w:r w:rsidR="00230D77">
        <w:t>.</w:t>
      </w:r>
      <w:r w:rsidR="00230D77" w:rsidRPr="00230D77">
        <w:t xml:space="preserve"> </w:t>
      </w:r>
      <w:hyperlink r:id="rId24" w:history="1">
        <w:r w:rsidR="006E31E8" w:rsidRPr="009103E2">
          <w:rPr>
            <w:rStyle w:val="Hyperlink"/>
            <w:color w:val="0070C0"/>
          </w:rPr>
          <w:t>https://doi.org/10.3390/agriengineering7100335</w:t>
        </w:r>
      </w:hyperlink>
      <w:r w:rsidR="006E31E8" w:rsidRPr="009103E2">
        <w:rPr>
          <w:color w:val="0070C0"/>
        </w:rPr>
        <w:t xml:space="preserve"> </w:t>
      </w:r>
    </w:p>
    <w:p w14:paraId="0A17CCCA" w14:textId="6CBD2349" w:rsidR="00EB740E" w:rsidRDefault="00EB740E" w:rsidP="006F24B8">
      <w:pPr>
        <w:pStyle w:val="Body"/>
        <w:spacing w:after="120"/>
      </w:pPr>
      <w:r>
        <w:lastRenderedPageBreak/>
        <w:t>CLSI (2008). Reference Method for Broth Dilution antifungal susceptibility testing for filamentous fungi;</w:t>
      </w:r>
      <w:r w:rsidR="00741AF8">
        <w:t xml:space="preserve"> </w:t>
      </w:r>
      <w:r>
        <w:t xml:space="preserve">Approved </w:t>
      </w:r>
      <w:r w:rsidR="00741AF8">
        <w:t>standard</w:t>
      </w:r>
      <w:r>
        <w:t>-second edition. CSLI document M38-A</w:t>
      </w:r>
      <w:r w:rsidR="00741AF8">
        <w:t>2. Wayne</w:t>
      </w:r>
      <w:r>
        <w:t>, PA: Clinical and Laboratory Standards Institute 28:13.</w:t>
      </w:r>
    </w:p>
    <w:p w14:paraId="4E1814C8" w14:textId="27FC7645" w:rsidR="00EB740E" w:rsidRDefault="00EB740E" w:rsidP="006F24B8">
      <w:pPr>
        <w:pStyle w:val="Body"/>
        <w:spacing w:after="120"/>
      </w:pPr>
      <w:proofErr w:type="spellStart"/>
      <w:r>
        <w:t>Dachoupakan</w:t>
      </w:r>
      <w:proofErr w:type="spellEnd"/>
      <w:r>
        <w:t xml:space="preserve"> C, </w:t>
      </w:r>
      <w:proofErr w:type="spellStart"/>
      <w:r>
        <w:t>Ratomahenina</w:t>
      </w:r>
      <w:proofErr w:type="spellEnd"/>
      <w:r>
        <w:t xml:space="preserve"> R, Martinez V, Guiraud JP, Baccou JC, and Schorr-Galindo S (2009). Study of the phenotypic and genotypic biodiversity of potentially </w:t>
      </w:r>
      <w:proofErr w:type="spellStart"/>
      <w:r>
        <w:t>ochratoxigenic</w:t>
      </w:r>
      <w:proofErr w:type="spellEnd"/>
      <w:r>
        <w:t xml:space="preserve"> black aspergilli isolated from grapes. International Journal of Food Microbiology 132:14–23.</w:t>
      </w:r>
      <w:r w:rsidR="00F53AF4" w:rsidRPr="00F53AF4">
        <w:t xml:space="preserve"> </w:t>
      </w:r>
      <w:hyperlink r:id="rId25" w:history="1">
        <w:r w:rsidR="007D644A" w:rsidRPr="009103E2">
          <w:rPr>
            <w:rStyle w:val="Hyperlink"/>
            <w:color w:val="0070C0"/>
          </w:rPr>
          <w:t>https://doi:10.1016/j.ijfoodmicro.2009.03.011</w:t>
        </w:r>
      </w:hyperlink>
    </w:p>
    <w:p w14:paraId="76C7AE6E" w14:textId="32A729AB" w:rsidR="007D644A" w:rsidRDefault="007D644A" w:rsidP="006F24B8">
      <w:pPr>
        <w:pStyle w:val="Body"/>
        <w:spacing w:after="120"/>
      </w:pPr>
      <w:proofErr w:type="spellStart"/>
      <w:r w:rsidRPr="007D644A">
        <w:t>Elgat</w:t>
      </w:r>
      <w:proofErr w:type="spellEnd"/>
      <w:r w:rsidRPr="007D644A">
        <w:t xml:space="preserve"> WAAA, </w:t>
      </w:r>
      <w:proofErr w:type="spellStart"/>
      <w:r w:rsidRPr="007D644A">
        <w:t>Kordy</w:t>
      </w:r>
      <w:proofErr w:type="spellEnd"/>
      <w:r w:rsidRPr="007D644A">
        <w:t xml:space="preserve"> AM, </w:t>
      </w:r>
      <w:proofErr w:type="spellStart"/>
      <w:r w:rsidRPr="007D644A">
        <w:t>Böhm</w:t>
      </w:r>
      <w:proofErr w:type="spellEnd"/>
      <w:r w:rsidRPr="007D644A">
        <w:t xml:space="preserve"> M, </w:t>
      </w:r>
      <w:proofErr w:type="spellStart"/>
      <w:r w:rsidRPr="007D644A">
        <w:t>Cerný</w:t>
      </w:r>
      <w:proofErr w:type="spellEnd"/>
      <w:r w:rsidRPr="007D644A">
        <w:t xml:space="preserve"> R, Abdel-</w:t>
      </w:r>
      <w:proofErr w:type="spellStart"/>
      <w:r w:rsidRPr="007D644A">
        <w:t>Megeed</w:t>
      </w:r>
      <w:proofErr w:type="spellEnd"/>
      <w:r w:rsidRPr="007D644A">
        <w:t xml:space="preserve"> A, Salem MZM. (2020). </w:t>
      </w:r>
      <w:r w:rsidRPr="000C157C">
        <w:rPr>
          <w:i/>
          <w:iCs/>
        </w:rPr>
        <w:t>Eucalyptus camaldulensis</w:t>
      </w:r>
      <w:r w:rsidRPr="007D644A">
        <w:t xml:space="preserve">, </w:t>
      </w:r>
      <w:r w:rsidRPr="000C157C">
        <w:rPr>
          <w:i/>
          <w:iCs/>
        </w:rPr>
        <w:t>Citrus aurantium</w:t>
      </w:r>
      <w:r w:rsidRPr="007D644A">
        <w:t xml:space="preserve">, and </w:t>
      </w:r>
      <w:r w:rsidRPr="000C157C">
        <w:rPr>
          <w:i/>
          <w:iCs/>
        </w:rPr>
        <w:t>Citrus sinensis</w:t>
      </w:r>
      <w:r w:rsidRPr="007D644A">
        <w:t xml:space="preserve"> Essential Oils as Antifungal Activity against </w:t>
      </w:r>
      <w:r w:rsidRPr="000C157C">
        <w:rPr>
          <w:i/>
          <w:iCs/>
        </w:rPr>
        <w:t>Aspergillus flavus</w:t>
      </w:r>
      <w:r w:rsidRPr="007D644A">
        <w:t xml:space="preserve">, </w:t>
      </w:r>
      <w:r w:rsidRPr="000C157C">
        <w:rPr>
          <w:i/>
          <w:iCs/>
        </w:rPr>
        <w:t xml:space="preserve">Aspergillus </w:t>
      </w:r>
      <w:proofErr w:type="spellStart"/>
      <w:r w:rsidRPr="000C157C">
        <w:rPr>
          <w:i/>
          <w:iCs/>
        </w:rPr>
        <w:t>niger</w:t>
      </w:r>
      <w:proofErr w:type="spellEnd"/>
      <w:r w:rsidRPr="007D644A">
        <w:t xml:space="preserve">, </w:t>
      </w:r>
      <w:r w:rsidRPr="000C157C">
        <w:rPr>
          <w:i/>
          <w:iCs/>
        </w:rPr>
        <w:t>Aspergillus Tereus</w:t>
      </w:r>
      <w:r w:rsidRPr="007D644A">
        <w:t xml:space="preserve">, and </w:t>
      </w:r>
      <w:r w:rsidRPr="000C157C">
        <w:rPr>
          <w:i/>
          <w:iCs/>
        </w:rPr>
        <w:t xml:space="preserve">Fusarium </w:t>
      </w:r>
      <w:proofErr w:type="spellStart"/>
      <w:r w:rsidRPr="000C157C">
        <w:rPr>
          <w:i/>
          <w:iCs/>
        </w:rPr>
        <w:t>culmorum</w:t>
      </w:r>
      <w:proofErr w:type="spellEnd"/>
      <w:r w:rsidRPr="007D644A">
        <w:t xml:space="preserve">. Processes 8:1003. </w:t>
      </w:r>
      <w:hyperlink r:id="rId26" w:history="1">
        <w:r w:rsidR="000F2A4A" w:rsidRPr="009103E2">
          <w:rPr>
            <w:rStyle w:val="Hyperlink"/>
            <w:color w:val="0070C0"/>
          </w:rPr>
          <w:t>https://doi.org/10.3390/pr8081003</w:t>
        </w:r>
      </w:hyperlink>
    </w:p>
    <w:p w14:paraId="0CE22DBA" w14:textId="6A97BCE6" w:rsidR="00EB740E" w:rsidRDefault="00EB740E" w:rsidP="006F24B8">
      <w:pPr>
        <w:pStyle w:val="Body"/>
        <w:spacing w:after="120"/>
      </w:pPr>
      <w:r>
        <w:t xml:space="preserve">Ferhat MA, </w:t>
      </w:r>
      <w:proofErr w:type="spellStart"/>
      <w:r>
        <w:t>Boukhatem</w:t>
      </w:r>
      <w:proofErr w:type="spellEnd"/>
      <w:r>
        <w:t xml:space="preserve"> MN, </w:t>
      </w:r>
      <w:proofErr w:type="spellStart"/>
      <w:r>
        <w:t>Meklati</w:t>
      </w:r>
      <w:proofErr w:type="spellEnd"/>
      <w:r>
        <w:t xml:space="preserve"> BY, and </w:t>
      </w:r>
      <w:proofErr w:type="spellStart"/>
      <w:r>
        <w:t>Chemat</w:t>
      </w:r>
      <w:proofErr w:type="spellEnd"/>
      <w:r>
        <w:t xml:space="preserve"> F (2016). Cold </w:t>
      </w:r>
      <w:r w:rsidR="001F693A">
        <w:t>Pressing,</w:t>
      </w:r>
      <w:r>
        <w:t xml:space="preserve"> Hydrodistillation and Microwave Dry Distillation of Citrus Essential Oil from </w:t>
      </w:r>
      <w:r w:rsidR="001F693A">
        <w:t>Algeria:</w:t>
      </w:r>
      <w:r>
        <w:t xml:space="preserve"> A Comparative Study Electronic Journal of Biology</w:t>
      </w:r>
      <w:r w:rsidR="001F693A">
        <w:t xml:space="preserve"> S</w:t>
      </w:r>
      <w:r>
        <w:t>1: 30-41</w:t>
      </w:r>
    </w:p>
    <w:p w14:paraId="64E9BA25" w14:textId="77777777" w:rsidR="000F2A4A" w:rsidRDefault="00EB740E" w:rsidP="006F24B8">
      <w:pPr>
        <w:pStyle w:val="Body"/>
        <w:spacing w:after="120"/>
      </w:pPr>
      <w:proofErr w:type="spellStart"/>
      <w:r>
        <w:t>Gharzouli</w:t>
      </w:r>
      <w:proofErr w:type="spellEnd"/>
      <w:r>
        <w:t xml:space="preserve"> M, </w:t>
      </w:r>
      <w:proofErr w:type="spellStart"/>
      <w:r>
        <w:t>Aouf</w:t>
      </w:r>
      <w:proofErr w:type="spellEnd"/>
      <w:r>
        <w:t xml:space="preserve"> A, Mahmoud E, Ali H, Badr AN, Ban Z, and Farouk A (2024). Antifungal effect of Algerian essential oil </w:t>
      </w:r>
      <w:proofErr w:type="spellStart"/>
      <w:r>
        <w:t>nanoemulsions</w:t>
      </w:r>
      <w:proofErr w:type="spellEnd"/>
      <w:r>
        <w:t xml:space="preserve"> to control </w:t>
      </w:r>
      <w:r w:rsidRPr="006F24B8">
        <w:rPr>
          <w:i/>
          <w:iCs/>
        </w:rPr>
        <w:t xml:space="preserve">Penicillium </w:t>
      </w:r>
      <w:proofErr w:type="spellStart"/>
      <w:r w:rsidRPr="006F24B8">
        <w:rPr>
          <w:i/>
          <w:iCs/>
        </w:rPr>
        <w:t>digitatum</w:t>
      </w:r>
      <w:proofErr w:type="spellEnd"/>
      <w:r>
        <w:t xml:space="preserve"> and </w:t>
      </w:r>
      <w:r w:rsidRPr="006F24B8">
        <w:rPr>
          <w:i/>
          <w:iCs/>
        </w:rPr>
        <w:t xml:space="preserve">Penicillium </w:t>
      </w:r>
      <w:proofErr w:type="spellStart"/>
      <w:r w:rsidRPr="006F24B8">
        <w:rPr>
          <w:i/>
          <w:iCs/>
        </w:rPr>
        <w:t>expansum</w:t>
      </w:r>
      <w:proofErr w:type="spellEnd"/>
      <w:r>
        <w:t xml:space="preserve"> in Thomson Navel oranges </w:t>
      </w:r>
      <w:r w:rsidR="001F693A">
        <w:t>(</w:t>
      </w:r>
      <w:r w:rsidR="001F693A" w:rsidRPr="006F24B8">
        <w:rPr>
          <w:i/>
          <w:iCs/>
        </w:rPr>
        <w:t>Citrus</w:t>
      </w:r>
      <w:r w:rsidRPr="006F24B8">
        <w:rPr>
          <w:i/>
          <w:iCs/>
        </w:rPr>
        <w:t xml:space="preserve"> sinensis</w:t>
      </w:r>
      <w:r>
        <w:t xml:space="preserve"> </w:t>
      </w:r>
      <w:r w:rsidR="001F693A">
        <w:t>L.</w:t>
      </w:r>
      <w:r>
        <w:t xml:space="preserve"> </w:t>
      </w:r>
      <w:r w:rsidR="001F693A">
        <w:t>Osbeck)</w:t>
      </w:r>
      <w:r>
        <w:t>. frontiers in plants 15:</w:t>
      </w:r>
      <w:r w:rsidR="005511F6" w:rsidRPr="005511F6">
        <w:t xml:space="preserve"> 15:1491491</w:t>
      </w:r>
      <w:r>
        <w:t>.</w:t>
      </w:r>
      <w:r w:rsidR="00F53AF4" w:rsidRPr="00F53AF4">
        <w:t xml:space="preserve"> </w:t>
      </w:r>
      <w:hyperlink r:id="rId27" w:history="1">
        <w:r w:rsidR="000F2A4A" w:rsidRPr="009103E2">
          <w:rPr>
            <w:rStyle w:val="Hyperlink"/>
            <w:color w:val="0070C0"/>
          </w:rPr>
          <w:t>https://doi.org/10.3389/fpls.2024.1491491</w:t>
        </w:r>
      </w:hyperlink>
    </w:p>
    <w:p w14:paraId="354102F0" w14:textId="543D8DCC" w:rsidR="00EB740E" w:rsidRDefault="00EB740E" w:rsidP="006F24B8">
      <w:pPr>
        <w:pStyle w:val="Body"/>
        <w:spacing w:after="120"/>
      </w:pPr>
      <w:proofErr w:type="spellStart"/>
      <w:r>
        <w:t>Gölükcü</w:t>
      </w:r>
      <w:proofErr w:type="spellEnd"/>
      <w:r>
        <w:t xml:space="preserve"> M, </w:t>
      </w:r>
      <w:proofErr w:type="spellStart"/>
      <w:r>
        <w:t>Bozova</w:t>
      </w:r>
      <w:proofErr w:type="spellEnd"/>
      <w:r w:rsidR="004E01F5">
        <w:t xml:space="preserve"> </w:t>
      </w:r>
      <w:r>
        <w:t>B, Tokgöz H, Turgut DY, and Çınar</w:t>
      </w:r>
      <w:r w:rsidR="004E01F5">
        <w:t xml:space="preserve"> </w:t>
      </w:r>
      <w:r>
        <w:t xml:space="preserve">O (2024). Effects of </w:t>
      </w:r>
      <w:r w:rsidR="001F693A">
        <w:t>cultivar,</w:t>
      </w:r>
      <w:r>
        <w:t xml:space="preserve"> harvesting time and isolation techniques on the essential oil compositions of some lemon cultivars</w:t>
      </w:r>
      <w:r w:rsidR="004E01F5">
        <w:t>.</w:t>
      </w:r>
      <w:r w:rsidR="004E01F5" w:rsidRPr="004E01F5">
        <w:t xml:space="preserve"> AIMS Agriculture and Food 9: 904–920</w:t>
      </w:r>
      <w:r>
        <w:t>.</w:t>
      </w:r>
      <w:r w:rsidR="0022772D" w:rsidRPr="0022772D">
        <w:t xml:space="preserve"> </w:t>
      </w:r>
      <w:hyperlink r:id="rId28" w:history="1">
        <w:r w:rsidR="000F2A4A" w:rsidRPr="009103E2">
          <w:rPr>
            <w:rStyle w:val="Hyperlink"/>
            <w:color w:val="0070C0"/>
          </w:rPr>
          <w:t>https://doi.org/10.3934/agrfood.2024049</w:t>
        </w:r>
      </w:hyperlink>
    </w:p>
    <w:p w14:paraId="08571194" w14:textId="469C3D04" w:rsidR="00EB740E" w:rsidRDefault="001F693A" w:rsidP="006F24B8">
      <w:pPr>
        <w:pStyle w:val="Body"/>
        <w:spacing w:after="120"/>
      </w:pPr>
      <w:r>
        <w:t>ISO: 280:1998</w:t>
      </w:r>
      <w:r w:rsidR="00EB740E">
        <w:t>(</w:t>
      </w:r>
      <w:proofErr w:type="spellStart"/>
      <w:r w:rsidR="00EB740E">
        <w:t>en</w:t>
      </w:r>
      <w:proofErr w:type="spellEnd"/>
      <w:r w:rsidR="00EB740E">
        <w:t>) Essential oils -</w:t>
      </w:r>
      <w:r w:rsidR="006F24B8">
        <w:t xml:space="preserve"> </w:t>
      </w:r>
      <w:r w:rsidR="00EB740E">
        <w:t xml:space="preserve">Determination of refractive index. Second </w:t>
      </w:r>
      <w:r w:rsidR="002745D8">
        <w:t>edition</w:t>
      </w:r>
      <w:r w:rsidR="00EB740E">
        <w:t xml:space="preserve"> </w:t>
      </w:r>
      <w:r w:rsidR="002745D8">
        <w:t>.</w:t>
      </w:r>
      <w:r w:rsidR="00EB740E">
        <w:t>1998-11-15</w:t>
      </w:r>
    </w:p>
    <w:p w14:paraId="0F4A1A88" w14:textId="2E5B2852" w:rsidR="00EB740E" w:rsidRDefault="00EB740E" w:rsidP="006F24B8">
      <w:pPr>
        <w:pStyle w:val="Body"/>
        <w:spacing w:after="120"/>
      </w:pPr>
      <w:r>
        <w:t xml:space="preserve">ISO 1242:1999(F) </w:t>
      </w:r>
      <w:proofErr w:type="spellStart"/>
      <w:r>
        <w:t>Huiles</w:t>
      </w:r>
      <w:proofErr w:type="spellEnd"/>
      <w:r>
        <w:t xml:space="preserve"> </w:t>
      </w:r>
      <w:proofErr w:type="spellStart"/>
      <w:r>
        <w:t>essentielles</w:t>
      </w:r>
      <w:proofErr w:type="spellEnd"/>
      <w:r w:rsidR="0022772D">
        <w:t xml:space="preserve"> </w:t>
      </w:r>
      <w:r>
        <w:t>˗</w:t>
      </w:r>
      <w:r w:rsidR="0022772D">
        <w:t xml:space="preserve"> </w:t>
      </w:r>
      <w:proofErr w:type="spellStart"/>
      <w:r>
        <w:t>Détermination</w:t>
      </w:r>
      <w:proofErr w:type="spellEnd"/>
      <w:r>
        <w:t xml:space="preserve"> de </w:t>
      </w:r>
      <w:proofErr w:type="spellStart"/>
      <w:r>
        <w:t>l’indice</w:t>
      </w:r>
      <w:proofErr w:type="spellEnd"/>
      <w:r>
        <w:t xml:space="preserve"> </w:t>
      </w:r>
      <w:proofErr w:type="spellStart"/>
      <w:r>
        <w:t>d’acide</w:t>
      </w:r>
      <w:proofErr w:type="spellEnd"/>
      <w:r w:rsidR="002745D8">
        <w:t>.</w:t>
      </w:r>
      <w:r>
        <w:t xml:space="preserve"> Deuxième édition.1999-10-15</w:t>
      </w:r>
    </w:p>
    <w:p w14:paraId="28E89CFD" w14:textId="39EF14D4" w:rsidR="00EB740E" w:rsidRDefault="00EB740E" w:rsidP="006F24B8">
      <w:pPr>
        <w:pStyle w:val="Body"/>
        <w:spacing w:after="120"/>
      </w:pPr>
      <w:r>
        <w:t xml:space="preserve">ISO 279:1998(F) </w:t>
      </w:r>
      <w:proofErr w:type="spellStart"/>
      <w:r>
        <w:t>Huiles</w:t>
      </w:r>
      <w:proofErr w:type="spellEnd"/>
      <w:r>
        <w:t xml:space="preserve"> </w:t>
      </w:r>
      <w:proofErr w:type="spellStart"/>
      <w:r>
        <w:t>essentielles</w:t>
      </w:r>
      <w:proofErr w:type="spellEnd"/>
      <w:r>
        <w:t xml:space="preserve"> </w:t>
      </w:r>
      <w:r w:rsidR="006F24B8">
        <w:t xml:space="preserve">- </w:t>
      </w:r>
      <w:proofErr w:type="spellStart"/>
      <w:r>
        <w:t>Détermination</w:t>
      </w:r>
      <w:proofErr w:type="spellEnd"/>
      <w:r>
        <w:t xml:space="preserve"> de la </w:t>
      </w:r>
      <w:proofErr w:type="spellStart"/>
      <w:r>
        <w:t>densité</w:t>
      </w:r>
      <w:proofErr w:type="spellEnd"/>
      <w:r>
        <w:t xml:space="preserve"> relative à 20 °C. </w:t>
      </w:r>
      <w:proofErr w:type="spellStart"/>
      <w:r>
        <w:t>Deuxième</w:t>
      </w:r>
      <w:proofErr w:type="spellEnd"/>
      <w:r>
        <w:t xml:space="preserve"> </w:t>
      </w:r>
      <w:proofErr w:type="spellStart"/>
      <w:r>
        <w:t>édition</w:t>
      </w:r>
      <w:proofErr w:type="spellEnd"/>
      <w:r>
        <w:t>. 1998-12-15</w:t>
      </w:r>
    </w:p>
    <w:p w14:paraId="3FBD5411" w14:textId="53D0F29E" w:rsidR="00EB740E" w:rsidRDefault="00EB740E" w:rsidP="006F24B8">
      <w:pPr>
        <w:pStyle w:val="Body"/>
        <w:spacing w:after="120"/>
      </w:pPr>
      <w:r>
        <w:t xml:space="preserve">ISO 709:2001 </w:t>
      </w:r>
      <w:proofErr w:type="spellStart"/>
      <w:r>
        <w:t>Huiles</w:t>
      </w:r>
      <w:proofErr w:type="spellEnd"/>
      <w:r>
        <w:t xml:space="preserve"> </w:t>
      </w:r>
      <w:proofErr w:type="spellStart"/>
      <w:r>
        <w:t>essentielles</w:t>
      </w:r>
      <w:proofErr w:type="spellEnd"/>
      <w:r>
        <w:t xml:space="preserve"> - </w:t>
      </w:r>
      <w:proofErr w:type="spellStart"/>
      <w:r>
        <w:t>Détermination</w:t>
      </w:r>
      <w:proofErr w:type="spellEnd"/>
      <w:r>
        <w:t xml:space="preserve"> de </w:t>
      </w:r>
      <w:proofErr w:type="spellStart"/>
      <w:r>
        <w:t>l’indice</w:t>
      </w:r>
      <w:proofErr w:type="spellEnd"/>
      <w:r>
        <w:t xml:space="preserve"> </w:t>
      </w:r>
      <w:proofErr w:type="spellStart"/>
      <w:r>
        <w:t>d’ester</w:t>
      </w:r>
      <w:proofErr w:type="spellEnd"/>
      <w:r>
        <w:t>. Deuxième édition</w:t>
      </w:r>
      <w:r w:rsidR="002745D8">
        <w:t>.</w:t>
      </w:r>
      <w:r>
        <w:t>2001-09-01</w:t>
      </w:r>
    </w:p>
    <w:p w14:paraId="6356955A" w14:textId="4FE0AB69" w:rsidR="00E36A37" w:rsidRDefault="00E36A37" w:rsidP="00E36A37">
      <w:pPr>
        <w:pStyle w:val="Body"/>
        <w:spacing w:after="120"/>
      </w:pPr>
      <w:r w:rsidRPr="00E36A37">
        <w:t xml:space="preserve">ISO 3140:2019 (F) </w:t>
      </w:r>
      <w:proofErr w:type="spellStart"/>
      <w:r>
        <w:t>Huile</w:t>
      </w:r>
      <w:proofErr w:type="spellEnd"/>
      <w:r>
        <w:t xml:space="preserve"> </w:t>
      </w:r>
      <w:proofErr w:type="spellStart"/>
      <w:r>
        <w:t>essentielle</w:t>
      </w:r>
      <w:proofErr w:type="spellEnd"/>
      <w:r>
        <w:t xml:space="preserve"> </w:t>
      </w:r>
      <w:proofErr w:type="spellStart"/>
      <w:r>
        <w:t>d'orange</w:t>
      </w:r>
      <w:proofErr w:type="spellEnd"/>
      <w:r>
        <w:t xml:space="preserve"> </w:t>
      </w:r>
      <w:proofErr w:type="spellStart"/>
      <w:r>
        <w:t>douce</w:t>
      </w:r>
      <w:proofErr w:type="spellEnd"/>
      <w:r>
        <w:t xml:space="preserve"> </w:t>
      </w:r>
      <w:proofErr w:type="spellStart"/>
      <w:r>
        <w:t>obtenue</w:t>
      </w:r>
      <w:proofErr w:type="spellEnd"/>
      <w:r>
        <w:t xml:space="preserve"> par expression [Citrus sinensis (L.)</w:t>
      </w:r>
      <w:r w:rsidRPr="00E36A37">
        <w:t xml:space="preserve">. </w:t>
      </w:r>
      <w:proofErr w:type="spellStart"/>
      <w:r>
        <w:t>Cinquième</w:t>
      </w:r>
      <w:proofErr w:type="spellEnd"/>
      <w:r>
        <w:t xml:space="preserve"> </w:t>
      </w:r>
      <w:proofErr w:type="spellStart"/>
      <w:r>
        <w:t>édition</w:t>
      </w:r>
      <w:proofErr w:type="spellEnd"/>
      <w:r>
        <w:t>. 2019-05</w:t>
      </w:r>
    </w:p>
    <w:p w14:paraId="3507890F" w14:textId="6087239F" w:rsidR="00EB740E" w:rsidRDefault="00EB740E" w:rsidP="006F24B8">
      <w:pPr>
        <w:pStyle w:val="Body"/>
        <w:spacing w:after="120"/>
      </w:pPr>
      <w:r>
        <w:t xml:space="preserve">Jain AS, Arora P, and Popli H. (2020). A comprehensive review on </w:t>
      </w:r>
      <w:r w:rsidRPr="006F24B8">
        <w:rPr>
          <w:i/>
          <w:iCs/>
        </w:rPr>
        <w:t>Citrus aurantifolia</w:t>
      </w:r>
      <w:r>
        <w:t xml:space="preserve"> essential </w:t>
      </w:r>
      <w:r w:rsidR="00741AF8">
        <w:t>oil:</w:t>
      </w:r>
      <w:r>
        <w:t xml:space="preserve"> its phytochemistry and pharmacological aspects. Brazilian Journal of Natural Sciences 3:354–364.</w:t>
      </w:r>
      <w:r w:rsidR="00CC7CF6" w:rsidRPr="00CC7CF6">
        <w:t xml:space="preserve"> </w:t>
      </w:r>
      <w:hyperlink r:id="rId29" w:history="1">
        <w:r w:rsidR="00135376" w:rsidRPr="009103E2">
          <w:rPr>
            <w:rStyle w:val="Hyperlink"/>
            <w:color w:val="0070C0"/>
          </w:rPr>
          <w:t>https://doi.org/10.31415/bjns.v3i2.101</w:t>
        </w:r>
      </w:hyperlink>
      <w:r w:rsidR="00135376">
        <w:t xml:space="preserve"> </w:t>
      </w:r>
    </w:p>
    <w:p w14:paraId="7D21E5A1" w14:textId="0455D6E9" w:rsidR="00EB740E" w:rsidRDefault="00EB740E" w:rsidP="006F24B8">
      <w:pPr>
        <w:pStyle w:val="Body"/>
        <w:spacing w:after="120"/>
      </w:pPr>
      <w:proofErr w:type="spellStart"/>
      <w:r>
        <w:t>Jalgaonkar</w:t>
      </w:r>
      <w:proofErr w:type="spellEnd"/>
      <w:r w:rsidR="005575D8">
        <w:t xml:space="preserve"> </w:t>
      </w:r>
      <w:r>
        <w:t xml:space="preserve">KR, Jha SK, Pal RK, Jha GK, and Samuel DVK. (2013). Effect of species and particle size on essential oil yield of citrus peel </w:t>
      </w:r>
      <w:r w:rsidR="00E964D7">
        <w:t>(Citrus</w:t>
      </w:r>
      <w:r>
        <w:t xml:space="preserve"> </w:t>
      </w:r>
      <w:proofErr w:type="spellStart"/>
      <w:r w:rsidR="00E964D7">
        <w:t>spp</w:t>
      </w:r>
      <w:proofErr w:type="spellEnd"/>
      <w:r w:rsidR="00E964D7">
        <w:t>)</w:t>
      </w:r>
      <w:r w:rsidR="00CC7CF6">
        <w:t>.</w:t>
      </w:r>
      <w:r>
        <w:t xml:space="preserve"> Indian Journal of Agricultural Sciences 83 (12): 1285–88</w:t>
      </w:r>
    </w:p>
    <w:p w14:paraId="04EAE52E" w14:textId="6CAF87FC" w:rsidR="00E36A37" w:rsidRDefault="00E36A37" w:rsidP="006F24B8">
      <w:pPr>
        <w:pStyle w:val="Body"/>
        <w:spacing w:after="120"/>
      </w:pPr>
      <w:proofErr w:type="spellStart"/>
      <w:r w:rsidRPr="00E36A37">
        <w:t>Kademi</w:t>
      </w:r>
      <w:proofErr w:type="spellEnd"/>
      <w:r w:rsidRPr="00E36A37">
        <w:t xml:space="preserve"> HI, </w:t>
      </w:r>
      <w:proofErr w:type="spellStart"/>
      <w:r w:rsidRPr="00E36A37">
        <w:t>Garba</w:t>
      </w:r>
      <w:proofErr w:type="spellEnd"/>
      <w:r w:rsidRPr="00E36A37">
        <w:t xml:space="preserve"> U (2017). Citrus peel essential oils: a review on composition and antimicrobial activities. International Journal of Food Safety, Nutrition, Public Health and Technology (2017) 9:38–44.</w:t>
      </w:r>
    </w:p>
    <w:p w14:paraId="18B34043" w14:textId="299702A8" w:rsidR="00EB740E" w:rsidRDefault="00EB740E" w:rsidP="006F24B8">
      <w:pPr>
        <w:pStyle w:val="Body"/>
        <w:spacing w:after="120"/>
      </w:pPr>
      <w:r>
        <w:t>Lin L, Chuang C, Chen H</w:t>
      </w:r>
      <w:r w:rsidR="00D100BA">
        <w:t>,</w:t>
      </w:r>
      <w:r w:rsidR="00D100BA" w:rsidRPr="00D100BA">
        <w:t xml:space="preserve"> Yang K</w:t>
      </w:r>
      <w:r>
        <w:t xml:space="preserve"> (2019). Lime (</w:t>
      </w:r>
      <w:r w:rsidRPr="006F24B8">
        <w:rPr>
          <w:i/>
          <w:iCs/>
        </w:rPr>
        <w:t xml:space="preserve">Citrus </w:t>
      </w:r>
      <w:proofErr w:type="spellStart"/>
      <w:r w:rsidRPr="006F24B8">
        <w:rPr>
          <w:i/>
          <w:iCs/>
        </w:rPr>
        <w:t>aurantifolia</w:t>
      </w:r>
      <w:proofErr w:type="spellEnd"/>
      <w:r>
        <w:t xml:space="preserve"> (</w:t>
      </w:r>
      <w:proofErr w:type="spellStart"/>
      <w:r>
        <w:t>Christm</w:t>
      </w:r>
      <w:proofErr w:type="spellEnd"/>
      <w:r>
        <w:t>.) Swingle) Essential Oils: Volatile Compounds, Antioxidant Capacity, and Hypolipidemic Effect. foods 8:398.</w:t>
      </w:r>
      <w:r w:rsidR="006E206C" w:rsidRPr="006E206C">
        <w:t xml:space="preserve"> </w:t>
      </w:r>
      <w:hyperlink r:id="rId30" w:history="1">
        <w:r w:rsidR="00135376" w:rsidRPr="009103E2">
          <w:rPr>
            <w:rStyle w:val="Hyperlink"/>
            <w:color w:val="0070C0"/>
          </w:rPr>
          <w:t>https://doi.org/10.3390/foods8090398</w:t>
        </w:r>
      </w:hyperlink>
    </w:p>
    <w:p w14:paraId="2C66B458" w14:textId="39F28E04" w:rsidR="00EB740E" w:rsidRDefault="00EB740E" w:rsidP="006F24B8">
      <w:pPr>
        <w:pStyle w:val="Body"/>
        <w:spacing w:after="120"/>
      </w:pPr>
      <w:r>
        <w:t xml:space="preserve">Mahanta BP, Bora PK, </w:t>
      </w:r>
      <w:proofErr w:type="spellStart"/>
      <w:r>
        <w:t>Kemprai</w:t>
      </w:r>
      <w:proofErr w:type="spellEnd"/>
      <w:r>
        <w:t xml:space="preserve"> P, Borah G, Lal M, Haldar S (2021). Thermolabile essential </w:t>
      </w:r>
      <w:r w:rsidR="001F693A">
        <w:t>oils,</w:t>
      </w:r>
      <w:r>
        <w:t xml:space="preserve"> aromas and </w:t>
      </w:r>
      <w:proofErr w:type="spellStart"/>
      <w:r w:rsidR="00A62122">
        <w:t>flavours</w:t>
      </w:r>
      <w:proofErr w:type="spellEnd"/>
      <w:r w:rsidR="00A62122">
        <w:t>:</w:t>
      </w:r>
      <w:r>
        <w:t xml:space="preserve"> Degradation </w:t>
      </w:r>
      <w:r w:rsidR="001F693A">
        <w:t>pathways,</w:t>
      </w:r>
      <w:r>
        <w:t xml:space="preserve"> effect of thermal processing and alteration of sensory quality. Food Research International 145:110404.</w:t>
      </w:r>
      <w:r w:rsidR="00527C5D" w:rsidRPr="00527C5D">
        <w:t xml:space="preserve"> </w:t>
      </w:r>
      <w:hyperlink r:id="rId31" w:history="1">
        <w:r w:rsidR="00135376" w:rsidRPr="009103E2">
          <w:rPr>
            <w:rStyle w:val="Hyperlink"/>
            <w:color w:val="0070C0"/>
          </w:rPr>
          <w:t>https://doi.org/10.1016/j.foodres.2021.110404</w:t>
        </w:r>
      </w:hyperlink>
      <w:r w:rsidR="00135376">
        <w:t xml:space="preserve"> </w:t>
      </w:r>
    </w:p>
    <w:p w14:paraId="7B216C9B" w14:textId="1ACE3928" w:rsidR="00EB740E" w:rsidRDefault="00EB740E" w:rsidP="006F24B8">
      <w:pPr>
        <w:pStyle w:val="Body"/>
        <w:spacing w:after="120"/>
      </w:pPr>
      <w:r>
        <w:t>Mansour</w:t>
      </w:r>
      <w:r w:rsidR="00527C5D" w:rsidRPr="00527C5D">
        <w:t xml:space="preserve"> </w:t>
      </w:r>
      <w:r w:rsidR="00527C5D">
        <w:t>MMA</w:t>
      </w:r>
      <w:r>
        <w:t>, Salem</w:t>
      </w:r>
      <w:r w:rsidR="00527C5D" w:rsidRPr="00527C5D">
        <w:t xml:space="preserve"> </w:t>
      </w:r>
      <w:r w:rsidR="00527C5D">
        <w:t>MZM</w:t>
      </w:r>
      <w:r>
        <w:t>, Hassan</w:t>
      </w:r>
      <w:r w:rsidR="00527C5D" w:rsidRPr="00527C5D">
        <w:t xml:space="preserve"> </w:t>
      </w:r>
      <w:r w:rsidR="00527C5D">
        <w:t>RRA</w:t>
      </w:r>
      <w:r>
        <w:t>,</w:t>
      </w:r>
      <w:r w:rsidR="00527C5D">
        <w:t xml:space="preserve"> </w:t>
      </w:r>
      <w:r>
        <w:t>Ali</w:t>
      </w:r>
      <w:r w:rsidR="00527C5D" w:rsidRPr="00527C5D">
        <w:t xml:space="preserve"> </w:t>
      </w:r>
      <w:r w:rsidR="00527C5D">
        <w:t>HM</w:t>
      </w:r>
      <w:r>
        <w:t xml:space="preserve">, Dunia </w:t>
      </w:r>
      <w:r w:rsidR="001F693A">
        <w:t>Farraj</w:t>
      </w:r>
      <w:r w:rsidR="00527C5D" w:rsidRPr="00527C5D">
        <w:t xml:space="preserve"> </w:t>
      </w:r>
      <w:r w:rsidR="00527C5D">
        <w:t>AA</w:t>
      </w:r>
      <w:r w:rsidR="001F693A">
        <w:t>, cand</w:t>
      </w:r>
      <w:r>
        <w:t xml:space="preserve"> MSE. (2021). Antifungal </w:t>
      </w:r>
      <w:r w:rsidR="00527C5D">
        <w:t>potential of three natural oils and their effects on the thermogravimetric and chromatic behaviors when applied to historical paper and various commercial paper sheets</w:t>
      </w:r>
      <w:r>
        <w:t xml:space="preserve">. </w:t>
      </w:r>
      <w:proofErr w:type="spellStart"/>
      <w:r>
        <w:t>BioResources</w:t>
      </w:r>
      <w:proofErr w:type="spellEnd"/>
      <w:r>
        <w:t xml:space="preserve"> 16:492–514.</w:t>
      </w:r>
    </w:p>
    <w:p w14:paraId="4C5071F1" w14:textId="008796C4" w:rsidR="00EB740E" w:rsidRDefault="00EB740E" w:rsidP="006F24B8">
      <w:pPr>
        <w:pStyle w:val="Body"/>
        <w:spacing w:after="120"/>
      </w:pPr>
      <w:proofErr w:type="spellStart"/>
      <w:r>
        <w:lastRenderedPageBreak/>
        <w:t>Manzur</w:t>
      </w:r>
      <w:proofErr w:type="spellEnd"/>
      <w:r>
        <w:t xml:space="preserve"> M, </w:t>
      </w:r>
      <w:proofErr w:type="spellStart"/>
      <w:r>
        <w:t>Luciardi</w:t>
      </w:r>
      <w:proofErr w:type="spellEnd"/>
      <w:r>
        <w:t xml:space="preserve"> C, Bl MA, Alberto R</w:t>
      </w:r>
      <w:r w:rsidR="00D40B5B">
        <w:t>,</w:t>
      </w:r>
      <w:r>
        <w:t xml:space="preserve"> Cartagena E (2023). </w:t>
      </w:r>
      <w:r w:rsidRPr="000C157C">
        <w:rPr>
          <w:i/>
          <w:iCs/>
        </w:rPr>
        <w:t>Citrus sinensis</w:t>
      </w:r>
      <w:r>
        <w:t xml:space="preserve"> </w:t>
      </w:r>
      <w:r w:rsidR="00D40B5B">
        <w:t xml:space="preserve">essential oils an innovative antioxidant and antipathogenic dual strategy in food preservation against </w:t>
      </w:r>
      <w:proofErr w:type="spellStart"/>
      <w:r w:rsidR="00D40B5B">
        <w:t>spoliage</w:t>
      </w:r>
      <w:proofErr w:type="spellEnd"/>
      <w:r w:rsidR="00D40B5B">
        <w:t xml:space="preserve"> bacteria.</w:t>
      </w:r>
      <w:r>
        <w:t xml:space="preserve"> </w:t>
      </w:r>
      <w:r w:rsidR="00D40B5B">
        <w:t>A</w:t>
      </w:r>
      <w:r w:rsidR="001F693A">
        <w:t>ntioxidants.</w:t>
      </w:r>
      <w:r>
        <w:t>12</w:t>
      </w:r>
      <w:r w:rsidR="00D40B5B">
        <w:t>:</w:t>
      </w:r>
      <w:r>
        <w:t xml:space="preserve"> 246.</w:t>
      </w:r>
      <w:r w:rsidR="00527C5D" w:rsidRPr="00527C5D">
        <w:t xml:space="preserve"> </w:t>
      </w:r>
      <w:hyperlink r:id="rId32" w:history="1">
        <w:r w:rsidR="00135376" w:rsidRPr="009103E2">
          <w:rPr>
            <w:rStyle w:val="Hyperlink"/>
            <w:color w:val="0070C0"/>
          </w:rPr>
          <w:t>https://doi.org/10.3390/antiox12020246</w:t>
        </w:r>
      </w:hyperlink>
      <w:r w:rsidR="00135376" w:rsidRPr="009103E2">
        <w:rPr>
          <w:color w:val="0070C0"/>
        </w:rPr>
        <w:t xml:space="preserve">  </w:t>
      </w:r>
    </w:p>
    <w:p w14:paraId="452FF94D" w14:textId="21A8B9F3" w:rsidR="00EB740E" w:rsidRDefault="00EB740E" w:rsidP="006F24B8">
      <w:pPr>
        <w:pStyle w:val="Body"/>
        <w:spacing w:after="120"/>
      </w:pPr>
      <w:r>
        <w:t xml:space="preserve">Mercy A, Oladele O, </w:t>
      </w:r>
      <w:proofErr w:type="spellStart"/>
      <w:r>
        <w:t>Olatunya</w:t>
      </w:r>
      <w:proofErr w:type="spellEnd"/>
      <w:r>
        <w:t xml:space="preserve"> S, </w:t>
      </w:r>
      <w:proofErr w:type="spellStart"/>
      <w:r>
        <w:t>Foluso</w:t>
      </w:r>
      <w:proofErr w:type="spellEnd"/>
      <w:r>
        <w:t xml:space="preserve"> G, Lateef H, Adeyemi A (2024). Antimicrobial activities of essential oils from three species of citrus fruits against six infectious tropical </w:t>
      </w:r>
      <w:r w:rsidR="001F693A">
        <w:t>bacteria:</w:t>
      </w:r>
      <w:r>
        <w:t xml:space="preserve"> implications for the care and control of common bacterial tropical diseases in developing countries. Discover Applied Sciences</w:t>
      </w:r>
      <w:r w:rsidR="00D40B5B" w:rsidRPr="00D40B5B">
        <w:t xml:space="preserve"> 6:209</w:t>
      </w:r>
      <w:r w:rsidR="00D40B5B">
        <w:t>.</w:t>
      </w:r>
      <w:r>
        <w:t xml:space="preserve"> </w:t>
      </w:r>
      <w:hyperlink r:id="rId33" w:history="1">
        <w:r w:rsidR="009103E2" w:rsidRPr="009103E2">
          <w:rPr>
            <w:rStyle w:val="Hyperlink"/>
            <w:color w:val="0070C0"/>
          </w:rPr>
          <w:t>https://doi.org/10.1007/s42452-024-05813-5</w:t>
        </w:r>
      </w:hyperlink>
    </w:p>
    <w:p w14:paraId="5C7BD524" w14:textId="52377D02" w:rsidR="00EB740E" w:rsidRDefault="00EB740E" w:rsidP="006F24B8">
      <w:pPr>
        <w:pStyle w:val="Body"/>
        <w:spacing w:after="120"/>
      </w:pPr>
      <w:r>
        <w:t>Meryem</w:t>
      </w:r>
      <w:r w:rsidR="00D40B5B">
        <w:t xml:space="preserve"> </w:t>
      </w:r>
      <w:r>
        <w:t>S</w:t>
      </w:r>
      <w:r w:rsidR="00D40B5B">
        <w:t xml:space="preserve">, </w:t>
      </w:r>
      <w:r>
        <w:t>Mohamed</w:t>
      </w:r>
      <w:r w:rsidR="00D40B5B">
        <w:t xml:space="preserve"> </w:t>
      </w:r>
      <w:r>
        <w:t>D, Nour-</w:t>
      </w:r>
      <w:proofErr w:type="spellStart"/>
      <w:r>
        <w:t>eddine</w:t>
      </w:r>
      <w:proofErr w:type="spellEnd"/>
      <w:r>
        <w:t xml:space="preserve"> C, </w:t>
      </w:r>
      <w:proofErr w:type="spellStart"/>
      <w:r>
        <w:t>Faouzi</w:t>
      </w:r>
      <w:proofErr w:type="spellEnd"/>
      <w:r>
        <w:t xml:space="preserve"> E (2023). Chemical </w:t>
      </w:r>
      <w:r w:rsidR="001F693A">
        <w:t>composition,</w:t>
      </w:r>
      <w:r>
        <w:t xml:space="preserve"> antibacterial and antioxidant properties of three Moroccan citrus peel essential oils.</w:t>
      </w:r>
      <w:r w:rsidR="00D40B5B" w:rsidRPr="00D40B5B">
        <w:t xml:space="preserve"> Scientific African </w:t>
      </w:r>
      <w:r w:rsidR="00A072BE" w:rsidRPr="00A072BE">
        <w:t>20</w:t>
      </w:r>
      <w:r w:rsidR="00A072BE">
        <w:t>:</w:t>
      </w:r>
      <w:r w:rsidR="00A072BE" w:rsidRPr="00A072BE">
        <w:t xml:space="preserve"> e01592 </w:t>
      </w:r>
      <w:hyperlink r:id="rId34" w:history="1">
        <w:r w:rsidR="009103E2" w:rsidRPr="009103E2">
          <w:rPr>
            <w:rStyle w:val="Hyperlink"/>
            <w:color w:val="0070C0"/>
          </w:rPr>
          <w:t>https://doi.org/10.1016/j.sciaf.2023.e01592</w:t>
        </w:r>
      </w:hyperlink>
      <w:r w:rsidR="009103E2">
        <w:t xml:space="preserve"> </w:t>
      </w:r>
    </w:p>
    <w:p w14:paraId="15AC9B93" w14:textId="4CA23657" w:rsidR="00EB740E" w:rsidRDefault="00EB740E" w:rsidP="006F24B8">
      <w:pPr>
        <w:pStyle w:val="Body"/>
        <w:spacing w:after="120"/>
      </w:pPr>
      <w:proofErr w:type="spellStart"/>
      <w:r>
        <w:t>Muhoho</w:t>
      </w:r>
      <w:proofErr w:type="spellEnd"/>
      <w:r>
        <w:t xml:space="preserve"> S, </w:t>
      </w:r>
      <w:proofErr w:type="spellStart"/>
      <w:r>
        <w:t>Thi</w:t>
      </w:r>
      <w:proofErr w:type="spellEnd"/>
      <w:r>
        <w:t xml:space="preserve"> N, Phi L, Sawamura M (2014). Chemical Composition of Peel Essential Oils of Sweet Oranges </w:t>
      </w:r>
      <w:r w:rsidR="001F693A">
        <w:t>(</w:t>
      </w:r>
      <w:r w:rsidR="001F693A" w:rsidRPr="000C157C">
        <w:rPr>
          <w:i/>
          <w:iCs/>
        </w:rPr>
        <w:t>Citrus</w:t>
      </w:r>
      <w:r w:rsidRPr="000C157C">
        <w:rPr>
          <w:i/>
          <w:iCs/>
        </w:rPr>
        <w:t xml:space="preserve"> </w:t>
      </w:r>
      <w:r w:rsidR="001F693A" w:rsidRPr="000C157C">
        <w:rPr>
          <w:i/>
          <w:iCs/>
        </w:rPr>
        <w:t>sinensis</w:t>
      </w:r>
      <w:r w:rsidR="001F693A">
        <w:t>)</w:t>
      </w:r>
      <w:r>
        <w:t xml:space="preserve"> from Uganda and Rwanda. Journal of Essential </w:t>
      </w:r>
      <w:r w:rsidR="001F693A">
        <w:t>Oil-Bearing</w:t>
      </w:r>
      <w:r>
        <w:t xml:space="preserve"> Plants 12:26–33.</w:t>
      </w:r>
      <w:r w:rsidR="00A072BE" w:rsidRPr="00A072BE">
        <w:t xml:space="preserve"> </w:t>
      </w:r>
      <w:hyperlink r:id="rId35" w:history="1">
        <w:r w:rsidR="009103E2" w:rsidRPr="009103E2">
          <w:rPr>
            <w:rStyle w:val="Hyperlink"/>
            <w:color w:val="0070C0"/>
          </w:rPr>
          <w:t>http://dx.doi.org/10.1080/0972060X.2009.10643687</w:t>
        </w:r>
      </w:hyperlink>
      <w:r w:rsidR="009103E2">
        <w:t xml:space="preserve"> </w:t>
      </w:r>
      <w:r w:rsidR="00A072BE" w:rsidRPr="00A072BE">
        <w:t xml:space="preserve"> </w:t>
      </w:r>
    </w:p>
    <w:p w14:paraId="1A38431E" w14:textId="527ECAAF" w:rsidR="00A072BE" w:rsidRDefault="00EB740E" w:rsidP="006F24B8">
      <w:pPr>
        <w:pStyle w:val="Body"/>
        <w:spacing w:after="120"/>
        <w:rPr>
          <w:color w:val="0070C0"/>
        </w:rPr>
      </w:pPr>
      <w:r>
        <w:t>Olmedo-</w:t>
      </w:r>
      <w:proofErr w:type="spellStart"/>
      <w:r>
        <w:t>galarza</w:t>
      </w:r>
      <w:proofErr w:type="spellEnd"/>
      <w:r>
        <w:t xml:space="preserve"> V, Pinto-</w:t>
      </w:r>
      <w:proofErr w:type="spellStart"/>
      <w:r>
        <w:t>mosquera</w:t>
      </w:r>
      <w:proofErr w:type="spellEnd"/>
      <w:r>
        <w:t xml:space="preserve"> N,</w:t>
      </w:r>
      <w:r w:rsidR="00A072BE">
        <w:t xml:space="preserve"> </w:t>
      </w:r>
      <w:r>
        <w:t>Pineda-flores</w:t>
      </w:r>
      <w:r w:rsidR="00A072BE">
        <w:t xml:space="preserve"> </w:t>
      </w:r>
      <w:r>
        <w:t xml:space="preserve">H (2025). Citrus Waste </w:t>
      </w:r>
      <w:r w:rsidR="001F693A">
        <w:t>Valorization:</w:t>
      </w:r>
      <w:r>
        <w:t xml:space="preserve"> Unconventional Pathways for Sustainable Biomaterials and Bioactive Products</w:t>
      </w:r>
      <w:r w:rsidR="00A072BE">
        <w:t>.</w:t>
      </w:r>
      <w:r>
        <w:t xml:space="preserve"> </w:t>
      </w:r>
      <w:r w:rsidR="00A072BE" w:rsidRPr="00A072BE">
        <w:t>Sustainability 17</w:t>
      </w:r>
      <w:r w:rsidR="00A072BE">
        <w:t>:</w:t>
      </w:r>
      <w:r w:rsidR="00A072BE" w:rsidRPr="00A072BE">
        <w:t xml:space="preserve"> 10887</w:t>
      </w:r>
      <w:r w:rsidR="00A072BE">
        <w:t xml:space="preserve">. </w:t>
      </w:r>
      <w:hyperlink r:id="rId36" w:history="1">
        <w:r w:rsidR="009103E2" w:rsidRPr="009103E2">
          <w:rPr>
            <w:rStyle w:val="Hyperlink"/>
            <w:color w:val="0070C0"/>
          </w:rPr>
          <w:t>https://doi.org/10.3390/su172410887</w:t>
        </w:r>
      </w:hyperlink>
      <w:r w:rsidR="009103E2" w:rsidRPr="009103E2">
        <w:rPr>
          <w:color w:val="0070C0"/>
        </w:rPr>
        <w:t xml:space="preserve"> </w:t>
      </w:r>
      <w:r w:rsidR="00A072BE" w:rsidRPr="009103E2">
        <w:rPr>
          <w:color w:val="0070C0"/>
        </w:rPr>
        <w:t xml:space="preserve"> </w:t>
      </w:r>
    </w:p>
    <w:p w14:paraId="566366AB" w14:textId="54A2ED53" w:rsidR="00C91982" w:rsidRDefault="00C91982" w:rsidP="006F24B8">
      <w:pPr>
        <w:pStyle w:val="Body"/>
        <w:spacing w:after="120"/>
      </w:pPr>
      <w:r w:rsidRPr="00C91982">
        <w:t xml:space="preserve">Oussou KR, Kanko C, </w:t>
      </w:r>
      <w:proofErr w:type="spellStart"/>
      <w:r w:rsidRPr="00C91982">
        <w:t>Kouassi</w:t>
      </w:r>
      <w:proofErr w:type="spellEnd"/>
      <w:r w:rsidRPr="00C91982">
        <w:t xml:space="preserve"> AP, </w:t>
      </w:r>
      <w:proofErr w:type="spellStart"/>
      <w:r w:rsidRPr="00C91982">
        <w:t>Guessennd</w:t>
      </w:r>
      <w:proofErr w:type="spellEnd"/>
      <w:r w:rsidRPr="00C91982">
        <w:t xml:space="preserve"> KN, </w:t>
      </w:r>
      <w:proofErr w:type="spellStart"/>
      <w:r w:rsidRPr="00C91982">
        <w:t>Boti</w:t>
      </w:r>
      <w:proofErr w:type="spellEnd"/>
      <w:r w:rsidRPr="00C91982">
        <w:t xml:space="preserve"> JB (2017). Chemical composition and inhibitory effects of essential oils of two </w:t>
      </w:r>
      <w:proofErr w:type="spellStart"/>
      <w:r w:rsidRPr="00C91982">
        <w:t>Rutaceae</w:t>
      </w:r>
      <w:proofErr w:type="spellEnd"/>
      <w:r w:rsidRPr="00C91982">
        <w:t xml:space="preserve"> of Côte d'Ivoire: </w:t>
      </w:r>
      <w:proofErr w:type="spellStart"/>
      <w:r w:rsidRPr="00C91982">
        <w:rPr>
          <w:i/>
          <w:iCs/>
        </w:rPr>
        <w:t>Clausena</w:t>
      </w:r>
      <w:proofErr w:type="spellEnd"/>
      <w:r w:rsidRPr="00C91982">
        <w:rPr>
          <w:i/>
          <w:iCs/>
        </w:rPr>
        <w:t xml:space="preserve"> </w:t>
      </w:r>
      <w:proofErr w:type="spellStart"/>
      <w:r w:rsidRPr="00C91982">
        <w:rPr>
          <w:i/>
          <w:iCs/>
        </w:rPr>
        <w:t>anisata</w:t>
      </w:r>
      <w:proofErr w:type="spellEnd"/>
      <w:r w:rsidRPr="00C91982">
        <w:t xml:space="preserve"> and </w:t>
      </w:r>
      <w:r w:rsidRPr="00C91982">
        <w:rPr>
          <w:i/>
          <w:iCs/>
        </w:rPr>
        <w:t>Citrus aurantifolia</w:t>
      </w:r>
      <w:r>
        <w:t>.</w:t>
      </w:r>
      <w:r w:rsidRPr="00C91982">
        <w:t xml:space="preserve"> International Journal of Engineering and Applied Sciences 2: 8</w:t>
      </w:r>
      <w:r>
        <w:t xml:space="preserve"> –</w:t>
      </w:r>
      <w:r w:rsidRPr="00C91982">
        <w:t>12</w:t>
      </w:r>
      <w:r>
        <w:t>.</w:t>
      </w:r>
    </w:p>
    <w:p w14:paraId="37CF9DBA" w14:textId="0E2E1DC2" w:rsidR="00EB740E" w:rsidRDefault="00EB740E" w:rsidP="006F24B8">
      <w:pPr>
        <w:pStyle w:val="Body"/>
        <w:spacing w:after="120"/>
      </w:pPr>
      <w:r>
        <w:t>PDCFL (2017). Reference Situation of the Fruit and Vegetable Crop Development Program (PDCFL), 2018-2022 Phase. Development, Ministry of Agriculture and Hydraulic. Ouagadougou.</w:t>
      </w:r>
    </w:p>
    <w:p w14:paraId="32E2C76E" w14:textId="1B7844D1" w:rsidR="00EB740E" w:rsidRDefault="00EB740E" w:rsidP="006F24B8">
      <w:pPr>
        <w:pStyle w:val="Body"/>
        <w:spacing w:after="120"/>
      </w:pPr>
      <w:r>
        <w:t>Rashid</w:t>
      </w:r>
      <w:r w:rsidR="00B66803">
        <w:t xml:space="preserve"> </w:t>
      </w:r>
      <w:r>
        <w:t xml:space="preserve">H (2024). Synergistic </w:t>
      </w:r>
      <w:r w:rsidR="006F24B8">
        <w:t>antifungal potential of essential oils extracted from peels of selected citrus fruits.</w:t>
      </w:r>
      <w:r w:rsidR="00A072BE" w:rsidRPr="00A072BE">
        <w:t xml:space="preserve"> </w:t>
      </w:r>
      <w:proofErr w:type="spellStart"/>
      <w:r w:rsidR="00A072BE">
        <w:t>Technoarete</w:t>
      </w:r>
      <w:proofErr w:type="spellEnd"/>
      <w:r w:rsidR="00A072BE">
        <w:t xml:space="preserve"> Transactions on Recent Research in Applied Microbiology and Biotechnology </w:t>
      </w:r>
      <w:r>
        <w:t>3:1–5.</w:t>
      </w:r>
    </w:p>
    <w:p w14:paraId="41099F27" w14:textId="0BDCB6F3" w:rsidR="00EB740E" w:rsidRDefault="00EB740E" w:rsidP="006F24B8">
      <w:pPr>
        <w:pStyle w:val="Body"/>
        <w:spacing w:after="120"/>
      </w:pPr>
      <w:r>
        <w:t>Satari B, Karimi K (2018). Citrus processing wastes: Environmental impacts, recent advances, and future perspectives in total valorization. Resources, Conservation and Recycling 129:153–167.</w:t>
      </w:r>
      <w:r w:rsidR="00B66803" w:rsidRPr="00B66803">
        <w:t xml:space="preserve"> </w:t>
      </w:r>
      <w:hyperlink r:id="rId37" w:history="1">
        <w:r w:rsidR="009103E2" w:rsidRPr="009103E2">
          <w:rPr>
            <w:rStyle w:val="Hyperlink"/>
            <w:color w:val="0070C0"/>
          </w:rPr>
          <w:t>http://dx.doi.org/10.1016/j.resconrec.2017.10.032</w:t>
        </w:r>
      </w:hyperlink>
      <w:r w:rsidR="009103E2" w:rsidRPr="009103E2">
        <w:rPr>
          <w:color w:val="0070C0"/>
        </w:rPr>
        <w:t xml:space="preserve"> </w:t>
      </w:r>
    </w:p>
    <w:p w14:paraId="292B6CFE" w14:textId="5CA09D85" w:rsidR="00EB740E" w:rsidRDefault="00EB740E" w:rsidP="005A4AA1">
      <w:pPr>
        <w:pStyle w:val="Body"/>
        <w:spacing w:after="120"/>
      </w:pPr>
      <w:r>
        <w:t xml:space="preserve">Sharma P, Vishvakarma R, Gautam K, Vimal A, Kumar V, Farooqui A, </w:t>
      </w:r>
      <w:proofErr w:type="spellStart"/>
      <w:r>
        <w:t>Varjani</w:t>
      </w:r>
      <w:proofErr w:type="spellEnd"/>
      <w:r>
        <w:t xml:space="preserve"> S, Younis K (2022). Valorization of citrus peel waste for the sustainable production of value-added products</w:t>
      </w:r>
      <w:r w:rsidR="00B66803">
        <w:t>.</w:t>
      </w:r>
      <w:r>
        <w:t xml:space="preserve"> </w:t>
      </w:r>
      <w:r w:rsidR="00B66803" w:rsidRPr="00B66803">
        <w:t xml:space="preserve">Bioresource Technology </w:t>
      </w:r>
      <w:r>
        <w:t>351</w:t>
      </w:r>
      <w:r w:rsidR="00B66803" w:rsidRPr="00B66803">
        <w:t xml:space="preserve"> </w:t>
      </w:r>
      <w:r w:rsidR="00B66803">
        <w:t>:</w:t>
      </w:r>
      <w:r w:rsidR="00B66803" w:rsidRPr="00B66803">
        <w:t>127064</w:t>
      </w:r>
      <w:r w:rsidR="00B66803">
        <w:t>.</w:t>
      </w:r>
      <w:r w:rsidR="00B66803" w:rsidRPr="00B66803">
        <w:t xml:space="preserve"> </w:t>
      </w:r>
      <w:hyperlink r:id="rId38" w:history="1">
        <w:r w:rsidR="009103E2" w:rsidRPr="009103E2">
          <w:rPr>
            <w:rStyle w:val="Hyperlink"/>
            <w:color w:val="0070C0"/>
          </w:rPr>
          <w:t>https://doi.org/10.1016/j.biortech.2022.127064</w:t>
        </w:r>
      </w:hyperlink>
      <w:r w:rsidR="009103E2" w:rsidRPr="009103E2">
        <w:rPr>
          <w:color w:val="0070C0"/>
        </w:rPr>
        <w:t xml:space="preserve"> </w:t>
      </w:r>
    </w:p>
    <w:p w14:paraId="2646A8B0" w14:textId="40561C94" w:rsidR="00A62122" w:rsidRDefault="00A62122" w:rsidP="006F24B8">
      <w:pPr>
        <w:pStyle w:val="Body"/>
        <w:spacing w:after="120"/>
      </w:pPr>
      <w:proofErr w:type="spellStart"/>
      <w:r w:rsidRPr="00A62122">
        <w:t>Sharmeen</w:t>
      </w:r>
      <w:proofErr w:type="spellEnd"/>
      <w:r w:rsidRPr="00A62122">
        <w:t xml:space="preserve"> JB, </w:t>
      </w:r>
      <w:proofErr w:type="spellStart"/>
      <w:r w:rsidRPr="00A62122">
        <w:t>Mahomoodally</w:t>
      </w:r>
      <w:proofErr w:type="spellEnd"/>
      <w:r w:rsidRPr="00A62122">
        <w:t xml:space="preserve"> FM, </w:t>
      </w:r>
      <w:proofErr w:type="spellStart"/>
      <w:r w:rsidRPr="00A62122">
        <w:t>Zengin</w:t>
      </w:r>
      <w:proofErr w:type="spellEnd"/>
      <w:r w:rsidRPr="00A62122">
        <w:t xml:space="preserve"> G and Maggi F (2021). </w:t>
      </w:r>
      <w:r w:rsidR="006F24B8">
        <w:t>E</w:t>
      </w:r>
      <w:r w:rsidR="006F24B8" w:rsidRPr="00A62122">
        <w:t>ssential oils as natural sources of fragrance compounds for cosmetics and cosmeceuticals</w:t>
      </w:r>
      <w:r w:rsidRPr="00A62122">
        <w:t>. Molecules 26</w:t>
      </w:r>
      <w:r w:rsidR="00B66803">
        <w:t>:</w:t>
      </w:r>
      <w:r w:rsidRPr="00A62122">
        <w:t xml:space="preserve"> 666.</w:t>
      </w:r>
      <w:r w:rsidR="00B66803" w:rsidRPr="00B66803">
        <w:t xml:space="preserve"> </w:t>
      </w:r>
      <w:hyperlink r:id="rId39" w:history="1">
        <w:r w:rsidR="00394C95" w:rsidRPr="009103E2">
          <w:rPr>
            <w:rStyle w:val="Hyperlink"/>
            <w:color w:val="0070C0"/>
          </w:rPr>
          <w:t>https://doi.org/10.3390/molecules26030666</w:t>
        </w:r>
      </w:hyperlink>
    </w:p>
    <w:p w14:paraId="5BF770F6" w14:textId="0F4801BA" w:rsidR="00394C95" w:rsidRDefault="00394C95" w:rsidP="006F24B8">
      <w:pPr>
        <w:pStyle w:val="Body"/>
        <w:spacing w:after="120"/>
      </w:pPr>
      <w:proofErr w:type="spellStart"/>
      <w:r w:rsidRPr="00394C95">
        <w:t>Ungo</w:t>
      </w:r>
      <w:proofErr w:type="spellEnd"/>
      <w:r w:rsidRPr="00394C95">
        <w:t xml:space="preserve">-kore HY, </w:t>
      </w:r>
      <w:proofErr w:type="spellStart"/>
      <w:r w:rsidRPr="00394C95">
        <w:t>Olorunmola</w:t>
      </w:r>
      <w:proofErr w:type="spellEnd"/>
      <w:r w:rsidRPr="00394C95">
        <w:t xml:space="preserve"> EJ, Ademola OJ, Stephen OO (2021). </w:t>
      </w:r>
      <w:proofErr w:type="spellStart"/>
      <w:r w:rsidRPr="00394C95">
        <w:t>Antidermatophytic</w:t>
      </w:r>
      <w:proofErr w:type="spellEnd"/>
      <w:r w:rsidRPr="00394C95">
        <w:t xml:space="preserve"> activity and chemical composition of Nigerian </w:t>
      </w:r>
      <w:r w:rsidRPr="000C157C">
        <w:rPr>
          <w:i/>
          <w:iCs/>
        </w:rPr>
        <w:t>Citrus sinensis</w:t>
      </w:r>
      <w:r w:rsidRPr="00394C95">
        <w:t xml:space="preserve"> (L.) Osbeck essential oil against Multidrug-Resistant Pathogenic dermatophytes Isolated from tinea capitis Samples. Archives of Pharmaceutical Sciences Ain Shams University 5:275–287. </w:t>
      </w:r>
      <w:hyperlink r:id="rId40" w:history="1">
        <w:r w:rsidR="009103E2" w:rsidRPr="009103E2">
          <w:rPr>
            <w:rStyle w:val="Hyperlink"/>
            <w:color w:val="0070C0"/>
          </w:rPr>
          <w:t>https://doi.org/10.21608/aps.2021.87917.1066</w:t>
        </w:r>
      </w:hyperlink>
      <w:r w:rsidR="009103E2" w:rsidRPr="009103E2">
        <w:rPr>
          <w:color w:val="0070C0"/>
        </w:rPr>
        <w:t xml:space="preserve">  </w:t>
      </w:r>
    </w:p>
    <w:p w14:paraId="3C33496C" w14:textId="68F2FE30" w:rsidR="00394C95" w:rsidRDefault="00EB740E" w:rsidP="006F24B8">
      <w:pPr>
        <w:pStyle w:val="Body"/>
        <w:spacing w:after="120"/>
      </w:pPr>
      <w:r>
        <w:t xml:space="preserve"> </w:t>
      </w:r>
      <w:proofErr w:type="spellStart"/>
      <w:r>
        <w:t>Vekiari</w:t>
      </w:r>
      <w:proofErr w:type="spellEnd"/>
      <w:r w:rsidR="007968F4" w:rsidRPr="007968F4">
        <w:t xml:space="preserve"> </w:t>
      </w:r>
      <w:r w:rsidR="007968F4">
        <w:t>SA</w:t>
      </w:r>
      <w:r>
        <w:t xml:space="preserve">, </w:t>
      </w:r>
      <w:proofErr w:type="spellStart"/>
      <w:r>
        <w:t>Protopapadakis</w:t>
      </w:r>
      <w:proofErr w:type="spellEnd"/>
      <w:r>
        <w:t xml:space="preserve"> </w:t>
      </w:r>
      <w:r w:rsidR="007968F4">
        <w:t xml:space="preserve">EE, </w:t>
      </w:r>
      <w:r>
        <w:t>Papadopoulou</w:t>
      </w:r>
      <w:r w:rsidR="007968F4" w:rsidRPr="007968F4">
        <w:t xml:space="preserve"> </w:t>
      </w:r>
      <w:r w:rsidR="007968F4">
        <w:t>P</w:t>
      </w:r>
      <w:r>
        <w:t>, Papanicolaou</w:t>
      </w:r>
      <w:r w:rsidR="007968F4" w:rsidRPr="007968F4">
        <w:t xml:space="preserve"> </w:t>
      </w:r>
      <w:r w:rsidR="007968F4">
        <w:t>D</w:t>
      </w:r>
      <w:r>
        <w:t xml:space="preserve">, </w:t>
      </w:r>
      <w:proofErr w:type="spellStart"/>
      <w:r>
        <w:t>Panou</w:t>
      </w:r>
      <w:proofErr w:type="spellEnd"/>
      <w:r w:rsidR="007968F4" w:rsidRPr="007968F4">
        <w:t xml:space="preserve"> </w:t>
      </w:r>
      <w:r w:rsidR="007968F4">
        <w:t>C,</w:t>
      </w:r>
      <w:r w:rsidR="007968F4" w:rsidRPr="007968F4">
        <w:t xml:space="preserve"> </w:t>
      </w:r>
      <w:proofErr w:type="spellStart"/>
      <w:r w:rsidR="007968F4" w:rsidRPr="007968F4">
        <w:t>Vamvakias</w:t>
      </w:r>
      <w:proofErr w:type="spellEnd"/>
      <w:r w:rsidR="007968F4" w:rsidRPr="007968F4">
        <w:t xml:space="preserve"> </w:t>
      </w:r>
      <w:r>
        <w:t xml:space="preserve">M (2002). </w:t>
      </w:r>
      <w:r w:rsidR="005A4AA1">
        <w:t xml:space="preserve">Composition and seasonal variation of the essential oil from leaves and peel of a </w:t>
      </w:r>
      <w:proofErr w:type="spellStart"/>
      <w:r w:rsidR="005A4AA1">
        <w:t>cretan</w:t>
      </w:r>
      <w:proofErr w:type="spellEnd"/>
      <w:r w:rsidR="005A4AA1">
        <w:t xml:space="preserve"> lemon variety</w:t>
      </w:r>
      <w:r>
        <w:t>. J</w:t>
      </w:r>
      <w:r w:rsidR="00196972">
        <w:t xml:space="preserve">ournal </w:t>
      </w:r>
      <w:r w:rsidR="00C32A45">
        <w:t>of Agricultural</w:t>
      </w:r>
      <w:r w:rsidR="00196972">
        <w:t xml:space="preserve"> and</w:t>
      </w:r>
      <w:r>
        <w:t xml:space="preserve"> Food Chem</w:t>
      </w:r>
      <w:r w:rsidR="00196972">
        <w:t>istry</w:t>
      </w:r>
      <w:r>
        <w:t xml:space="preserve"> 50:147–153.</w:t>
      </w:r>
      <w:r w:rsidR="00196972" w:rsidRPr="009103E2">
        <w:rPr>
          <w:color w:val="0070C0"/>
        </w:rPr>
        <w:t xml:space="preserve"> </w:t>
      </w:r>
      <w:hyperlink r:id="rId41" w:history="1">
        <w:r w:rsidR="009103E2" w:rsidRPr="009103E2">
          <w:rPr>
            <w:rStyle w:val="Hyperlink"/>
            <w:color w:val="0070C0"/>
          </w:rPr>
          <w:t>https://doi.org/10.1021/jf001369a</w:t>
        </w:r>
      </w:hyperlink>
      <w:r w:rsidR="009103E2">
        <w:t xml:space="preserve"> </w:t>
      </w:r>
      <w:r w:rsidR="00196972" w:rsidRPr="00196972">
        <w:t xml:space="preserve"> </w:t>
      </w:r>
    </w:p>
    <w:p w14:paraId="538C5D80" w14:textId="62AB8EAB" w:rsidR="00A62122" w:rsidRDefault="00A62122" w:rsidP="009103E2">
      <w:pPr>
        <w:pStyle w:val="Body"/>
        <w:spacing w:after="120"/>
      </w:pPr>
      <w:proofErr w:type="spellStart"/>
      <w:r w:rsidRPr="00A62122">
        <w:t>Viuda-Martos</w:t>
      </w:r>
      <w:proofErr w:type="spellEnd"/>
      <w:r w:rsidRPr="00A62122">
        <w:t xml:space="preserve"> M, Ruiz-</w:t>
      </w:r>
      <w:proofErr w:type="spellStart"/>
      <w:r w:rsidRPr="00A62122">
        <w:t>Navajas</w:t>
      </w:r>
      <w:proofErr w:type="spellEnd"/>
      <w:r w:rsidRPr="00A62122">
        <w:t xml:space="preserve"> Y, Fernandez-Lopez J, </w:t>
      </w:r>
      <w:proofErr w:type="spellStart"/>
      <w:r w:rsidRPr="00A62122">
        <w:t>lvarez</w:t>
      </w:r>
      <w:proofErr w:type="spellEnd"/>
      <w:r w:rsidRPr="00A62122">
        <w:t xml:space="preserve"> JPA (2008). Antifungal activity of lemon (</w:t>
      </w:r>
      <w:r w:rsidRPr="000C157C">
        <w:rPr>
          <w:i/>
          <w:iCs/>
        </w:rPr>
        <w:t>Citrus lemon</w:t>
      </w:r>
      <w:r w:rsidRPr="00A62122">
        <w:t xml:space="preserve"> L.), mandarin (</w:t>
      </w:r>
      <w:r w:rsidRPr="005A4AA1">
        <w:rPr>
          <w:i/>
          <w:iCs/>
        </w:rPr>
        <w:t>Citrus reticulata</w:t>
      </w:r>
      <w:r w:rsidRPr="00A62122">
        <w:t xml:space="preserve"> L.), grapefruit (</w:t>
      </w:r>
      <w:r w:rsidRPr="005A4AA1">
        <w:rPr>
          <w:i/>
          <w:iCs/>
        </w:rPr>
        <w:t>Citrus paradisi</w:t>
      </w:r>
      <w:r w:rsidRPr="00A62122">
        <w:t xml:space="preserve"> L.) and orange (</w:t>
      </w:r>
      <w:r w:rsidRPr="005A4AA1">
        <w:rPr>
          <w:i/>
          <w:iCs/>
        </w:rPr>
        <w:t xml:space="preserve">Citrus sinensis </w:t>
      </w:r>
      <w:r w:rsidRPr="00A62122">
        <w:t>L.) essential oils. Food Control 19:1130–1138.</w:t>
      </w:r>
      <w:r w:rsidR="009103E2">
        <w:t xml:space="preserve"> </w:t>
      </w:r>
      <w:hyperlink r:id="rId42" w:history="1">
        <w:r w:rsidR="009103E2" w:rsidRPr="009103E2">
          <w:rPr>
            <w:rStyle w:val="Hyperlink"/>
            <w:color w:val="0070C0"/>
          </w:rPr>
          <w:t>https://doi.org/10.1016/j.foodcont.2007.12.003</w:t>
        </w:r>
      </w:hyperlink>
    </w:p>
    <w:p w14:paraId="66C6A650" w14:textId="13B1E0BD" w:rsidR="007D644A" w:rsidRPr="009103E2" w:rsidRDefault="007D644A" w:rsidP="00C32A45">
      <w:pPr>
        <w:pStyle w:val="Body"/>
        <w:spacing w:after="120"/>
        <w:rPr>
          <w:color w:val="0070C0"/>
        </w:rPr>
      </w:pPr>
      <w:r w:rsidRPr="007D644A">
        <w:t xml:space="preserve">Yadav SK (2021). Physiochemical Properties of Essential Oils and Applications. In </w:t>
      </w:r>
      <w:proofErr w:type="spellStart"/>
      <w:r w:rsidRPr="007D644A">
        <w:t>IntechOpen</w:t>
      </w:r>
      <w:proofErr w:type="spellEnd"/>
      <w:r w:rsidRPr="007D644A">
        <w:t xml:space="preserve">. </w:t>
      </w:r>
      <w:hyperlink r:id="rId43" w:history="1">
        <w:r w:rsidR="005736A7" w:rsidRPr="005736A7">
          <w:rPr>
            <w:rStyle w:val="Hyperlink"/>
            <w:color w:val="0070C0"/>
          </w:rPr>
          <w:t>https://doi.org/</w:t>
        </w:r>
        <w:r w:rsidR="005736A7" w:rsidRPr="005736A7">
          <w:rPr>
            <w:rStyle w:val="Hyperlink"/>
            <w:rFonts w:ascii="Arial" w:hAnsi="Arial" w:cs="Arial"/>
            <w:color w:val="0070C0"/>
            <w:shd w:val="clear" w:color="auto" w:fill="FFFDEA"/>
          </w:rPr>
          <w:t>10.5772/intechopen.104112</w:t>
        </w:r>
      </w:hyperlink>
      <w:r w:rsidR="005736A7" w:rsidRPr="005736A7">
        <w:rPr>
          <w:color w:val="0070C0"/>
        </w:rPr>
        <w:t xml:space="preserve"> </w:t>
      </w:r>
    </w:p>
    <w:p w14:paraId="548E8E16" w14:textId="68FD4ED2" w:rsidR="00A62122" w:rsidRDefault="00A62122" w:rsidP="00C32A45">
      <w:pPr>
        <w:pStyle w:val="Body"/>
        <w:spacing w:after="120"/>
      </w:pPr>
      <w:proofErr w:type="spellStart"/>
      <w:r w:rsidRPr="00A62122">
        <w:t>Yolidje</w:t>
      </w:r>
      <w:proofErr w:type="spellEnd"/>
      <w:r w:rsidRPr="00A62122">
        <w:t xml:space="preserve"> I, Keita DA, Moussa I</w:t>
      </w:r>
      <w:r w:rsidR="000C157C">
        <w:t>,</w:t>
      </w:r>
      <w:r>
        <w:t xml:space="preserve"> </w:t>
      </w:r>
      <w:proofErr w:type="spellStart"/>
      <w:r w:rsidRPr="00A62122">
        <w:t>Pirat</w:t>
      </w:r>
      <w:proofErr w:type="spellEnd"/>
      <w:r w:rsidRPr="00A62122">
        <w:t xml:space="preserve"> J-L (2024). Composition </w:t>
      </w:r>
      <w:proofErr w:type="spellStart"/>
      <w:r w:rsidRPr="00A62122">
        <w:t>chimique</w:t>
      </w:r>
      <w:proofErr w:type="spellEnd"/>
      <w:r w:rsidRPr="00A62122">
        <w:t xml:space="preserve"> et </w:t>
      </w:r>
      <w:proofErr w:type="spellStart"/>
      <w:r w:rsidRPr="00A62122">
        <w:t>activité</w:t>
      </w:r>
      <w:proofErr w:type="spellEnd"/>
      <w:r w:rsidRPr="00A62122">
        <w:t xml:space="preserve"> larvicide sur </w:t>
      </w:r>
      <w:r w:rsidRPr="005A4AA1">
        <w:rPr>
          <w:i/>
          <w:iCs/>
        </w:rPr>
        <w:t>Anopheles gambiae</w:t>
      </w:r>
      <w:r w:rsidRPr="00A62122">
        <w:t xml:space="preserve"> </w:t>
      </w:r>
      <w:proofErr w:type="spellStart"/>
      <w:r w:rsidRPr="00A62122">
        <w:t>s.l.</w:t>
      </w:r>
      <w:proofErr w:type="spellEnd"/>
      <w:r w:rsidRPr="00A62122">
        <w:t xml:space="preserve"> des </w:t>
      </w:r>
      <w:proofErr w:type="spellStart"/>
      <w:r w:rsidRPr="00A62122">
        <w:t>huiles</w:t>
      </w:r>
      <w:proofErr w:type="spellEnd"/>
      <w:r w:rsidRPr="00A62122">
        <w:t xml:space="preserve"> </w:t>
      </w:r>
      <w:proofErr w:type="spellStart"/>
      <w:r w:rsidRPr="00A62122">
        <w:t>essentielles</w:t>
      </w:r>
      <w:proofErr w:type="spellEnd"/>
      <w:r w:rsidRPr="00A62122">
        <w:t xml:space="preserve"> de </w:t>
      </w:r>
      <w:r w:rsidRPr="005A4AA1">
        <w:rPr>
          <w:i/>
          <w:iCs/>
        </w:rPr>
        <w:t>Citrus sinensis</w:t>
      </w:r>
      <w:r w:rsidRPr="00A62122">
        <w:t xml:space="preserve"> L. (</w:t>
      </w:r>
      <w:proofErr w:type="spellStart"/>
      <w:r w:rsidRPr="00A62122">
        <w:t>Rutaceae</w:t>
      </w:r>
      <w:proofErr w:type="spellEnd"/>
      <w:r w:rsidRPr="00A62122">
        <w:t xml:space="preserve">) et de </w:t>
      </w:r>
      <w:r w:rsidRPr="005A4AA1">
        <w:rPr>
          <w:i/>
          <w:iCs/>
        </w:rPr>
        <w:t xml:space="preserve">Crotalaria </w:t>
      </w:r>
      <w:proofErr w:type="spellStart"/>
      <w:r w:rsidRPr="005A4AA1">
        <w:rPr>
          <w:i/>
          <w:iCs/>
        </w:rPr>
        <w:t>podocarpa</w:t>
      </w:r>
      <w:proofErr w:type="spellEnd"/>
      <w:r w:rsidRPr="005A4AA1">
        <w:rPr>
          <w:i/>
          <w:iCs/>
        </w:rPr>
        <w:t xml:space="preserve"> </w:t>
      </w:r>
      <w:r w:rsidRPr="00A62122">
        <w:t xml:space="preserve">DC. (Fabaceae) deux </w:t>
      </w:r>
      <w:proofErr w:type="spellStart"/>
      <w:r w:rsidRPr="00A62122">
        <w:t>plantes</w:t>
      </w:r>
      <w:proofErr w:type="spellEnd"/>
      <w:r w:rsidRPr="00A62122">
        <w:t xml:space="preserve"> de la </w:t>
      </w:r>
      <w:proofErr w:type="spellStart"/>
      <w:r w:rsidRPr="00A62122">
        <w:t>biodiversité</w:t>
      </w:r>
      <w:proofErr w:type="spellEnd"/>
      <w:r w:rsidRPr="00A62122">
        <w:t xml:space="preserve"> du Niger. Afrique Science 24:31–39.</w:t>
      </w:r>
    </w:p>
    <w:p w14:paraId="63BE3BCD" w14:textId="773C1E00" w:rsidR="004D4277" w:rsidRPr="00ED4D5F" w:rsidRDefault="00EB740E" w:rsidP="00ED4D5F">
      <w:pPr>
        <w:pStyle w:val="Body"/>
        <w:rPr>
          <w:rFonts w:ascii="Arial" w:hAnsi="Arial" w:cs="Arial"/>
        </w:rPr>
        <w:sectPr w:rsidR="004D4277" w:rsidRPr="00ED4D5F" w:rsidSect="00A40A69">
          <w:pgSz w:w="12240" w:h="15840"/>
          <w:pgMar w:top="1701" w:right="1701" w:bottom="1701" w:left="1701" w:header="720" w:footer="1123" w:gutter="0"/>
          <w:cols w:space="720"/>
          <w:docGrid w:linePitch="272"/>
        </w:sectPr>
      </w:pPr>
      <w:r>
        <w:lastRenderedPageBreak/>
        <w:t>Yuan X, Cao D, Xiang Y, Jiang X, Liu J, Bi K, Dong X (2024). Antifungal activity of essential oils and their potential synergistic effect with amphotericin B. Scientific Reports</w:t>
      </w:r>
      <w:r w:rsidR="006F24B8">
        <w:t xml:space="preserve"> </w:t>
      </w:r>
      <w:r w:rsidR="006F24B8" w:rsidRPr="006F24B8">
        <w:t>14:31125</w:t>
      </w:r>
      <w:r>
        <w:t>.</w:t>
      </w:r>
      <w:r w:rsidR="00C77DA3" w:rsidRPr="00C77DA3">
        <w:t xml:space="preserve"> </w:t>
      </w:r>
      <w:hyperlink r:id="rId44" w:history="1">
        <w:r w:rsidR="009103E2" w:rsidRPr="009103E2">
          <w:rPr>
            <w:rStyle w:val="Hyperlink"/>
            <w:color w:val="0070C0"/>
          </w:rPr>
          <w:t>https://doi.org/10.1038/s41598-024-82380-0</w:t>
        </w:r>
      </w:hyperlink>
      <w:r w:rsidR="009103E2" w:rsidRPr="009103E2">
        <w:rPr>
          <w:color w:val="0070C0"/>
        </w:rPr>
        <w:t xml:space="preserve"> </w:t>
      </w:r>
    </w:p>
    <w:p w14:paraId="14091938" w14:textId="77777777" w:rsidR="00B01FCD" w:rsidRPr="00FB3A86" w:rsidRDefault="00B01FCD" w:rsidP="00ED4D5F">
      <w:pPr>
        <w:pStyle w:val="Appendix"/>
        <w:spacing w:after="0"/>
        <w:jc w:val="both"/>
        <w:rPr>
          <w:rFonts w:ascii="Arial" w:hAnsi="Arial" w:cs="Arial"/>
          <w:b w:val="0"/>
        </w:rPr>
      </w:pPr>
    </w:p>
    <w:sectPr w:rsidR="00B01FCD" w:rsidRPr="00FB3A86" w:rsidSect="00A40A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5B842" w14:textId="77777777" w:rsidR="007F57DD" w:rsidRDefault="007F57DD" w:rsidP="00C37E61">
      <w:r>
        <w:separator/>
      </w:r>
    </w:p>
  </w:endnote>
  <w:endnote w:type="continuationSeparator" w:id="0">
    <w:p w14:paraId="3F1B5630" w14:textId="77777777" w:rsidR="007F57DD" w:rsidRDefault="007F57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30E4" w14:textId="77777777" w:rsidR="00F35D9F" w:rsidRDefault="00F3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9294" w14:textId="77777777" w:rsidR="00F35D9F" w:rsidRDefault="00F3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8F57" w14:textId="77777777" w:rsidR="009E048A" w:rsidRDefault="009E048A">
    <w:pPr>
      <w:pStyle w:val="Footer"/>
      <w:rPr>
        <w:rFonts w:ascii="Arial" w:hAnsi="Arial" w:cs="Arial"/>
        <w:sz w:val="16"/>
      </w:rPr>
    </w:pPr>
  </w:p>
  <w:p w14:paraId="1053EB9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81409D" w14:textId="77777777" w:rsidR="009E048A" w:rsidRDefault="009E048A">
    <w:pPr>
      <w:pStyle w:val="Footer"/>
      <w:rPr>
        <w:rFonts w:ascii="Arial" w:hAnsi="Arial" w:cs="Arial"/>
        <w:sz w:val="16"/>
      </w:rPr>
    </w:pPr>
  </w:p>
  <w:p w14:paraId="3F98BB8D" w14:textId="4CEC765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5D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144A5" w14:textId="77777777" w:rsidR="007F57DD" w:rsidRDefault="007F57DD" w:rsidP="00C37E61">
      <w:r>
        <w:separator/>
      </w:r>
    </w:p>
  </w:footnote>
  <w:footnote w:type="continuationSeparator" w:id="0">
    <w:p w14:paraId="0A635919" w14:textId="77777777" w:rsidR="007F57DD" w:rsidRDefault="007F57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73AF" w14:textId="374B3432" w:rsidR="00F35D9F" w:rsidRDefault="007F57DD">
    <w:pPr>
      <w:pStyle w:val="Header"/>
    </w:pPr>
    <w:r>
      <w:rPr>
        <w:noProof/>
      </w:rPr>
      <w:pict w14:anchorId="30549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2568" w14:textId="5FCCDEA3" w:rsidR="00F35D9F" w:rsidRDefault="007F57DD">
    <w:pPr>
      <w:pStyle w:val="Header"/>
    </w:pPr>
    <w:r>
      <w:rPr>
        <w:noProof/>
      </w:rPr>
      <w:pict w14:anchorId="23B48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7608" w14:textId="31D1C290" w:rsidR="00296529" w:rsidRPr="00296529" w:rsidRDefault="007F57DD" w:rsidP="00296529">
    <w:pPr>
      <w:ind w:left="2160"/>
      <w:jc w:val="center"/>
      <w:rPr>
        <w:rFonts w:ascii="Times New Roman" w:eastAsia="Calibri" w:hAnsi="Times New Roman"/>
        <w:i/>
        <w:sz w:val="18"/>
        <w:szCs w:val="22"/>
      </w:rPr>
    </w:pPr>
    <w:r>
      <w:rPr>
        <w:noProof/>
      </w:rPr>
      <w:pict w14:anchorId="4CC4B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50F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2C13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0124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DD3C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6631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7559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744" w14:textId="588FECF4" w:rsidR="00F35D9F" w:rsidRDefault="007F57DD">
    <w:pPr>
      <w:pStyle w:val="Header"/>
    </w:pPr>
    <w:r>
      <w:rPr>
        <w:noProof/>
      </w:rPr>
      <w:pict w14:anchorId="2F93E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DB8C" w14:textId="657F6DFB" w:rsidR="00F35D9F" w:rsidRDefault="007F57DD">
    <w:pPr>
      <w:pStyle w:val="Header"/>
    </w:pPr>
    <w:r>
      <w:rPr>
        <w:noProof/>
      </w:rPr>
      <w:pict w14:anchorId="451C3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EB281" w14:textId="642597CC" w:rsidR="00F35D9F" w:rsidRDefault="007F57DD">
    <w:pPr>
      <w:pStyle w:val="Header"/>
    </w:pPr>
    <w:r>
      <w:rPr>
        <w:noProof/>
      </w:rPr>
      <w:pict w14:anchorId="138B5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E4"/>
    <w:rsid w:val="000050D1"/>
    <w:rsid w:val="00005A0D"/>
    <w:rsid w:val="00030174"/>
    <w:rsid w:val="0004579C"/>
    <w:rsid w:val="00056CF1"/>
    <w:rsid w:val="00072D53"/>
    <w:rsid w:val="0008564C"/>
    <w:rsid w:val="00097C46"/>
    <w:rsid w:val="000A47FA"/>
    <w:rsid w:val="000A65D3"/>
    <w:rsid w:val="000B1E33"/>
    <w:rsid w:val="000C157C"/>
    <w:rsid w:val="000C33A2"/>
    <w:rsid w:val="000D689F"/>
    <w:rsid w:val="000E2C5F"/>
    <w:rsid w:val="000E7B7B"/>
    <w:rsid w:val="000E7D62"/>
    <w:rsid w:val="000F2A4A"/>
    <w:rsid w:val="00103357"/>
    <w:rsid w:val="00106123"/>
    <w:rsid w:val="00107C34"/>
    <w:rsid w:val="00123C9F"/>
    <w:rsid w:val="00126190"/>
    <w:rsid w:val="00127511"/>
    <w:rsid w:val="00130F17"/>
    <w:rsid w:val="001320BF"/>
    <w:rsid w:val="00135376"/>
    <w:rsid w:val="00146080"/>
    <w:rsid w:val="00147563"/>
    <w:rsid w:val="00163BC4"/>
    <w:rsid w:val="00191062"/>
    <w:rsid w:val="001926C5"/>
    <w:rsid w:val="00192B72"/>
    <w:rsid w:val="00196972"/>
    <w:rsid w:val="00196DEA"/>
    <w:rsid w:val="001A29D8"/>
    <w:rsid w:val="001A5CAA"/>
    <w:rsid w:val="001B0427"/>
    <w:rsid w:val="001B53DE"/>
    <w:rsid w:val="001D3A51"/>
    <w:rsid w:val="001D4254"/>
    <w:rsid w:val="001E10D2"/>
    <w:rsid w:val="001E25B4"/>
    <w:rsid w:val="001E44FE"/>
    <w:rsid w:val="001F693A"/>
    <w:rsid w:val="00200595"/>
    <w:rsid w:val="00204835"/>
    <w:rsid w:val="0021138E"/>
    <w:rsid w:val="0022772D"/>
    <w:rsid w:val="00230D77"/>
    <w:rsid w:val="00231920"/>
    <w:rsid w:val="0023195C"/>
    <w:rsid w:val="0024282C"/>
    <w:rsid w:val="002454E2"/>
    <w:rsid w:val="002460DC"/>
    <w:rsid w:val="00250985"/>
    <w:rsid w:val="002556F6"/>
    <w:rsid w:val="002745D8"/>
    <w:rsid w:val="00283105"/>
    <w:rsid w:val="00284C4C"/>
    <w:rsid w:val="00287E68"/>
    <w:rsid w:val="00296529"/>
    <w:rsid w:val="002A01FC"/>
    <w:rsid w:val="002B27FB"/>
    <w:rsid w:val="002B685A"/>
    <w:rsid w:val="002C4F6E"/>
    <w:rsid w:val="002C57D2"/>
    <w:rsid w:val="002E0D56"/>
    <w:rsid w:val="00301F33"/>
    <w:rsid w:val="00315186"/>
    <w:rsid w:val="0033343E"/>
    <w:rsid w:val="003504F4"/>
    <w:rsid w:val="003512C2"/>
    <w:rsid w:val="0036251E"/>
    <w:rsid w:val="00371FB6"/>
    <w:rsid w:val="003763C1"/>
    <w:rsid w:val="00376BBE"/>
    <w:rsid w:val="0039224F"/>
    <w:rsid w:val="00394C95"/>
    <w:rsid w:val="003A43A4"/>
    <w:rsid w:val="003A7E18"/>
    <w:rsid w:val="003C4C86"/>
    <w:rsid w:val="003C6258"/>
    <w:rsid w:val="003E2904"/>
    <w:rsid w:val="003E2D1D"/>
    <w:rsid w:val="003F67C7"/>
    <w:rsid w:val="003F73EC"/>
    <w:rsid w:val="004013C2"/>
    <w:rsid w:val="00401927"/>
    <w:rsid w:val="0041027F"/>
    <w:rsid w:val="00412475"/>
    <w:rsid w:val="00423789"/>
    <w:rsid w:val="00433D38"/>
    <w:rsid w:val="00440F43"/>
    <w:rsid w:val="00441B6F"/>
    <w:rsid w:val="00446221"/>
    <w:rsid w:val="00450E62"/>
    <w:rsid w:val="00452074"/>
    <w:rsid w:val="004539DB"/>
    <w:rsid w:val="00461023"/>
    <w:rsid w:val="00470FEB"/>
    <w:rsid w:val="00471A80"/>
    <w:rsid w:val="0047393D"/>
    <w:rsid w:val="004B4757"/>
    <w:rsid w:val="004D305E"/>
    <w:rsid w:val="004D4277"/>
    <w:rsid w:val="004E01F5"/>
    <w:rsid w:val="004E2E81"/>
    <w:rsid w:val="004E3EEC"/>
    <w:rsid w:val="004E5526"/>
    <w:rsid w:val="005002E1"/>
    <w:rsid w:val="00502516"/>
    <w:rsid w:val="00505F06"/>
    <w:rsid w:val="00506828"/>
    <w:rsid w:val="00527C5D"/>
    <w:rsid w:val="0053056E"/>
    <w:rsid w:val="00542CC2"/>
    <w:rsid w:val="00545222"/>
    <w:rsid w:val="005511F6"/>
    <w:rsid w:val="00554FDA"/>
    <w:rsid w:val="005575D8"/>
    <w:rsid w:val="005736A7"/>
    <w:rsid w:val="005A4AA1"/>
    <w:rsid w:val="005B0879"/>
    <w:rsid w:val="005B5012"/>
    <w:rsid w:val="005C784C"/>
    <w:rsid w:val="005C7E3F"/>
    <w:rsid w:val="005D17F6"/>
    <w:rsid w:val="005E5539"/>
    <w:rsid w:val="00602BF5"/>
    <w:rsid w:val="00617FDD"/>
    <w:rsid w:val="00632DC2"/>
    <w:rsid w:val="00633614"/>
    <w:rsid w:val="00633F68"/>
    <w:rsid w:val="00636EB2"/>
    <w:rsid w:val="006375B8"/>
    <w:rsid w:val="0064128A"/>
    <w:rsid w:val="00646EC3"/>
    <w:rsid w:val="0066510A"/>
    <w:rsid w:val="00673F9F"/>
    <w:rsid w:val="006768B0"/>
    <w:rsid w:val="00681D52"/>
    <w:rsid w:val="00682057"/>
    <w:rsid w:val="00684C3B"/>
    <w:rsid w:val="00686953"/>
    <w:rsid w:val="00687DEA"/>
    <w:rsid w:val="00687E67"/>
    <w:rsid w:val="006967F7"/>
    <w:rsid w:val="006A250C"/>
    <w:rsid w:val="006A46B4"/>
    <w:rsid w:val="006A7050"/>
    <w:rsid w:val="006B21D3"/>
    <w:rsid w:val="006B57D0"/>
    <w:rsid w:val="006D30FF"/>
    <w:rsid w:val="006D6940"/>
    <w:rsid w:val="006E206C"/>
    <w:rsid w:val="006E31E8"/>
    <w:rsid w:val="006F11EC"/>
    <w:rsid w:val="006F24B8"/>
    <w:rsid w:val="0070082C"/>
    <w:rsid w:val="0071526D"/>
    <w:rsid w:val="007369E6"/>
    <w:rsid w:val="00741AF8"/>
    <w:rsid w:val="00746E59"/>
    <w:rsid w:val="0075012F"/>
    <w:rsid w:val="00753048"/>
    <w:rsid w:val="00754C9A"/>
    <w:rsid w:val="0075599A"/>
    <w:rsid w:val="00761D52"/>
    <w:rsid w:val="007662A5"/>
    <w:rsid w:val="0077749E"/>
    <w:rsid w:val="0077778A"/>
    <w:rsid w:val="00790ADA"/>
    <w:rsid w:val="007968F4"/>
    <w:rsid w:val="007A37E9"/>
    <w:rsid w:val="007C22BE"/>
    <w:rsid w:val="007C7E19"/>
    <w:rsid w:val="007D2288"/>
    <w:rsid w:val="007D644A"/>
    <w:rsid w:val="007D7BB8"/>
    <w:rsid w:val="007E088F"/>
    <w:rsid w:val="007F57DD"/>
    <w:rsid w:val="007F66C3"/>
    <w:rsid w:val="007F7B32"/>
    <w:rsid w:val="00804BC2"/>
    <w:rsid w:val="00806045"/>
    <w:rsid w:val="0081431A"/>
    <w:rsid w:val="0083216F"/>
    <w:rsid w:val="00846E7C"/>
    <w:rsid w:val="00852360"/>
    <w:rsid w:val="00852702"/>
    <w:rsid w:val="0085527C"/>
    <w:rsid w:val="00860000"/>
    <w:rsid w:val="00863BD3"/>
    <w:rsid w:val="008641ED"/>
    <w:rsid w:val="00866D66"/>
    <w:rsid w:val="008671C6"/>
    <w:rsid w:val="00872F77"/>
    <w:rsid w:val="00875803"/>
    <w:rsid w:val="00891DD1"/>
    <w:rsid w:val="008B459E"/>
    <w:rsid w:val="008D046B"/>
    <w:rsid w:val="008D4CAD"/>
    <w:rsid w:val="008E13AE"/>
    <w:rsid w:val="008E1506"/>
    <w:rsid w:val="008E710C"/>
    <w:rsid w:val="008F0501"/>
    <w:rsid w:val="008F161A"/>
    <w:rsid w:val="008F3525"/>
    <w:rsid w:val="008F45BC"/>
    <w:rsid w:val="008F69D6"/>
    <w:rsid w:val="00902823"/>
    <w:rsid w:val="009103E2"/>
    <w:rsid w:val="00915CA6"/>
    <w:rsid w:val="009232AB"/>
    <w:rsid w:val="0092404B"/>
    <w:rsid w:val="009242E5"/>
    <w:rsid w:val="00927834"/>
    <w:rsid w:val="00945B24"/>
    <w:rsid w:val="009500A6"/>
    <w:rsid w:val="00957C18"/>
    <w:rsid w:val="009659BA"/>
    <w:rsid w:val="00983040"/>
    <w:rsid w:val="00986F60"/>
    <w:rsid w:val="0098722C"/>
    <w:rsid w:val="009951DF"/>
    <w:rsid w:val="009B3FB9"/>
    <w:rsid w:val="009C2465"/>
    <w:rsid w:val="009D35A0"/>
    <w:rsid w:val="009D7463"/>
    <w:rsid w:val="009D7EB7"/>
    <w:rsid w:val="009E048A"/>
    <w:rsid w:val="009E08E9"/>
    <w:rsid w:val="009E3DB9"/>
    <w:rsid w:val="009E6E35"/>
    <w:rsid w:val="009F0EDA"/>
    <w:rsid w:val="009F4568"/>
    <w:rsid w:val="009F7324"/>
    <w:rsid w:val="00A03B96"/>
    <w:rsid w:val="00A05B19"/>
    <w:rsid w:val="00A072BE"/>
    <w:rsid w:val="00A1134E"/>
    <w:rsid w:val="00A13751"/>
    <w:rsid w:val="00A24E7E"/>
    <w:rsid w:val="00A258C3"/>
    <w:rsid w:val="00A347C0"/>
    <w:rsid w:val="00A40A69"/>
    <w:rsid w:val="00A44CE5"/>
    <w:rsid w:val="00A51431"/>
    <w:rsid w:val="00A539AD"/>
    <w:rsid w:val="00A57ACA"/>
    <w:rsid w:val="00A62122"/>
    <w:rsid w:val="00A655A5"/>
    <w:rsid w:val="00A7193D"/>
    <w:rsid w:val="00A94063"/>
    <w:rsid w:val="00AA6219"/>
    <w:rsid w:val="00AA74E0"/>
    <w:rsid w:val="00AB703F"/>
    <w:rsid w:val="00AC6BB8"/>
    <w:rsid w:val="00AE008F"/>
    <w:rsid w:val="00AE16D5"/>
    <w:rsid w:val="00AE37E0"/>
    <w:rsid w:val="00AE5433"/>
    <w:rsid w:val="00B01FCD"/>
    <w:rsid w:val="00B125E8"/>
    <w:rsid w:val="00B1776C"/>
    <w:rsid w:val="00B27F03"/>
    <w:rsid w:val="00B308B2"/>
    <w:rsid w:val="00B52583"/>
    <w:rsid w:val="00B52896"/>
    <w:rsid w:val="00B52BF0"/>
    <w:rsid w:val="00B66803"/>
    <w:rsid w:val="00B72D13"/>
    <w:rsid w:val="00B95236"/>
    <w:rsid w:val="00B96BD9"/>
    <w:rsid w:val="00BA1B01"/>
    <w:rsid w:val="00BA2641"/>
    <w:rsid w:val="00BA4D3B"/>
    <w:rsid w:val="00BB37AA"/>
    <w:rsid w:val="00BC1670"/>
    <w:rsid w:val="00BC53A0"/>
    <w:rsid w:val="00BD44E6"/>
    <w:rsid w:val="00BE205B"/>
    <w:rsid w:val="00BE62AD"/>
    <w:rsid w:val="00BF121F"/>
    <w:rsid w:val="00BF1F80"/>
    <w:rsid w:val="00C04EFC"/>
    <w:rsid w:val="00C166EF"/>
    <w:rsid w:val="00C17EB0"/>
    <w:rsid w:val="00C27F5F"/>
    <w:rsid w:val="00C30A0F"/>
    <w:rsid w:val="00C32A45"/>
    <w:rsid w:val="00C37E61"/>
    <w:rsid w:val="00C70F1B"/>
    <w:rsid w:val="00C71A47"/>
    <w:rsid w:val="00C7464C"/>
    <w:rsid w:val="00C75A47"/>
    <w:rsid w:val="00C77DA3"/>
    <w:rsid w:val="00C85588"/>
    <w:rsid w:val="00C91982"/>
    <w:rsid w:val="00CA0ADF"/>
    <w:rsid w:val="00CA24FF"/>
    <w:rsid w:val="00CC7CF6"/>
    <w:rsid w:val="00CD6755"/>
    <w:rsid w:val="00CD6856"/>
    <w:rsid w:val="00CE0089"/>
    <w:rsid w:val="00CE793C"/>
    <w:rsid w:val="00CF193C"/>
    <w:rsid w:val="00D0174D"/>
    <w:rsid w:val="00D05929"/>
    <w:rsid w:val="00D100BA"/>
    <w:rsid w:val="00D173F1"/>
    <w:rsid w:val="00D27CB0"/>
    <w:rsid w:val="00D33F64"/>
    <w:rsid w:val="00D40B5B"/>
    <w:rsid w:val="00D66A82"/>
    <w:rsid w:val="00D74CB0"/>
    <w:rsid w:val="00D77769"/>
    <w:rsid w:val="00D8295D"/>
    <w:rsid w:val="00DA0001"/>
    <w:rsid w:val="00DC2A65"/>
    <w:rsid w:val="00DE05A5"/>
    <w:rsid w:val="00DE15F0"/>
    <w:rsid w:val="00DE5663"/>
    <w:rsid w:val="00DE78AA"/>
    <w:rsid w:val="00E053D0"/>
    <w:rsid w:val="00E12054"/>
    <w:rsid w:val="00E13A0B"/>
    <w:rsid w:val="00E15994"/>
    <w:rsid w:val="00E25E23"/>
    <w:rsid w:val="00E3114E"/>
    <w:rsid w:val="00E31A70"/>
    <w:rsid w:val="00E35B02"/>
    <w:rsid w:val="00E36315"/>
    <w:rsid w:val="00E36562"/>
    <w:rsid w:val="00E36A37"/>
    <w:rsid w:val="00E511AF"/>
    <w:rsid w:val="00E66496"/>
    <w:rsid w:val="00E66B35"/>
    <w:rsid w:val="00E66E10"/>
    <w:rsid w:val="00E769F6"/>
    <w:rsid w:val="00E8203D"/>
    <w:rsid w:val="00E8407C"/>
    <w:rsid w:val="00E84F3C"/>
    <w:rsid w:val="00E86F0D"/>
    <w:rsid w:val="00E874F9"/>
    <w:rsid w:val="00E904C5"/>
    <w:rsid w:val="00E964D7"/>
    <w:rsid w:val="00EA012C"/>
    <w:rsid w:val="00EA5C1C"/>
    <w:rsid w:val="00EB740E"/>
    <w:rsid w:val="00EC1FBB"/>
    <w:rsid w:val="00EC252B"/>
    <w:rsid w:val="00EC6A55"/>
    <w:rsid w:val="00ED0288"/>
    <w:rsid w:val="00ED4D5F"/>
    <w:rsid w:val="00EE52CB"/>
    <w:rsid w:val="00EF12DD"/>
    <w:rsid w:val="00EF581D"/>
    <w:rsid w:val="00EF7FD8"/>
    <w:rsid w:val="00F05615"/>
    <w:rsid w:val="00F06F59"/>
    <w:rsid w:val="00F14A66"/>
    <w:rsid w:val="00F17988"/>
    <w:rsid w:val="00F34487"/>
    <w:rsid w:val="00F3596B"/>
    <w:rsid w:val="00F35D9F"/>
    <w:rsid w:val="00F469F0"/>
    <w:rsid w:val="00F53273"/>
    <w:rsid w:val="00F53AF4"/>
    <w:rsid w:val="00F67B29"/>
    <w:rsid w:val="00F755E4"/>
    <w:rsid w:val="00F77D02"/>
    <w:rsid w:val="00F9027C"/>
    <w:rsid w:val="00F970A0"/>
    <w:rsid w:val="00FA0466"/>
    <w:rsid w:val="00FA3288"/>
    <w:rsid w:val="00FB3A86"/>
    <w:rsid w:val="00FD112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1238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470FE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7511"/>
    <w:rPr>
      <w:rFonts w:asciiTheme="minorHAnsi" w:eastAsiaTheme="minorHAnsi" w:hAnsiTheme="minorHAnsi" w:cstheme="minorBidi"/>
      <w:kern w:val="2"/>
      <w:sz w:val="22"/>
      <w:szCs w:val="22"/>
      <w14:ligatures w14:val="standardContextual"/>
    </w:rPr>
  </w:style>
  <w:style w:type="paragraph" w:styleId="CommentSubject">
    <w:name w:val="annotation subject"/>
    <w:basedOn w:val="CommentText"/>
    <w:next w:val="CommentText"/>
    <w:link w:val="CommentSubjectChar"/>
    <w:semiHidden/>
    <w:unhideWhenUsed/>
    <w:rsid w:val="008F161A"/>
    <w:rPr>
      <w:rFonts w:ascii="Helvetica" w:hAnsi="Helvetica"/>
      <w:b/>
      <w:bCs/>
      <w:lang w:val="en-US" w:eastAsia="en-US"/>
    </w:rPr>
  </w:style>
  <w:style w:type="character" w:customStyle="1" w:styleId="CommentSubjectChar">
    <w:name w:val="Comment Subject Char"/>
    <w:basedOn w:val="CommentTextChar"/>
    <w:link w:val="CommentSubject"/>
    <w:semiHidden/>
    <w:rsid w:val="008F161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86900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59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molecules28217259" TargetMode="External"/><Relationship Id="rId26" Type="http://schemas.openxmlformats.org/officeDocument/2006/relationships/hyperlink" Target="https://doi.org/10.3390/pr8081003" TargetMode="External"/><Relationship Id="rId39" Type="http://schemas.openxmlformats.org/officeDocument/2006/relationships/hyperlink" Target="https://doi.org/10.3390/molecules26030666" TargetMode="External"/><Relationship Id="rId21" Type="http://schemas.openxmlformats.org/officeDocument/2006/relationships/hyperlink" Target="http://doi.org/10.16882/HortiS.1417575" TargetMode="External"/><Relationship Id="rId34" Type="http://schemas.openxmlformats.org/officeDocument/2006/relationships/hyperlink" Target="https://doi.org/10.1016/j.sciaf.2023.e01592" TargetMode="External"/><Relationship Id="rId42" Type="http://schemas.openxmlformats.org/officeDocument/2006/relationships/hyperlink" Target="https://doi.org/10.1016/j.foodcont.2007.12.0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31415/bjns.v3i2.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iengineering7100335" TargetMode="External"/><Relationship Id="rId32" Type="http://schemas.openxmlformats.org/officeDocument/2006/relationships/hyperlink" Target="https://doi.org/10.3390/antiox12020246" TargetMode="External"/><Relationship Id="rId37" Type="http://schemas.openxmlformats.org/officeDocument/2006/relationships/hyperlink" Target="http://dx.doi.org/10.1016/j.resconrec.2017.10.032" TargetMode="External"/><Relationship Id="rId40" Type="http://schemas.openxmlformats.org/officeDocument/2006/relationships/hyperlink" Target="https://doi.org/10.21608/aps.2021.87917.106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j.foodcont.2014.12.040" TargetMode="External"/><Relationship Id="rId28" Type="http://schemas.openxmlformats.org/officeDocument/2006/relationships/hyperlink" Target="https://doi.org/10.3934/agrfood.2024049" TargetMode="External"/><Relationship Id="rId36" Type="http://schemas.openxmlformats.org/officeDocument/2006/relationships/hyperlink" Target="https://doi.org/10.3390/su172410887" TargetMode="External"/><Relationship Id="rId10" Type="http://schemas.openxmlformats.org/officeDocument/2006/relationships/footer" Target="footer1.xml"/><Relationship Id="rId19" Type="http://schemas.openxmlformats.org/officeDocument/2006/relationships/hyperlink" Target="https://doi.org/10.1016/j.phyplu.2025.100836" TargetMode="External"/><Relationship Id="rId31" Type="http://schemas.openxmlformats.org/officeDocument/2006/relationships/hyperlink" Target="https://doi.org/10.1016/j.foodres.2021.110404" TargetMode="External"/><Relationship Id="rId44" Type="http://schemas.openxmlformats.org/officeDocument/2006/relationships/hyperlink" Target="https://doi.org/10.1038/s41598-024-8238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648/j.wjac.20170203.14" TargetMode="External"/><Relationship Id="rId27" Type="http://schemas.openxmlformats.org/officeDocument/2006/relationships/hyperlink" Target="https://doi.org/10.3389/fpls.2024.1491491" TargetMode="External"/><Relationship Id="rId30" Type="http://schemas.openxmlformats.org/officeDocument/2006/relationships/hyperlink" Target="https://doi.org/10.3390/foods8090398" TargetMode="External"/><Relationship Id="rId35" Type="http://schemas.openxmlformats.org/officeDocument/2006/relationships/hyperlink" Target="http://dx.doi.org/10.1080/0972060X.2009.10643687" TargetMode="External"/><Relationship Id="rId43" Type="http://schemas.openxmlformats.org/officeDocument/2006/relationships/hyperlink" Target="https://doi.org/10.5772/intechopen.10411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10.1016/j.ijfoodmicro.2009.03.011" TargetMode="External"/><Relationship Id="rId33" Type="http://schemas.openxmlformats.org/officeDocument/2006/relationships/hyperlink" Target="https://doi.org/10.1007/s42452-024-05813-5" TargetMode="External"/><Relationship Id="rId38" Type="http://schemas.openxmlformats.org/officeDocument/2006/relationships/hyperlink" Target="https://doi.org/10.1016/j.biortech.2022.127064" TargetMode="External"/><Relationship Id="rId46" Type="http://schemas.openxmlformats.org/officeDocument/2006/relationships/theme" Target="theme/theme1.xml"/><Relationship Id="rId20" Type="http://schemas.openxmlformats.org/officeDocument/2006/relationships/hyperlink" Target="https://doi.org/10.53022/oarjst.2022.4.2.0039" TargetMode="External"/><Relationship Id="rId41" Type="http://schemas.openxmlformats.org/officeDocument/2006/relationships/hyperlink" Target="https://doi.org/10.1021/jf00136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DAD0-3965-42A4-81FF-A53DC21C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1218</TotalTime>
  <Pages>11</Pages>
  <Words>4962</Words>
  <Characters>28287</Characters>
  <Application>Microsoft Office Word</Application>
  <DocSecurity>0</DocSecurity>
  <Lines>235</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76</cp:revision>
  <cp:lastPrinted>1999-07-06T11:00:00Z</cp:lastPrinted>
  <dcterms:created xsi:type="dcterms:W3CDTF">2026-03-03T00:26:00Z</dcterms:created>
  <dcterms:modified xsi:type="dcterms:W3CDTF">2026-03-26T10:48:00Z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http://www.zotero.org/styles/bioscience</vt:lpwstr>
  </property>
  <property fmtid="{D5CDD505-2E9C-101B-9397-08002B2CF9AE}" pid="5" name="Mendeley Recent Style Name 1_1">
    <vt:lpwstr>BioScience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http://www.zotero.org/styles/journal-of-asian-natural-products-research</vt:lpwstr>
  </property>
  <property fmtid="{D5CDD505-2E9C-101B-9397-08002B2CF9AE}" pid="9" name="Mendeley Recent Style Name 3_1">
    <vt:lpwstr>Journal of Asian Natural Products Research</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http://www.zotero.org/styles/molecules</vt:lpwstr>
  </property>
  <property fmtid="{D5CDD505-2E9C-101B-9397-08002B2CF9AE}" pid="13" name="Mendeley Recent Style Name 5_1">
    <vt:lpwstr>Molecules</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http://www.zotero.org/styles/natural-products-and-bioprospecting</vt:lpwstr>
  </property>
  <property fmtid="{D5CDD505-2E9C-101B-9397-08002B2CF9AE}" pid="17" name="Mendeley Recent Style Name 7_1">
    <vt:lpwstr>Natural Products and Bioprospecting</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