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56AB1" w14:textId="77777777" w:rsidR="00873A5C" w:rsidRDefault="008836A0" w:rsidP="008808B4">
      <w:pPr>
        <w:pStyle w:val="Heading3"/>
        <w:rPr>
          <w:rFonts w:eastAsia="Times New Roman"/>
          <w:noProof/>
          <w:sz w:val="8"/>
        </w:rPr>
      </w:pPr>
      <w:r>
        <w:rPr>
          <w:rFonts w:eastAsia="Times New Roman"/>
          <w:noProof/>
        </w:rPr>
        <w:drawing>
          <wp:anchor distT="0" distB="0" distL="114300" distR="114300" simplePos="0" relativeHeight="251683840" behindDoc="1" locked="0" layoutInCell="1" allowOverlap="1" wp14:anchorId="725D684E" wp14:editId="360FD618">
            <wp:simplePos x="0" y="0"/>
            <wp:positionH relativeFrom="column">
              <wp:posOffset>10160</wp:posOffset>
            </wp:positionH>
            <wp:positionV relativeFrom="paragraph">
              <wp:posOffset>-187325</wp:posOffset>
            </wp:positionV>
            <wp:extent cx="711200" cy="1007745"/>
            <wp:effectExtent l="0" t="0" r="0" b="0"/>
            <wp:wrapTight wrapText="bothSides">
              <wp:wrapPolygon edited="0">
                <wp:start x="0" y="0"/>
                <wp:lineTo x="0" y="21233"/>
                <wp:lineTo x="20829" y="21233"/>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1200" cy="1007745"/>
                    </a:xfrm>
                    <a:prstGeom prst="rect">
                      <a:avLst/>
                    </a:prstGeom>
                    <a:noFill/>
                    <a:ln w="9525">
                      <a:noFill/>
                      <a:miter lim="800000"/>
                      <a:headEnd/>
                      <a:tailEnd/>
                    </a:ln>
                  </pic:spPr>
                </pic:pic>
              </a:graphicData>
            </a:graphic>
            <wp14:sizeRelV relativeFrom="margin">
              <wp14:pctHeight>0</wp14:pctHeight>
            </wp14:sizeRelV>
          </wp:anchor>
        </w:drawing>
      </w:r>
      <w:r w:rsidR="00B00B01" w:rsidRPr="00B00B01">
        <w:rPr>
          <w:rFonts w:eastAsia="Times New Roman"/>
          <w:noProof/>
          <w:lang w:eastAsia="zh-TW"/>
        </w:rPr>
        <w:t>International Journal of Research and Reports in Dentistry</w:t>
      </w:r>
    </w:p>
    <w:p w14:paraId="51AAFF70" w14:textId="77777777" w:rsidR="001A4A55" w:rsidRPr="00C34CD5" w:rsidRDefault="001A4A55" w:rsidP="001A4A55">
      <w:pPr>
        <w:spacing w:after="0" w:line="240" w:lineRule="auto"/>
        <w:ind w:left="2160"/>
        <w:contextualSpacing/>
        <w:rPr>
          <w:rFonts w:ascii="Arial" w:eastAsia="Times New Roman" w:hAnsi="Arial" w:cs="Arial"/>
          <w:b/>
          <w:i/>
          <w:noProof/>
          <w:sz w:val="24"/>
          <w:szCs w:val="16"/>
          <w:lang w:eastAsia="zh-TW"/>
        </w:rPr>
      </w:pPr>
    </w:p>
    <w:p w14:paraId="28163E56" w14:textId="3762A447" w:rsidR="00873A5C" w:rsidRPr="00C34CD5" w:rsidRDefault="00C165F9" w:rsidP="008808B4">
      <w:pPr>
        <w:pStyle w:val="Heading4"/>
        <w:rPr>
          <w:rFonts w:eastAsia="Times New Roman"/>
        </w:rPr>
      </w:pPr>
      <w:r w:rsidRPr="00C165F9">
        <w:rPr>
          <w:rFonts w:eastAsia="Times New Roman"/>
        </w:rPr>
        <w:t>Volume XXX, Issue XX, Page XX-XX, 20YY</w:t>
      </w:r>
      <w:r w:rsidR="004E094F">
        <w:rPr>
          <w:rFonts w:eastAsia="Times New Roman"/>
        </w:rPr>
        <w:t>;</w:t>
      </w:r>
      <w:r w:rsidR="00873A5C" w:rsidRPr="00C34CD5">
        <w:rPr>
          <w:rFonts w:eastAsia="Times New Roman"/>
        </w:rPr>
        <w:t xml:space="preserve"> Article </w:t>
      </w:r>
      <w:proofErr w:type="gramStart"/>
      <w:r w:rsidR="00873A5C" w:rsidRPr="00C34CD5">
        <w:rPr>
          <w:rFonts w:eastAsia="Times New Roman"/>
        </w:rPr>
        <w:t>no.</w:t>
      </w:r>
      <w:r w:rsidR="00412C6C" w:rsidRPr="00412C6C">
        <w:rPr>
          <w:rFonts w:eastAsia="Times New Roman"/>
        </w:rPr>
        <w:t>IJRRD</w:t>
      </w:r>
      <w:proofErr w:type="gramEnd"/>
      <w:r w:rsidR="008F6FC2">
        <w:rPr>
          <w:rFonts w:eastAsia="Times New Roman"/>
        </w:rPr>
        <w:t>.</w:t>
      </w:r>
      <w:r w:rsidR="008F6FC2" w:rsidRPr="008F6FC2">
        <w:rPr>
          <w:rFonts w:eastAsia="Times New Roman"/>
        </w:rPr>
        <w:t>152351</w:t>
      </w:r>
    </w:p>
    <w:p w14:paraId="78622A21" w14:textId="77777777" w:rsidR="00873A5C" w:rsidRPr="00F656D4" w:rsidRDefault="00873A5C" w:rsidP="00EB7881">
      <w:pPr>
        <w:spacing w:after="0" w:line="240" w:lineRule="auto"/>
        <w:ind w:left="2160"/>
        <w:contextualSpacing/>
        <w:rPr>
          <w:rFonts w:ascii="Arial" w:eastAsia="Times New Roman" w:hAnsi="Arial" w:cs="Arial"/>
          <w:b/>
          <w:i/>
          <w:sz w:val="18"/>
          <w:szCs w:val="20"/>
        </w:rPr>
      </w:pPr>
    </w:p>
    <w:p w14:paraId="68F7195D" w14:textId="77777777" w:rsidR="00AA0D41" w:rsidRPr="001A4A55" w:rsidRDefault="00AA0D41" w:rsidP="00124A37">
      <w:pPr>
        <w:spacing w:after="0" w:line="240" w:lineRule="auto"/>
        <w:contextualSpacing/>
        <w:jc w:val="center"/>
        <w:rPr>
          <w:rFonts w:ascii="Arial" w:eastAsia="Times New Roman" w:hAnsi="Arial" w:cs="Arial"/>
          <w:b/>
          <w:i/>
          <w:sz w:val="14"/>
          <w:szCs w:val="20"/>
        </w:rPr>
      </w:pPr>
    </w:p>
    <w:p w14:paraId="6A94FBD8" w14:textId="77777777" w:rsidR="001A4A55" w:rsidRPr="001A4A55" w:rsidRDefault="001A4A55" w:rsidP="00124A37">
      <w:pPr>
        <w:spacing w:after="0" w:line="240" w:lineRule="auto"/>
        <w:contextualSpacing/>
        <w:jc w:val="center"/>
        <w:rPr>
          <w:rFonts w:ascii="Arial" w:eastAsia="Times New Roman" w:hAnsi="Arial" w:cs="Arial"/>
          <w:b/>
          <w:i/>
          <w:sz w:val="14"/>
          <w:szCs w:val="20"/>
        </w:rPr>
      </w:pPr>
    </w:p>
    <w:p w14:paraId="708E7F5B" w14:textId="77777777" w:rsidR="00873A5C" w:rsidRPr="00C37E04" w:rsidRDefault="0019447A" w:rsidP="00873A5C">
      <w:pPr>
        <w:spacing w:after="0" w:line="240" w:lineRule="auto"/>
        <w:contextualSpacing/>
        <w:jc w:val="center"/>
        <w:rPr>
          <w:rFonts w:ascii="Arial" w:eastAsia="Times New Roman" w:hAnsi="Arial" w:cs="Arial"/>
          <w:b/>
          <w:bCs/>
          <w:kern w:val="28"/>
          <w:sz w:val="12"/>
          <w:szCs w:val="20"/>
        </w:rPr>
      </w:pPr>
      <w:r>
        <w:rPr>
          <w:rFonts w:ascii="Arial" w:eastAsia="Times New Roman" w:hAnsi="Arial" w:cs="Arial"/>
          <w:b/>
          <w:bCs/>
          <w:noProof/>
          <w:kern w:val="28"/>
          <w:sz w:val="32"/>
          <w:szCs w:val="20"/>
        </w:rPr>
      </w:r>
      <w:r>
        <w:rPr>
          <w:rFonts w:ascii="Arial" w:eastAsia="Times New Roman" w:hAnsi="Arial" w:cs="Arial"/>
          <w:b/>
          <w:bCs/>
          <w:noProof/>
          <w:kern w:val="28"/>
          <w:sz w:val="32"/>
          <w:szCs w:val="20"/>
        </w:rPr>
        <w:pict w14:anchorId="34EF31F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width:450.7pt;height:.05pt;visibility:visible;mso-left-percent:-10001;mso-top-percent:-10001;mso-position-horizontal:absolute;mso-position-horizontal-relative:char;mso-position-vertical:absolute;mso-position-vertical-relative:line;mso-left-percent:-10001;mso-top-percent:-10001" adj="10799,-62100000,-2666" strokeweight="1.5pt">
            <o:lock v:ext="edit" aspectratio="t"/>
            <w10:anchorlock/>
          </v:shape>
        </w:pict>
      </w:r>
    </w:p>
    <w:p w14:paraId="25B8C9DC" w14:textId="77777777" w:rsidR="00E531CD" w:rsidRPr="00E531CD" w:rsidRDefault="00E531CD" w:rsidP="00BD060A">
      <w:pPr>
        <w:spacing w:after="0" w:line="240" w:lineRule="auto"/>
        <w:contextualSpacing/>
        <w:jc w:val="right"/>
        <w:rPr>
          <w:rFonts w:ascii="Arial" w:eastAsia="Times New Roman" w:hAnsi="Arial" w:cs="Arial"/>
          <w:b/>
          <w:bCs/>
          <w:iCs/>
          <w:kern w:val="28"/>
          <w:sz w:val="20"/>
          <w:szCs w:val="20"/>
        </w:rPr>
      </w:pPr>
    </w:p>
    <w:p w14:paraId="3D24C3E1" w14:textId="3DCBC051" w:rsidR="003F47A0" w:rsidRPr="0024108F" w:rsidRDefault="008F6FC2" w:rsidP="008808B4">
      <w:pPr>
        <w:pStyle w:val="Heading1"/>
        <w:rPr>
          <w:rFonts w:eastAsia="Times New Roman"/>
          <w:kern w:val="28"/>
          <w:sz w:val="48"/>
          <w:szCs w:val="48"/>
        </w:rPr>
      </w:pPr>
      <w:r w:rsidRPr="0024108F">
        <w:rPr>
          <w:rFonts w:eastAsia="Times New Roman"/>
          <w:kern w:val="28"/>
          <w:sz w:val="48"/>
          <w:szCs w:val="48"/>
        </w:rPr>
        <w:t>Influence of Multirooted Teeth on Periodontitis and Treatment outcomes: A Case Series</w:t>
      </w:r>
    </w:p>
    <w:p w14:paraId="467B691A" w14:textId="77777777" w:rsidR="003F47A0" w:rsidRPr="0024108F" w:rsidRDefault="003F47A0" w:rsidP="003F47A0">
      <w:pPr>
        <w:spacing w:after="0" w:line="240" w:lineRule="auto"/>
        <w:contextualSpacing/>
        <w:jc w:val="right"/>
        <w:rPr>
          <w:rFonts w:ascii="Arial" w:eastAsia="Times New Roman" w:hAnsi="Arial" w:cs="Arial"/>
          <w:b/>
          <w:bCs/>
          <w:sz w:val="36"/>
          <w:szCs w:val="20"/>
        </w:rPr>
      </w:pPr>
    </w:p>
    <w:p w14:paraId="077BE689" w14:textId="77777777" w:rsidR="003F47A0" w:rsidRPr="0024108F" w:rsidRDefault="003F47A0" w:rsidP="00C165F9">
      <w:pPr>
        <w:spacing w:before="10" w:after="0" w:line="240" w:lineRule="auto"/>
        <w:jc w:val="right"/>
        <w:rPr>
          <w:rFonts w:ascii="Arial" w:eastAsia="Times New Roman" w:hAnsi="Arial" w:cs="Arial"/>
          <w:b/>
          <w:bCs/>
          <w:sz w:val="32"/>
          <w:szCs w:val="32"/>
        </w:rPr>
      </w:pPr>
      <w:r w:rsidRPr="0024108F">
        <w:rPr>
          <w:rFonts w:ascii="Arial" w:eastAsia="Times New Roman" w:hAnsi="Arial" w:cs="Arial"/>
          <w:b/>
          <w:bCs/>
          <w:sz w:val="32"/>
          <w:szCs w:val="32"/>
        </w:rPr>
        <w:t>Authors’ Name……………………………………………………</w:t>
      </w:r>
    </w:p>
    <w:p w14:paraId="3747D250" w14:textId="77777777" w:rsidR="003F47A0" w:rsidRPr="0024108F" w:rsidRDefault="003F47A0" w:rsidP="003F47A0">
      <w:pPr>
        <w:spacing w:after="0" w:line="280" w:lineRule="exact"/>
        <w:jc w:val="right"/>
        <w:rPr>
          <w:rFonts w:ascii="Arial" w:eastAsia="Times New Roman" w:hAnsi="Arial" w:cs="Arial"/>
          <w:b/>
          <w:bCs/>
          <w:sz w:val="24"/>
          <w:szCs w:val="20"/>
        </w:rPr>
      </w:pPr>
    </w:p>
    <w:p w14:paraId="595C17E9" w14:textId="77777777" w:rsidR="003F47A0" w:rsidRPr="0024108F" w:rsidRDefault="003F47A0" w:rsidP="003F47A0">
      <w:pPr>
        <w:spacing w:after="0" w:line="240" w:lineRule="auto"/>
        <w:jc w:val="right"/>
        <w:rPr>
          <w:rFonts w:ascii="Arial" w:eastAsia="Times New Roman" w:hAnsi="Arial" w:cs="Arial"/>
          <w:bCs/>
          <w:i/>
          <w:sz w:val="20"/>
          <w:szCs w:val="20"/>
        </w:rPr>
      </w:pPr>
      <w:r w:rsidRPr="0024108F">
        <w:rPr>
          <w:rFonts w:ascii="Arial" w:eastAsia="Times New Roman" w:hAnsi="Arial" w:cs="Arial"/>
          <w:bCs/>
          <w:i/>
          <w:sz w:val="20"/>
          <w:szCs w:val="20"/>
        </w:rPr>
        <w:t>Affiliations……………………………………………………….………………</w:t>
      </w:r>
    </w:p>
    <w:p w14:paraId="3D0E1F1C" w14:textId="77777777" w:rsidR="00D851AD" w:rsidRPr="0024108F" w:rsidRDefault="00D851AD" w:rsidP="00D851AD">
      <w:pPr>
        <w:spacing w:after="0" w:line="240" w:lineRule="auto"/>
        <w:jc w:val="right"/>
        <w:rPr>
          <w:rFonts w:ascii="Arial" w:eastAsia="Times New Roman" w:hAnsi="Arial" w:cs="Arial"/>
          <w:i/>
          <w:sz w:val="20"/>
          <w:szCs w:val="20"/>
        </w:rPr>
      </w:pPr>
    </w:p>
    <w:p w14:paraId="61CC4A5D" w14:textId="7B51D17B" w:rsidR="00A324F0" w:rsidRPr="0024108F" w:rsidRDefault="00A324F0" w:rsidP="00A324F0">
      <w:pPr>
        <w:spacing w:after="0" w:line="240" w:lineRule="auto"/>
        <w:jc w:val="right"/>
        <w:rPr>
          <w:rFonts w:ascii="Arial" w:eastAsia="Times New Roman" w:hAnsi="Arial" w:cs="Arial"/>
          <w:b/>
          <w:i/>
          <w:color w:val="FF0000"/>
          <w:sz w:val="20"/>
          <w:szCs w:val="20"/>
        </w:rPr>
      </w:pPr>
      <w:r w:rsidRPr="0024108F">
        <w:rPr>
          <w:rFonts w:ascii="Arial" w:eastAsia="Times New Roman" w:hAnsi="Arial" w:cs="Arial"/>
          <w:b/>
          <w:i/>
          <w:sz w:val="20"/>
          <w:szCs w:val="20"/>
        </w:rPr>
        <w:t>Authors’ contributions</w:t>
      </w:r>
    </w:p>
    <w:p w14:paraId="754DBFC7" w14:textId="77777777" w:rsidR="00D851AD" w:rsidRPr="0024108F" w:rsidRDefault="00D851AD" w:rsidP="00D851AD">
      <w:pPr>
        <w:spacing w:after="0" w:line="240" w:lineRule="auto"/>
        <w:jc w:val="right"/>
        <w:rPr>
          <w:rFonts w:ascii="Arial" w:eastAsia="Times New Roman" w:hAnsi="Arial" w:cs="Arial"/>
          <w:b/>
          <w:i/>
          <w:sz w:val="20"/>
          <w:szCs w:val="20"/>
        </w:rPr>
      </w:pPr>
    </w:p>
    <w:p w14:paraId="42C32802" w14:textId="0AA2B01F" w:rsidR="00A72DD6" w:rsidRPr="0024108F" w:rsidRDefault="00A72DD6" w:rsidP="00A72DD6">
      <w:pPr>
        <w:spacing w:after="0" w:line="240" w:lineRule="auto"/>
        <w:jc w:val="right"/>
        <w:rPr>
          <w:rFonts w:ascii="Arial" w:eastAsia="Times New Roman" w:hAnsi="Arial" w:cs="Arial"/>
          <w:i/>
          <w:sz w:val="20"/>
          <w:szCs w:val="20"/>
        </w:rPr>
      </w:pPr>
      <w:r w:rsidRPr="0024108F">
        <w:rPr>
          <w:rFonts w:ascii="Arial" w:hAnsi="Arial" w:cs="Arial"/>
          <w:i/>
          <w:sz w:val="20"/>
        </w:rPr>
        <w:t>This work was carried out in collaboration among all authors. All authors read and approved the final manuscript.</w:t>
      </w:r>
    </w:p>
    <w:p w14:paraId="53E2B229" w14:textId="77777777" w:rsidR="00D851AD" w:rsidRPr="0024108F" w:rsidRDefault="00D851AD" w:rsidP="00D851AD">
      <w:pPr>
        <w:spacing w:after="0" w:line="240" w:lineRule="auto"/>
        <w:jc w:val="right"/>
        <w:rPr>
          <w:rFonts w:ascii="Arial" w:eastAsia="Times New Roman" w:hAnsi="Arial" w:cs="Arial"/>
          <w:i/>
          <w:sz w:val="20"/>
          <w:szCs w:val="20"/>
        </w:rPr>
      </w:pPr>
    </w:p>
    <w:p w14:paraId="3AD9BC24" w14:textId="77777777" w:rsidR="00D851AD" w:rsidRPr="0024108F" w:rsidRDefault="00D851AD" w:rsidP="00D851AD">
      <w:pPr>
        <w:spacing w:after="0" w:line="240" w:lineRule="auto"/>
        <w:jc w:val="right"/>
        <w:rPr>
          <w:rFonts w:ascii="Arial" w:eastAsia="Times New Roman" w:hAnsi="Arial" w:cs="Arial"/>
          <w:b/>
          <w:i/>
          <w:sz w:val="20"/>
          <w:szCs w:val="20"/>
        </w:rPr>
      </w:pPr>
      <w:r w:rsidRPr="0024108F">
        <w:rPr>
          <w:rFonts w:ascii="Arial" w:eastAsia="Times New Roman" w:hAnsi="Arial" w:cs="Arial"/>
          <w:b/>
          <w:i/>
          <w:sz w:val="20"/>
          <w:szCs w:val="20"/>
        </w:rPr>
        <w:t>Article Information</w:t>
      </w:r>
    </w:p>
    <w:p w14:paraId="4E138479" w14:textId="77777777" w:rsidR="00D851AD" w:rsidRPr="0024108F" w:rsidRDefault="00D851AD" w:rsidP="00D851AD">
      <w:pPr>
        <w:spacing w:after="0" w:line="240" w:lineRule="auto"/>
        <w:jc w:val="right"/>
        <w:rPr>
          <w:rFonts w:ascii="Arial" w:eastAsia="Times New Roman" w:hAnsi="Arial" w:cs="Arial"/>
          <w:b/>
          <w:sz w:val="16"/>
          <w:szCs w:val="20"/>
        </w:rPr>
      </w:pPr>
    </w:p>
    <w:p w14:paraId="2275F92E" w14:textId="734A5911" w:rsidR="00E24690" w:rsidRPr="0024108F" w:rsidRDefault="00E24690" w:rsidP="00D851AD">
      <w:pPr>
        <w:spacing w:after="0" w:line="240" w:lineRule="auto"/>
        <w:jc w:val="right"/>
        <w:rPr>
          <w:rFonts w:ascii="Arial" w:eastAsia="Times New Roman" w:hAnsi="Arial" w:cs="Arial"/>
          <w:b/>
          <w:sz w:val="16"/>
          <w:szCs w:val="20"/>
        </w:rPr>
      </w:pPr>
      <w:r w:rsidRPr="0024108F">
        <w:rPr>
          <w:rFonts w:ascii="Arial" w:eastAsia="Times New Roman" w:hAnsi="Arial" w:cs="Arial"/>
          <w:sz w:val="16"/>
          <w:szCs w:val="16"/>
        </w:rPr>
        <w:t>DOI: 10.9734/IJRRD/202</w:t>
      </w:r>
      <w:r w:rsidR="00DD7A07" w:rsidRPr="0024108F">
        <w:rPr>
          <w:rFonts w:ascii="Arial" w:eastAsia="Times New Roman" w:hAnsi="Arial" w:cs="Arial"/>
          <w:sz w:val="16"/>
          <w:szCs w:val="16"/>
        </w:rPr>
        <w:t>6</w:t>
      </w:r>
      <w:r w:rsidRPr="0024108F">
        <w:rPr>
          <w:rFonts w:ascii="Arial" w:eastAsia="Times New Roman" w:hAnsi="Arial" w:cs="Arial"/>
          <w:sz w:val="16"/>
          <w:szCs w:val="16"/>
        </w:rPr>
        <w:t>/XXXXX</w:t>
      </w:r>
    </w:p>
    <w:p w14:paraId="4BC4133E" w14:textId="77777777" w:rsidR="00E24690" w:rsidRPr="0024108F" w:rsidRDefault="00E24690" w:rsidP="00D851AD">
      <w:pPr>
        <w:spacing w:after="0" w:line="240" w:lineRule="auto"/>
        <w:jc w:val="right"/>
        <w:rPr>
          <w:rFonts w:ascii="Arial" w:eastAsia="Times New Roman" w:hAnsi="Arial" w:cs="Arial"/>
          <w:b/>
          <w:sz w:val="16"/>
          <w:szCs w:val="20"/>
        </w:rPr>
      </w:pPr>
    </w:p>
    <w:p w14:paraId="5DCDF62A" w14:textId="77777777" w:rsidR="009F76E2" w:rsidRPr="00003A04" w:rsidRDefault="009F76E2" w:rsidP="009F76E2">
      <w:pPr>
        <w:spacing w:after="0" w:line="240" w:lineRule="auto"/>
        <w:jc w:val="right"/>
        <w:rPr>
          <w:rFonts w:ascii="Arial" w:eastAsia="Times New Roman" w:hAnsi="Arial" w:cs="Arial"/>
          <w:b/>
          <w:sz w:val="16"/>
          <w:szCs w:val="16"/>
        </w:rPr>
      </w:pPr>
      <w:r w:rsidRPr="0024108F">
        <w:rPr>
          <w:rFonts w:ascii="Arial" w:eastAsia="Times New Roman" w:hAnsi="Arial" w:cs="Arial"/>
          <w:b/>
          <w:sz w:val="16"/>
          <w:szCs w:val="16"/>
        </w:rPr>
        <w:t>Open Peer Review History:</w:t>
      </w:r>
    </w:p>
    <w:p w14:paraId="41698BCA" w14:textId="77777777" w:rsidR="009F76E2" w:rsidRPr="00D851AD" w:rsidRDefault="009F76E2" w:rsidP="009F76E2">
      <w:pPr>
        <w:spacing w:after="0" w:line="240" w:lineRule="auto"/>
        <w:jc w:val="right"/>
        <w:rPr>
          <w:rFonts w:ascii="Arial" w:eastAsia="Times New Roman" w:hAnsi="Arial" w:cs="Arial"/>
          <w:sz w:val="16"/>
          <w:szCs w:val="16"/>
        </w:rPr>
      </w:pPr>
      <w:r w:rsidRPr="00003A04">
        <w:rPr>
          <w:rFonts w:ascii="Arial" w:eastAsia="Times New Roman" w:hAnsi="Arial" w:cs="Arial"/>
          <w:sz w:val="16"/>
          <w:szCs w:val="16"/>
        </w:rPr>
        <w:t>This journal follows the Advanced Open Peer Review policy.</w:t>
      </w:r>
      <w:r>
        <w:rPr>
          <w:rFonts w:ascii="Arial" w:eastAsia="Times New Roman" w:hAnsi="Arial" w:cs="Arial"/>
          <w:sz w:val="16"/>
          <w:szCs w:val="16"/>
        </w:rPr>
        <w:t xml:space="preserve"> </w:t>
      </w:r>
      <w:r w:rsidRPr="00003A04">
        <w:rPr>
          <w:rFonts w:ascii="Arial" w:eastAsia="Times New Roman" w:hAnsi="Arial" w:cs="Arial"/>
          <w:sz w:val="16"/>
          <w:szCs w:val="16"/>
        </w:rPr>
        <w:t xml:space="preserve">Identity of the Reviewers, Editor(s) and additional </w:t>
      </w:r>
      <w:proofErr w:type="gramStart"/>
      <w:r w:rsidRPr="00003A04">
        <w:rPr>
          <w:rFonts w:ascii="Arial" w:eastAsia="Times New Roman" w:hAnsi="Arial" w:cs="Arial"/>
          <w:sz w:val="16"/>
          <w:szCs w:val="16"/>
        </w:rPr>
        <w:t xml:space="preserve">Reviewers, </w:t>
      </w:r>
      <w:r>
        <w:rPr>
          <w:rFonts w:ascii="Arial" w:eastAsia="Times New Roman" w:hAnsi="Arial" w:cs="Arial"/>
          <w:sz w:val="16"/>
          <w:szCs w:val="16"/>
        </w:rPr>
        <w:t xml:space="preserve"> </w:t>
      </w:r>
      <w:r w:rsidRPr="00003A04">
        <w:rPr>
          <w:rFonts w:ascii="Arial" w:eastAsia="Times New Roman" w:hAnsi="Arial" w:cs="Arial"/>
          <w:sz w:val="16"/>
          <w:szCs w:val="16"/>
        </w:rPr>
        <w:t>peer</w:t>
      </w:r>
      <w:proofErr w:type="gramEnd"/>
      <w:r w:rsidRPr="00003A04">
        <w:rPr>
          <w:rFonts w:ascii="Arial" w:eastAsia="Times New Roman" w:hAnsi="Arial" w:cs="Arial"/>
          <w:sz w:val="16"/>
          <w:szCs w:val="16"/>
        </w:rPr>
        <w:t xml:space="preserve"> review comments, different versions of the manuscript, comments of the editors, </w:t>
      </w:r>
      <w:proofErr w:type="spellStart"/>
      <w:r w:rsidRPr="00003A04">
        <w:rPr>
          <w:rFonts w:ascii="Arial" w:eastAsia="Times New Roman" w:hAnsi="Arial" w:cs="Arial"/>
          <w:sz w:val="16"/>
          <w:szCs w:val="16"/>
        </w:rPr>
        <w:t>etc</w:t>
      </w:r>
      <w:proofErr w:type="spellEnd"/>
      <w:r w:rsidRPr="00003A04">
        <w:rPr>
          <w:rFonts w:ascii="Arial" w:eastAsia="Times New Roman" w:hAnsi="Arial" w:cs="Arial"/>
          <w:sz w:val="16"/>
          <w:szCs w:val="16"/>
        </w:rPr>
        <w:t xml:space="preserve"> are available here:</w:t>
      </w:r>
    </w:p>
    <w:p w14:paraId="092498C1" w14:textId="77777777" w:rsidR="00BD060A" w:rsidRPr="00E93818" w:rsidRDefault="00BD060A" w:rsidP="002D6E70">
      <w:pPr>
        <w:keepNext/>
        <w:spacing w:after="0" w:line="240" w:lineRule="auto"/>
        <w:contextualSpacing/>
        <w:jc w:val="right"/>
        <w:rPr>
          <w:rFonts w:ascii="Arial" w:eastAsia="Times New Roman" w:hAnsi="Arial" w:cs="Arial"/>
          <w:sz w:val="16"/>
          <w:szCs w:val="20"/>
        </w:rPr>
      </w:pPr>
    </w:p>
    <w:p w14:paraId="43D7AA9C" w14:textId="77777777" w:rsidR="00D851AD" w:rsidRPr="00F83CEA" w:rsidRDefault="00D851AD" w:rsidP="002D6E70">
      <w:pPr>
        <w:keepNext/>
        <w:spacing w:after="0" w:line="240" w:lineRule="auto"/>
        <w:contextualSpacing/>
        <w:jc w:val="right"/>
        <w:rPr>
          <w:rFonts w:ascii="Arial" w:eastAsia="Times New Roman" w:hAnsi="Arial" w:cs="Arial"/>
          <w:sz w:val="20"/>
          <w:szCs w:val="20"/>
        </w:rPr>
      </w:pPr>
    </w:p>
    <w:p w14:paraId="43B8FBE9" w14:textId="77777777" w:rsidR="00BD060A" w:rsidRPr="00BD060A" w:rsidRDefault="00BD060A" w:rsidP="00BD060A">
      <w:pPr>
        <w:spacing w:after="0" w:line="240" w:lineRule="auto"/>
        <w:contextualSpacing/>
        <w:jc w:val="right"/>
        <w:rPr>
          <w:rFonts w:ascii="Arial" w:eastAsia="Times New Roman" w:hAnsi="Arial" w:cs="Arial"/>
          <w:bCs/>
          <w:iCs/>
          <w:sz w:val="20"/>
          <w:szCs w:val="20"/>
        </w:rPr>
      </w:pPr>
    </w:p>
    <w:p w14:paraId="1709379B" w14:textId="21109D60" w:rsidR="00BD060A" w:rsidRPr="00BD060A" w:rsidRDefault="00BD060A" w:rsidP="004C3267">
      <w:pPr>
        <w:autoSpaceDE w:val="0"/>
        <w:autoSpaceDN w:val="0"/>
        <w:adjustRightInd w:val="0"/>
        <w:spacing w:after="0" w:line="240" w:lineRule="auto"/>
        <w:contextualSpacing/>
        <w:jc w:val="right"/>
        <w:rPr>
          <w:rFonts w:ascii="Arial" w:eastAsia="Times New Roman" w:hAnsi="Arial" w:cs="Arial"/>
          <w:b/>
          <w:i/>
          <w:sz w:val="20"/>
          <w:szCs w:val="16"/>
        </w:rPr>
      </w:pPr>
      <w:r w:rsidRPr="00BD060A">
        <w:rPr>
          <w:rFonts w:ascii="Arial" w:eastAsia="Times New Roman" w:hAnsi="Arial" w:cs="Arial"/>
          <w:b/>
          <w:i/>
          <w:sz w:val="20"/>
          <w:szCs w:val="16"/>
        </w:rPr>
        <w:t>Received</w:t>
      </w:r>
      <w:r w:rsidR="00C165F9">
        <w:rPr>
          <w:rFonts w:ascii="Arial" w:eastAsia="Times New Roman" w:hAnsi="Arial" w:cs="Arial"/>
          <w:b/>
          <w:i/>
          <w:sz w:val="20"/>
          <w:szCs w:val="16"/>
        </w:rPr>
        <w:t>:</w:t>
      </w:r>
      <w:r w:rsidRPr="00BD060A">
        <w:rPr>
          <w:rFonts w:ascii="Arial" w:eastAsia="Times New Roman" w:hAnsi="Arial" w:cs="Arial"/>
          <w:b/>
          <w:i/>
          <w:sz w:val="20"/>
          <w:szCs w:val="16"/>
        </w:rPr>
        <w:t xml:space="preserve"> </w:t>
      </w:r>
      <w:r w:rsidR="004719C4" w:rsidRPr="004719C4">
        <w:rPr>
          <w:rFonts w:ascii="Arial" w:eastAsia="Times New Roman" w:hAnsi="Arial" w:cs="Arial"/>
          <w:b/>
          <w:i/>
          <w:sz w:val="20"/>
          <w:szCs w:val="16"/>
        </w:rPr>
        <w:t>DD/MM/20YY</w:t>
      </w:r>
      <w:r w:rsidR="0019447A">
        <w:rPr>
          <w:rFonts w:ascii="Arial" w:eastAsia="Times New Roman" w:hAnsi="Arial" w:cs="Arial"/>
          <w:b/>
          <w:i/>
          <w:noProof/>
          <w:sz w:val="20"/>
          <w:szCs w:val="20"/>
        </w:rPr>
        <w:pict w14:anchorId="575DBE4E">
          <v:rect id="_x0000_s1053" style="position:absolute;left:0;text-align:left;margin-left:5.1pt;margin-top:3.35pt;width:137.6pt;height:18.65pt;z-index:251666432;mso-position-horizontal-relative:text;mso-position-vertical-relative:text">
            <v:textbox style="mso-next-textbox:#_x0000_s1053" inset=",2.16pt,,2.16pt">
              <w:txbxContent>
                <w:p w14:paraId="76A5F0F5" w14:textId="77777777" w:rsidR="00682F1A" w:rsidRPr="00081439" w:rsidRDefault="00682F1A" w:rsidP="00682F1A">
                  <w:pPr>
                    <w:jc w:val="center"/>
                    <w:rPr>
                      <w:rFonts w:ascii="Arial" w:hAnsi="Arial" w:cs="Arial"/>
                      <w:b/>
                      <w:i/>
                      <w:sz w:val="20"/>
                    </w:rPr>
                  </w:pPr>
                  <w:r>
                    <w:rPr>
                      <w:rFonts w:ascii="Arial" w:hAnsi="Arial" w:cs="Arial"/>
                      <w:b/>
                      <w:i/>
                      <w:sz w:val="20"/>
                    </w:rPr>
                    <w:t>…………</w:t>
                  </w:r>
                  <w:r w:rsidRPr="00081439">
                    <w:rPr>
                      <w:rFonts w:ascii="Arial" w:hAnsi="Arial" w:cs="Arial"/>
                      <w:b/>
                      <w:i/>
                      <w:sz w:val="20"/>
                    </w:rPr>
                    <w:t xml:space="preserve"> Article</w:t>
                  </w:r>
                </w:p>
              </w:txbxContent>
            </v:textbox>
          </v:rect>
        </w:pict>
      </w:r>
    </w:p>
    <w:p w14:paraId="57A70089" w14:textId="77777777" w:rsidR="00BD060A" w:rsidRPr="00BD060A" w:rsidRDefault="00BD060A" w:rsidP="00BD060A">
      <w:pPr>
        <w:autoSpaceDE w:val="0"/>
        <w:autoSpaceDN w:val="0"/>
        <w:adjustRightInd w:val="0"/>
        <w:spacing w:after="0" w:line="240" w:lineRule="auto"/>
        <w:contextualSpacing/>
        <w:jc w:val="right"/>
        <w:rPr>
          <w:rFonts w:ascii="Arial" w:eastAsia="Times New Roman" w:hAnsi="Arial" w:cs="Arial"/>
          <w:sz w:val="20"/>
          <w:szCs w:val="20"/>
        </w:rPr>
      </w:pPr>
      <w:r w:rsidRPr="00BD060A">
        <w:rPr>
          <w:rFonts w:ascii="Arial" w:eastAsia="Times New Roman" w:hAnsi="Arial" w:cs="Arial"/>
          <w:b/>
          <w:i/>
          <w:sz w:val="20"/>
          <w:szCs w:val="16"/>
        </w:rPr>
        <w:t>Published</w:t>
      </w:r>
      <w:r w:rsidR="00C165F9">
        <w:rPr>
          <w:rFonts w:ascii="Arial" w:eastAsia="Times New Roman" w:hAnsi="Arial" w:cs="Arial"/>
          <w:b/>
          <w:i/>
          <w:sz w:val="20"/>
          <w:szCs w:val="16"/>
        </w:rPr>
        <w:t>:</w:t>
      </w:r>
      <w:r w:rsidRPr="00BD060A">
        <w:rPr>
          <w:rFonts w:ascii="Arial" w:eastAsia="Times New Roman" w:hAnsi="Arial" w:cs="Arial"/>
          <w:b/>
          <w:i/>
          <w:sz w:val="20"/>
          <w:szCs w:val="16"/>
        </w:rPr>
        <w:t xml:space="preserve"> </w:t>
      </w:r>
      <w:r w:rsidR="004719C4" w:rsidRPr="004719C4">
        <w:rPr>
          <w:rFonts w:ascii="Arial" w:eastAsia="Times New Roman" w:hAnsi="Arial" w:cs="Arial"/>
          <w:b/>
          <w:i/>
          <w:sz w:val="20"/>
          <w:szCs w:val="16"/>
        </w:rPr>
        <w:t>DD/MM/20YY</w:t>
      </w:r>
    </w:p>
    <w:p w14:paraId="3CCC6FB2" w14:textId="77777777" w:rsidR="00BD060A" w:rsidRPr="001004BF" w:rsidRDefault="0019447A" w:rsidP="00BD060A">
      <w:pPr>
        <w:keepNext/>
        <w:spacing w:after="0" w:line="240" w:lineRule="auto"/>
        <w:contextualSpacing/>
        <w:rPr>
          <w:rFonts w:ascii="Arial" w:eastAsia="Times New Roman" w:hAnsi="Arial" w:cs="Arial"/>
          <w:b/>
          <w:caps/>
          <w:sz w:val="24"/>
          <w:szCs w:val="20"/>
        </w:rPr>
      </w:pPr>
      <w:r>
        <w:rPr>
          <w:rFonts w:ascii="Arial" w:eastAsia="Times New Roman" w:hAnsi="Arial" w:cs="Arial"/>
          <w:b/>
          <w:caps/>
          <w:sz w:val="24"/>
          <w:szCs w:val="20"/>
        </w:rPr>
      </w:r>
      <w:r>
        <w:rPr>
          <w:rFonts w:ascii="Arial" w:eastAsia="Times New Roman" w:hAnsi="Arial" w:cs="Arial"/>
          <w:b/>
          <w:caps/>
          <w:sz w:val="24"/>
          <w:szCs w:val="20"/>
        </w:rPr>
        <w:pict w14:anchorId="28A47126">
          <v:shapetype id="_x0000_t32" coordsize="21600,21600" o:spt="32" o:oned="t" path="m,l21600,21600e" filled="f">
            <v:path arrowok="t" fillok="f" o:connecttype="none"/>
            <o:lock v:ext="edit" shapetype="t"/>
          </v:shapetype>
          <v:shape id="_x0000_s1054"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09E5D709" w14:textId="77777777" w:rsidR="00BD060A" w:rsidRPr="00BD060A" w:rsidRDefault="00BD060A" w:rsidP="00BD060A">
      <w:pPr>
        <w:keepNext/>
        <w:tabs>
          <w:tab w:val="left" w:pos="3870"/>
        </w:tabs>
        <w:spacing w:after="0" w:line="240" w:lineRule="auto"/>
        <w:contextualSpacing/>
        <w:rPr>
          <w:rFonts w:ascii="Arial" w:eastAsia="Times New Roman" w:hAnsi="Arial" w:cs="Arial"/>
          <w:b/>
          <w:caps/>
          <w:sz w:val="20"/>
          <w:szCs w:val="20"/>
        </w:rPr>
      </w:pPr>
    </w:p>
    <w:p w14:paraId="51771FCD" w14:textId="4C148EE9" w:rsidR="00BD060A" w:rsidRPr="00BD060A" w:rsidRDefault="00DD7A07" w:rsidP="008808B4">
      <w:pPr>
        <w:pStyle w:val="Heading2"/>
        <w:rPr>
          <w:rFonts w:eastAsia="Times New Roman"/>
        </w:rPr>
      </w:pPr>
      <w:r w:rsidRPr="00BD060A">
        <w:rPr>
          <w:rFonts w:eastAsia="Times New Roman"/>
        </w:rPr>
        <w:t>Abstract</w:t>
      </w:r>
    </w:p>
    <w:p w14:paraId="620BE9C4" w14:textId="77777777" w:rsidR="00BD060A" w:rsidRPr="00BD060A" w:rsidRDefault="00BD060A" w:rsidP="00BD060A">
      <w:pPr>
        <w:keepNext/>
        <w:spacing w:after="0" w:line="240" w:lineRule="auto"/>
        <w:contextualSpacing/>
        <w:rPr>
          <w:rFonts w:ascii="Arial" w:eastAsia="Times New Roman" w:hAnsi="Arial" w:cs="Arial"/>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8"/>
      </w:tblGrid>
      <w:tr w:rsidR="00BD060A" w:rsidRPr="00BD060A" w14:paraId="0A59FD40" w14:textId="77777777" w:rsidTr="00C165F9">
        <w:trPr>
          <w:jc w:val="center"/>
        </w:trPr>
        <w:tc>
          <w:tcPr>
            <w:tcW w:w="9108" w:type="dxa"/>
          </w:tcPr>
          <w:p w14:paraId="613C9A3E" w14:textId="708F4446" w:rsidR="008F6FC2" w:rsidRPr="0024108F" w:rsidRDefault="008F6FC2" w:rsidP="008F6FC2">
            <w:pPr>
              <w:spacing w:after="0" w:line="240" w:lineRule="auto"/>
              <w:contextualSpacing/>
              <w:jc w:val="both"/>
              <w:rPr>
                <w:rFonts w:ascii="Arial" w:eastAsia="Calibri" w:hAnsi="Arial" w:cs="Arial"/>
                <w:sz w:val="20"/>
                <w:lang w:val="en-IN"/>
              </w:rPr>
            </w:pPr>
            <w:r w:rsidRPr="0024108F">
              <w:rPr>
                <w:rFonts w:ascii="Arial" w:eastAsia="Calibri" w:hAnsi="Arial" w:cs="Arial"/>
                <w:b/>
                <w:bCs/>
                <w:sz w:val="20"/>
                <w:lang w:val="en-IN"/>
              </w:rPr>
              <w:t>Aim:</w:t>
            </w:r>
            <w:r w:rsidRPr="0024108F">
              <w:rPr>
                <w:rFonts w:ascii="Arial" w:eastAsia="Calibri" w:hAnsi="Arial" w:cs="Arial"/>
                <w:sz w:val="20"/>
                <w:lang w:val="en-IN"/>
              </w:rPr>
              <w:t xml:space="preserve"> </w:t>
            </w:r>
            <w:r w:rsidR="00714458">
              <w:rPr>
                <w:rFonts w:ascii="Arial" w:eastAsia="Calibri" w:hAnsi="Arial" w:cs="Arial"/>
                <w:sz w:val="20"/>
                <w:lang w:val="en-IN"/>
              </w:rPr>
              <w:t xml:space="preserve">The </w:t>
            </w:r>
            <w:r w:rsidR="00714458" w:rsidRPr="00714458">
              <w:rPr>
                <w:rFonts w:ascii="Arial" w:eastAsia="Calibri" w:hAnsi="Arial" w:cs="Arial"/>
                <w:sz w:val="20"/>
                <w:lang w:val="en-IN"/>
              </w:rPr>
              <w:t xml:space="preserve">Aim </w:t>
            </w:r>
            <w:r w:rsidR="00714458">
              <w:rPr>
                <w:rFonts w:ascii="Arial" w:eastAsia="Calibri" w:hAnsi="Arial" w:cs="Arial"/>
                <w:sz w:val="20"/>
                <w:lang w:val="en-IN"/>
              </w:rPr>
              <w:t xml:space="preserve">of the study is </w:t>
            </w:r>
            <w:r w:rsidR="003067D7">
              <w:rPr>
                <w:rFonts w:ascii="Arial" w:eastAsia="Calibri" w:hAnsi="Arial" w:cs="Arial"/>
                <w:sz w:val="20"/>
                <w:lang w:val="en-IN"/>
              </w:rPr>
              <w:t>t</w:t>
            </w:r>
            <w:r w:rsidRPr="0024108F">
              <w:rPr>
                <w:rFonts w:ascii="Arial" w:eastAsia="Calibri" w:hAnsi="Arial" w:cs="Arial"/>
                <w:sz w:val="20"/>
                <w:lang w:val="en-IN"/>
              </w:rPr>
              <w:t xml:space="preserve">o evaluate the influence of root morphology, particularly root trunk length and crown–root ratio, on periodontal disease progression, diagnosis, and treatment outcomes. </w:t>
            </w:r>
          </w:p>
          <w:p w14:paraId="6CF615FC" w14:textId="2D15E634" w:rsidR="008F6FC2" w:rsidRPr="0024108F" w:rsidRDefault="008F6FC2" w:rsidP="008F6FC2">
            <w:pPr>
              <w:spacing w:after="0" w:line="240" w:lineRule="auto"/>
              <w:contextualSpacing/>
              <w:jc w:val="both"/>
              <w:rPr>
                <w:rFonts w:ascii="Arial" w:eastAsia="Calibri" w:hAnsi="Arial" w:cs="Arial"/>
                <w:sz w:val="20"/>
                <w:lang w:val="en-IN"/>
              </w:rPr>
            </w:pPr>
            <w:r w:rsidRPr="0024108F">
              <w:rPr>
                <w:rFonts w:ascii="Arial" w:eastAsia="Calibri" w:hAnsi="Arial" w:cs="Arial"/>
                <w:b/>
                <w:bCs/>
                <w:sz w:val="20"/>
                <w:lang w:val="en-IN"/>
              </w:rPr>
              <w:t>Case Description:</w:t>
            </w:r>
            <w:r w:rsidRPr="0024108F">
              <w:rPr>
                <w:rFonts w:ascii="Arial" w:eastAsia="Calibri" w:hAnsi="Arial" w:cs="Arial"/>
                <w:sz w:val="20"/>
                <w:lang w:val="en-IN"/>
              </w:rPr>
              <w:t xml:space="preserve"> This case series presents three patients with furcation involvement </w:t>
            </w:r>
            <w:r w:rsidR="0024108F">
              <w:rPr>
                <w:rFonts w:ascii="Arial" w:eastAsia="Calibri" w:hAnsi="Arial" w:cs="Arial"/>
                <w:sz w:val="20"/>
                <w:lang w:val="en-IN"/>
              </w:rPr>
              <w:t xml:space="preserve">            </w:t>
            </w:r>
            <w:r w:rsidRPr="0024108F">
              <w:rPr>
                <w:rFonts w:ascii="Arial" w:eastAsia="Calibri" w:hAnsi="Arial" w:cs="Arial"/>
                <w:sz w:val="20"/>
                <w:lang w:val="en-IN"/>
              </w:rPr>
              <w:t>affecting both premolar and m</w:t>
            </w:r>
            <w:bookmarkStart w:id="0" w:name="_GoBack"/>
            <w:bookmarkEnd w:id="0"/>
            <w:r w:rsidRPr="0024108F">
              <w:rPr>
                <w:rFonts w:ascii="Arial" w:eastAsia="Calibri" w:hAnsi="Arial" w:cs="Arial"/>
                <w:sz w:val="20"/>
                <w:lang w:val="en-IN"/>
              </w:rPr>
              <w:t xml:space="preserve">olars. Each case highlights anatomical variations such as long and short root trunks and crown–root ratio differences, demonstrating their impact on periodontal management. </w:t>
            </w:r>
          </w:p>
          <w:p w14:paraId="37B6601B" w14:textId="7601A46E" w:rsidR="008F6FC2" w:rsidRPr="0024108F" w:rsidRDefault="008F6FC2" w:rsidP="008F6FC2">
            <w:pPr>
              <w:spacing w:after="0" w:line="240" w:lineRule="auto"/>
              <w:contextualSpacing/>
              <w:jc w:val="both"/>
              <w:rPr>
                <w:rFonts w:ascii="Arial" w:eastAsia="Calibri" w:hAnsi="Arial" w:cs="Arial"/>
                <w:sz w:val="20"/>
                <w:lang w:val="en-IN"/>
              </w:rPr>
            </w:pPr>
            <w:r w:rsidRPr="0024108F">
              <w:rPr>
                <w:rFonts w:ascii="Arial" w:eastAsia="Calibri" w:hAnsi="Arial" w:cs="Arial"/>
                <w:b/>
                <w:bCs/>
                <w:sz w:val="20"/>
                <w:lang w:val="en-IN"/>
              </w:rPr>
              <w:t>Outcome:</w:t>
            </w:r>
            <w:r w:rsidRPr="0024108F">
              <w:rPr>
                <w:rFonts w:ascii="Arial" w:eastAsia="Calibri" w:hAnsi="Arial" w:cs="Arial"/>
                <w:sz w:val="20"/>
                <w:lang w:val="en-IN"/>
              </w:rPr>
              <w:t xml:space="preserve"> All three cases showed uneventful healing, with reduction in probing depths</w:t>
            </w:r>
            <w:r w:rsidR="0024108F">
              <w:rPr>
                <w:rFonts w:ascii="Arial" w:eastAsia="Calibri" w:hAnsi="Arial" w:cs="Arial"/>
                <w:sz w:val="20"/>
                <w:lang w:val="en-IN"/>
              </w:rPr>
              <w:t xml:space="preserve">                </w:t>
            </w:r>
            <w:r w:rsidRPr="0024108F">
              <w:rPr>
                <w:rFonts w:ascii="Arial" w:eastAsia="Calibri" w:hAnsi="Arial" w:cs="Arial"/>
                <w:sz w:val="20"/>
                <w:lang w:val="en-IN"/>
              </w:rPr>
              <w:t xml:space="preserve"> and improved gingival architecture following regenerative therapy. Intraoperative </w:t>
            </w:r>
            <w:r w:rsidR="0024108F">
              <w:rPr>
                <w:rFonts w:ascii="Arial" w:eastAsia="Calibri" w:hAnsi="Arial" w:cs="Arial"/>
                <w:sz w:val="20"/>
                <w:lang w:val="en-IN"/>
              </w:rPr>
              <w:t xml:space="preserve">                            </w:t>
            </w:r>
            <w:r w:rsidRPr="0024108F">
              <w:rPr>
                <w:rFonts w:ascii="Arial" w:eastAsia="Calibri" w:hAnsi="Arial" w:cs="Arial"/>
                <w:sz w:val="20"/>
                <w:lang w:val="en-IN"/>
              </w:rPr>
              <w:t>findings confirmed that teeth with long root trunks exhibited delayed furcation involvement</w:t>
            </w:r>
            <w:r w:rsidR="0024108F">
              <w:rPr>
                <w:rFonts w:ascii="Arial" w:eastAsia="Calibri" w:hAnsi="Arial" w:cs="Arial"/>
                <w:sz w:val="20"/>
                <w:lang w:val="en-IN"/>
              </w:rPr>
              <w:t xml:space="preserve">               </w:t>
            </w:r>
            <w:r w:rsidRPr="0024108F">
              <w:rPr>
                <w:rFonts w:ascii="Arial" w:eastAsia="Calibri" w:hAnsi="Arial" w:cs="Arial"/>
                <w:sz w:val="20"/>
                <w:lang w:val="en-IN"/>
              </w:rPr>
              <w:t xml:space="preserve"> but posed challenges for complete debridement, while those with short root trunks </w:t>
            </w:r>
            <w:r w:rsidR="0024108F">
              <w:rPr>
                <w:rFonts w:ascii="Arial" w:eastAsia="Calibri" w:hAnsi="Arial" w:cs="Arial"/>
                <w:sz w:val="20"/>
                <w:lang w:val="en-IN"/>
              </w:rPr>
              <w:t xml:space="preserve">               </w:t>
            </w:r>
            <w:r w:rsidRPr="0024108F">
              <w:rPr>
                <w:rFonts w:ascii="Arial" w:eastAsia="Calibri" w:hAnsi="Arial" w:cs="Arial"/>
                <w:sz w:val="20"/>
                <w:lang w:val="en-IN"/>
              </w:rPr>
              <w:t xml:space="preserve">demonstrated early furcation exposure, increased mobility, and compromised biomechanical support. Premolar furcation involvement further complicated diagnosis and limited therapeutic </w:t>
            </w:r>
            <w:r w:rsidRPr="0024108F">
              <w:rPr>
                <w:rFonts w:ascii="Arial" w:eastAsia="Calibri" w:hAnsi="Arial" w:cs="Arial"/>
                <w:sz w:val="20"/>
                <w:lang w:val="en-IN"/>
              </w:rPr>
              <w:lastRenderedPageBreak/>
              <w:t xml:space="preserve">access. </w:t>
            </w:r>
          </w:p>
          <w:p w14:paraId="6A046A8F" w14:textId="77777777" w:rsidR="003F47A0" w:rsidRPr="0024108F" w:rsidRDefault="008F6FC2" w:rsidP="008F6FC2">
            <w:pPr>
              <w:spacing w:after="0" w:line="240" w:lineRule="auto"/>
              <w:contextualSpacing/>
              <w:jc w:val="both"/>
              <w:rPr>
                <w:rFonts w:ascii="Arial" w:eastAsia="Calibri" w:hAnsi="Arial" w:cs="Arial"/>
                <w:sz w:val="20"/>
                <w:lang w:val="en-IN"/>
              </w:rPr>
            </w:pPr>
            <w:r w:rsidRPr="0024108F">
              <w:rPr>
                <w:rFonts w:ascii="Arial" w:eastAsia="Calibri" w:hAnsi="Arial" w:cs="Arial"/>
                <w:b/>
                <w:bCs/>
                <w:sz w:val="20"/>
                <w:lang w:val="en-IN"/>
              </w:rPr>
              <w:t xml:space="preserve">Conclusion: </w:t>
            </w:r>
            <w:r w:rsidRPr="0024108F">
              <w:rPr>
                <w:rFonts w:ascii="Arial" w:eastAsia="Calibri" w:hAnsi="Arial" w:cs="Arial"/>
                <w:sz w:val="20"/>
                <w:lang w:val="en-IN"/>
              </w:rPr>
              <w:t>Root morphology substantially influences disease severity and treatment complexity. Careful morphological assessment is essential for accurate diagnosis, effective treatment planning, and long</w:t>
            </w:r>
            <w:r w:rsidRPr="0024108F">
              <w:rPr>
                <w:rFonts w:ascii="Arial" w:eastAsia="Calibri" w:hAnsi="Arial" w:cs="Arial"/>
                <w:sz w:val="20"/>
                <w:lang w:val="en-IN"/>
              </w:rPr>
              <w:noBreakHyphen/>
              <w:t>term periodontal stability. This case series emphasizes the clinical importance of anatomical variations in guiding periodontal therapy.</w:t>
            </w:r>
          </w:p>
          <w:p w14:paraId="3E8B8AD6" w14:textId="6A91B383" w:rsidR="008F6FC2" w:rsidRPr="0024108F" w:rsidRDefault="008F6FC2" w:rsidP="008F6FC2">
            <w:pPr>
              <w:spacing w:after="0" w:line="240" w:lineRule="auto"/>
              <w:contextualSpacing/>
              <w:jc w:val="both"/>
              <w:rPr>
                <w:rFonts w:ascii="Arial" w:eastAsia="Calibri" w:hAnsi="Arial" w:cs="Arial"/>
                <w:sz w:val="20"/>
              </w:rPr>
            </w:pPr>
          </w:p>
        </w:tc>
      </w:tr>
    </w:tbl>
    <w:p w14:paraId="39553AFF" w14:textId="77777777" w:rsidR="00D851AD" w:rsidRDefault="00D851AD" w:rsidP="00BD060A">
      <w:pPr>
        <w:spacing w:after="0" w:line="240" w:lineRule="auto"/>
        <w:ind w:left="1080" w:hanging="1080"/>
        <w:contextualSpacing/>
        <w:jc w:val="both"/>
        <w:rPr>
          <w:rFonts w:ascii="Arial" w:eastAsia="Times New Roman" w:hAnsi="Arial" w:cs="Arial"/>
          <w:i/>
          <w:sz w:val="20"/>
          <w:szCs w:val="20"/>
        </w:rPr>
      </w:pPr>
    </w:p>
    <w:p w14:paraId="15C50BB3" w14:textId="40F8E107" w:rsidR="00BD060A" w:rsidRPr="00EE44A1" w:rsidRDefault="00BD060A" w:rsidP="00BD060A">
      <w:pPr>
        <w:spacing w:after="0" w:line="240" w:lineRule="auto"/>
        <w:ind w:left="1080" w:hanging="1080"/>
        <w:contextualSpacing/>
        <w:jc w:val="both"/>
        <w:rPr>
          <w:rFonts w:ascii="Arial" w:eastAsia="Times New Roman" w:hAnsi="Arial" w:cs="Arial"/>
          <w:i/>
          <w:iCs/>
          <w:sz w:val="20"/>
          <w:szCs w:val="20"/>
        </w:rPr>
      </w:pPr>
      <w:r w:rsidRPr="00BD060A">
        <w:rPr>
          <w:rFonts w:ascii="Arial" w:eastAsia="Times New Roman" w:hAnsi="Arial" w:cs="Arial"/>
          <w:i/>
          <w:sz w:val="20"/>
          <w:szCs w:val="20"/>
        </w:rPr>
        <w:t xml:space="preserve">Keywords: </w:t>
      </w:r>
      <w:r w:rsidR="008F6FC2" w:rsidRPr="00EE44A1">
        <w:rPr>
          <w:rFonts w:ascii="Arial" w:eastAsia="Times New Roman" w:hAnsi="Arial" w:cs="Arial"/>
          <w:i/>
          <w:iCs/>
          <w:sz w:val="20"/>
          <w:szCs w:val="20"/>
          <w:lang w:val="en-IN"/>
        </w:rPr>
        <w:t>Root morphology</w:t>
      </w:r>
      <w:r w:rsidR="00EE44A1" w:rsidRPr="00EE44A1">
        <w:rPr>
          <w:rFonts w:ascii="Arial" w:eastAsia="Times New Roman" w:hAnsi="Arial" w:cs="Arial"/>
          <w:i/>
          <w:iCs/>
          <w:sz w:val="20"/>
          <w:szCs w:val="20"/>
          <w:lang w:val="en-IN"/>
        </w:rPr>
        <w:t>;</w:t>
      </w:r>
      <w:r w:rsidR="008F6FC2" w:rsidRPr="00EE44A1">
        <w:rPr>
          <w:rFonts w:ascii="Arial" w:eastAsia="Times New Roman" w:hAnsi="Arial" w:cs="Arial"/>
          <w:i/>
          <w:iCs/>
          <w:sz w:val="20"/>
          <w:szCs w:val="20"/>
          <w:lang w:val="en-IN"/>
        </w:rPr>
        <w:t xml:space="preserve"> long root trunk</w:t>
      </w:r>
      <w:r w:rsidR="00EE44A1" w:rsidRPr="00EE44A1">
        <w:rPr>
          <w:rFonts w:ascii="Arial" w:eastAsia="Times New Roman" w:hAnsi="Arial" w:cs="Arial"/>
          <w:i/>
          <w:iCs/>
          <w:sz w:val="20"/>
          <w:szCs w:val="20"/>
          <w:lang w:val="en-IN"/>
        </w:rPr>
        <w:t>;</w:t>
      </w:r>
      <w:r w:rsidR="008F6FC2" w:rsidRPr="00EE44A1">
        <w:rPr>
          <w:rFonts w:ascii="Arial" w:eastAsia="Times New Roman" w:hAnsi="Arial" w:cs="Arial"/>
          <w:i/>
          <w:iCs/>
          <w:sz w:val="20"/>
          <w:szCs w:val="20"/>
          <w:lang w:val="en-IN"/>
        </w:rPr>
        <w:t xml:space="preserve"> short root trunk</w:t>
      </w:r>
      <w:r w:rsidR="00EE44A1" w:rsidRPr="00EE44A1">
        <w:rPr>
          <w:rFonts w:ascii="Arial" w:eastAsia="Times New Roman" w:hAnsi="Arial" w:cs="Arial"/>
          <w:i/>
          <w:iCs/>
          <w:sz w:val="20"/>
          <w:szCs w:val="20"/>
          <w:lang w:val="en-IN"/>
        </w:rPr>
        <w:t>;</w:t>
      </w:r>
      <w:r w:rsidR="008F6FC2" w:rsidRPr="00EE44A1">
        <w:rPr>
          <w:rFonts w:ascii="Arial" w:eastAsia="Times New Roman" w:hAnsi="Arial" w:cs="Arial"/>
          <w:i/>
          <w:iCs/>
          <w:sz w:val="20"/>
          <w:szCs w:val="20"/>
          <w:lang w:val="en-IN"/>
        </w:rPr>
        <w:t xml:space="preserve"> premolar furcation involvement</w:t>
      </w:r>
      <w:r w:rsidRPr="00EE44A1">
        <w:rPr>
          <w:rFonts w:ascii="Arial" w:eastAsia="Times New Roman" w:hAnsi="Arial" w:cs="Arial"/>
          <w:i/>
          <w:iCs/>
          <w:sz w:val="20"/>
          <w:szCs w:val="20"/>
        </w:rPr>
        <w:t>.</w:t>
      </w:r>
    </w:p>
    <w:p w14:paraId="1A40068F" w14:textId="77777777" w:rsidR="008F6FC2" w:rsidRPr="008F6FC2" w:rsidRDefault="008F6FC2" w:rsidP="00BD060A">
      <w:pPr>
        <w:spacing w:after="0" w:line="240" w:lineRule="auto"/>
        <w:ind w:left="1080" w:hanging="1080"/>
        <w:contextualSpacing/>
        <w:jc w:val="both"/>
        <w:rPr>
          <w:rFonts w:ascii="Arial" w:eastAsia="Times New Roman" w:hAnsi="Arial" w:cs="Arial"/>
          <w:bCs/>
          <w:sz w:val="20"/>
          <w:szCs w:val="20"/>
        </w:rPr>
      </w:pPr>
    </w:p>
    <w:p w14:paraId="4BC223B0" w14:textId="77777777" w:rsidR="00FE5D5E" w:rsidRDefault="00FE5D5E" w:rsidP="00EE44A1">
      <w:pPr>
        <w:spacing w:after="0" w:line="240" w:lineRule="auto"/>
        <w:contextualSpacing/>
        <w:jc w:val="both"/>
        <w:rPr>
          <w:rFonts w:ascii="Arial" w:eastAsia="Aptos" w:hAnsi="Arial" w:cs="Arial"/>
          <w:b/>
          <w:bCs/>
          <w:kern w:val="2"/>
          <w:lang w:val="en-IN"/>
        </w:rPr>
        <w:sectPr w:rsidR="00FE5D5E" w:rsidSect="0035695E">
          <w:headerReference w:type="default" r:id="rId9"/>
          <w:footerReference w:type="default" r:id="rId10"/>
          <w:footerReference w:type="first" r:id="rId11"/>
          <w:pgSz w:w="11909" w:h="16834" w:code="9"/>
          <w:pgMar w:top="1440" w:right="1440" w:bottom="1440" w:left="1440" w:header="720" w:footer="864" w:gutter="0"/>
          <w:pgNumType w:start="1"/>
          <w:cols w:space="720"/>
          <w:titlePg/>
          <w:docGrid w:linePitch="360"/>
        </w:sectPr>
      </w:pPr>
    </w:p>
    <w:p w14:paraId="67AC3D08" w14:textId="78375DBB" w:rsidR="00EE44A1" w:rsidRPr="00F44E90" w:rsidRDefault="00F44E90" w:rsidP="00EE44A1">
      <w:pPr>
        <w:spacing w:after="0" w:line="240" w:lineRule="auto"/>
        <w:contextualSpacing/>
        <w:jc w:val="both"/>
        <w:rPr>
          <w:rFonts w:ascii="Arial" w:eastAsia="Aptos" w:hAnsi="Arial" w:cs="Arial"/>
          <w:b/>
          <w:bCs/>
          <w:kern w:val="2"/>
          <w:lang w:val="en-IN"/>
        </w:rPr>
      </w:pPr>
      <w:r w:rsidRPr="00F44E90">
        <w:rPr>
          <w:rFonts w:ascii="Arial" w:eastAsia="Aptos" w:hAnsi="Arial" w:cs="Arial"/>
          <w:b/>
          <w:bCs/>
          <w:kern w:val="2"/>
          <w:lang w:val="en-IN"/>
        </w:rPr>
        <w:t>1. Introduction</w:t>
      </w:r>
    </w:p>
    <w:p w14:paraId="55AE42C8"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1944DB8F" w14:textId="70CCF4BD"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The relationship between root morphology and periodontal disease progression is well recognized, as the anatomical features of a tooth play a central role in how periodontal disease begins, advances, and responds to treatment</w:t>
      </w:r>
      <w:r w:rsidR="00B13922">
        <w:rPr>
          <w:rFonts w:ascii="Arial" w:eastAsia="Aptos" w:hAnsi="Arial" w:cs="Arial"/>
          <w:kern w:val="2"/>
          <w:sz w:val="20"/>
          <w:szCs w:val="20"/>
          <w:lang w:val="en-IN"/>
        </w:rPr>
        <w:t xml:space="preserve"> </w:t>
      </w:r>
      <w:r w:rsidR="00B13922" w:rsidRPr="00B13922">
        <w:rPr>
          <w:rFonts w:ascii="Arial" w:eastAsia="Aptos" w:hAnsi="Arial" w:cs="Arial"/>
          <w:kern w:val="2"/>
          <w:sz w:val="20"/>
          <w:szCs w:val="20"/>
        </w:rPr>
        <w:t>(Carranza et al., 2019)</w:t>
      </w:r>
      <w:r w:rsidRPr="00EE44A1">
        <w:rPr>
          <w:rFonts w:ascii="Arial" w:eastAsia="Aptos" w:hAnsi="Arial" w:cs="Arial"/>
          <w:kern w:val="2"/>
          <w:sz w:val="20"/>
          <w:szCs w:val="20"/>
          <w:lang w:val="en-IN"/>
        </w:rPr>
        <w:t>. Root morphology including factors such as root length, crown–root ratio, root trunk height, root concavities, developmental grooves, and furcation architecture directly influences plaque accumulation, the pathway of inflammatory spread, and the clinician’s ability to provide effective instrumentation</w:t>
      </w:r>
      <w:r w:rsidR="00B13922">
        <w:rPr>
          <w:rFonts w:ascii="Arial" w:eastAsia="Aptos" w:hAnsi="Arial" w:cs="Arial"/>
          <w:kern w:val="2"/>
          <w:sz w:val="20"/>
          <w:szCs w:val="20"/>
          <w:lang w:val="en-IN"/>
        </w:rPr>
        <w:t xml:space="preserve"> </w:t>
      </w:r>
      <w:r w:rsidR="00B13922" w:rsidRPr="00B13922">
        <w:rPr>
          <w:rFonts w:ascii="Arial" w:eastAsia="Aptos" w:hAnsi="Arial" w:cs="Arial"/>
          <w:kern w:val="2"/>
          <w:sz w:val="20"/>
          <w:szCs w:val="20"/>
        </w:rPr>
        <w:t>(</w:t>
      </w:r>
      <w:proofErr w:type="spellStart"/>
      <w:r w:rsidR="00B13922" w:rsidRPr="00B13922">
        <w:rPr>
          <w:rFonts w:ascii="Arial" w:eastAsia="Aptos" w:hAnsi="Arial" w:cs="Arial"/>
          <w:kern w:val="2"/>
          <w:sz w:val="20"/>
          <w:szCs w:val="20"/>
        </w:rPr>
        <w:t>Gher</w:t>
      </w:r>
      <w:proofErr w:type="spellEnd"/>
      <w:r w:rsidR="00B13922" w:rsidRPr="00B13922">
        <w:rPr>
          <w:rFonts w:ascii="Arial" w:eastAsia="Aptos" w:hAnsi="Arial" w:cs="Arial"/>
          <w:kern w:val="2"/>
          <w:sz w:val="20"/>
          <w:szCs w:val="20"/>
        </w:rPr>
        <w:t xml:space="preserve"> &amp; </w:t>
      </w:r>
      <w:proofErr w:type="spellStart"/>
      <w:r w:rsidR="00B13922" w:rsidRPr="00B13922">
        <w:rPr>
          <w:rFonts w:ascii="Arial" w:eastAsia="Aptos" w:hAnsi="Arial" w:cs="Arial"/>
          <w:kern w:val="2"/>
          <w:sz w:val="20"/>
          <w:szCs w:val="20"/>
        </w:rPr>
        <w:t>Vernino</w:t>
      </w:r>
      <w:proofErr w:type="spellEnd"/>
      <w:r w:rsidR="00B13922" w:rsidRPr="00B13922">
        <w:rPr>
          <w:rFonts w:ascii="Arial" w:eastAsia="Aptos" w:hAnsi="Arial" w:cs="Arial"/>
          <w:kern w:val="2"/>
          <w:sz w:val="20"/>
          <w:szCs w:val="20"/>
        </w:rPr>
        <w:t>, 1980)</w:t>
      </w:r>
      <w:r w:rsidRPr="00EE44A1">
        <w:rPr>
          <w:rFonts w:ascii="Arial" w:eastAsia="Aptos" w:hAnsi="Arial" w:cs="Arial"/>
          <w:kern w:val="2"/>
          <w:sz w:val="20"/>
          <w:szCs w:val="20"/>
          <w:lang w:val="en-IN"/>
        </w:rPr>
        <w:t>.</w:t>
      </w:r>
    </w:p>
    <w:p w14:paraId="01A7BBD1"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1ADD039D" w14:textId="3E058A8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These anatomical variations determine not only how easily plaque and calculus colonize the root surface but also how accessible these sites are for periodontal therapy. Consequently, root morphology becomes a guiding factor in both disease susceptibility and treatment complexity</w:t>
      </w:r>
      <w:r w:rsidR="00B13922">
        <w:rPr>
          <w:rFonts w:ascii="Arial" w:eastAsia="Aptos" w:hAnsi="Arial" w:cs="Arial"/>
          <w:kern w:val="2"/>
          <w:sz w:val="20"/>
          <w:szCs w:val="20"/>
          <w:lang w:val="en-IN"/>
        </w:rPr>
        <w:t xml:space="preserve"> </w:t>
      </w:r>
      <w:r w:rsidR="00B13922" w:rsidRPr="00B13922">
        <w:rPr>
          <w:rFonts w:ascii="Arial" w:eastAsia="Aptos" w:hAnsi="Arial" w:cs="Arial"/>
          <w:kern w:val="2"/>
          <w:sz w:val="20"/>
          <w:szCs w:val="20"/>
        </w:rPr>
        <w:t>(</w:t>
      </w:r>
      <w:proofErr w:type="spellStart"/>
      <w:r w:rsidR="00B13922" w:rsidRPr="00B13922">
        <w:rPr>
          <w:rFonts w:ascii="Arial" w:eastAsia="Aptos" w:hAnsi="Arial" w:cs="Arial"/>
          <w:kern w:val="2"/>
          <w:sz w:val="20"/>
          <w:szCs w:val="20"/>
        </w:rPr>
        <w:t>Gher</w:t>
      </w:r>
      <w:proofErr w:type="spellEnd"/>
      <w:r w:rsidR="00B13922" w:rsidRPr="00B13922">
        <w:rPr>
          <w:rFonts w:ascii="Arial" w:eastAsia="Aptos" w:hAnsi="Arial" w:cs="Arial"/>
          <w:kern w:val="2"/>
          <w:sz w:val="20"/>
          <w:szCs w:val="20"/>
        </w:rPr>
        <w:t xml:space="preserve"> &amp; </w:t>
      </w:r>
      <w:proofErr w:type="spellStart"/>
      <w:r w:rsidR="00B13922" w:rsidRPr="00B13922">
        <w:rPr>
          <w:rFonts w:ascii="Arial" w:eastAsia="Aptos" w:hAnsi="Arial" w:cs="Arial"/>
          <w:kern w:val="2"/>
          <w:sz w:val="20"/>
          <w:szCs w:val="20"/>
        </w:rPr>
        <w:t>Vernino</w:t>
      </w:r>
      <w:proofErr w:type="spellEnd"/>
      <w:r w:rsidR="00B13922" w:rsidRPr="00B13922">
        <w:rPr>
          <w:rFonts w:ascii="Arial" w:eastAsia="Aptos" w:hAnsi="Arial" w:cs="Arial"/>
          <w:kern w:val="2"/>
          <w:sz w:val="20"/>
          <w:szCs w:val="20"/>
        </w:rPr>
        <w:t>, 1980</w:t>
      </w:r>
      <w:r w:rsidR="00B13922">
        <w:rPr>
          <w:rFonts w:ascii="Arial" w:eastAsia="Aptos" w:hAnsi="Arial" w:cs="Arial"/>
          <w:kern w:val="2"/>
          <w:sz w:val="20"/>
          <w:szCs w:val="20"/>
        </w:rPr>
        <w:t xml:space="preserve">; </w:t>
      </w:r>
      <w:r w:rsidR="00B13922" w:rsidRPr="00B13922">
        <w:rPr>
          <w:rFonts w:ascii="Arial" w:eastAsia="Aptos" w:hAnsi="Arial" w:cs="Arial"/>
          <w:kern w:val="2"/>
          <w:sz w:val="20"/>
          <w:szCs w:val="20"/>
        </w:rPr>
        <w:t>Goldman &amp; Cohen, 1980)</w:t>
      </w:r>
      <w:r w:rsidRPr="00EE44A1">
        <w:rPr>
          <w:rFonts w:ascii="Arial" w:eastAsia="Aptos" w:hAnsi="Arial" w:cs="Arial"/>
          <w:kern w:val="2"/>
          <w:sz w:val="20"/>
          <w:szCs w:val="20"/>
          <w:lang w:val="en-IN"/>
        </w:rPr>
        <w:t>.</w:t>
      </w:r>
    </w:p>
    <w:p w14:paraId="2BE06AD7"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5B6F800D" w14:textId="7AF9D206"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This influence is especially evident in maxillary molars, which exhibit greater anatomical variability due to multiple roots, diverse root divergence patterns, and differences in the height of the root trunk</w:t>
      </w:r>
      <w:r w:rsidR="00B13922">
        <w:rPr>
          <w:rFonts w:ascii="Arial" w:eastAsia="Aptos" w:hAnsi="Arial" w:cs="Arial"/>
          <w:kern w:val="2"/>
          <w:sz w:val="20"/>
          <w:szCs w:val="20"/>
          <w:lang w:val="en-IN"/>
        </w:rPr>
        <w:t xml:space="preserve"> </w:t>
      </w:r>
      <w:r w:rsidR="00B13922" w:rsidRPr="00B13922">
        <w:rPr>
          <w:rFonts w:ascii="Arial" w:eastAsia="Aptos" w:hAnsi="Arial" w:cs="Arial"/>
          <w:kern w:val="2"/>
          <w:sz w:val="20"/>
          <w:szCs w:val="20"/>
        </w:rPr>
        <w:t>(</w:t>
      </w:r>
      <w:proofErr w:type="spellStart"/>
      <w:r w:rsidR="00B13922" w:rsidRPr="00B13922">
        <w:rPr>
          <w:rFonts w:ascii="Arial" w:eastAsia="Aptos" w:hAnsi="Arial" w:cs="Arial"/>
          <w:kern w:val="2"/>
          <w:sz w:val="20"/>
          <w:szCs w:val="20"/>
        </w:rPr>
        <w:t>Svärdström</w:t>
      </w:r>
      <w:proofErr w:type="spellEnd"/>
      <w:r w:rsidR="00B13922" w:rsidRPr="00B13922">
        <w:rPr>
          <w:rFonts w:ascii="Arial" w:eastAsia="Aptos" w:hAnsi="Arial" w:cs="Arial"/>
          <w:kern w:val="2"/>
          <w:sz w:val="20"/>
          <w:szCs w:val="20"/>
        </w:rPr>
        <w:t xml:space="preserve"> &amp; </w:t>
      </w:r>
      <w:proofErr w:type="spellStart"/>
      <w:r w:rsidR="00B13922" w:rsidRPr="00B13922">
        <w:rPr>
          <w:rFonts w:ascii="Arial" w:eastAsia="Aptos" w:hAnsi="Arial" w:cs="Arial"/>
          <w:kern w:val="2"/>
          <w:sz w:val="20"/>
          <w:szCs w:val="20"/>
        </w:rPr>
        <w:t>Wennström</w:t>
      </w:r>
      <w:proofErr w:type="spellEnd"/>
      <w:r w:rsidR="00B13922" w:rsidRPr="00B13922">
        <w:rPr>
          <w:rFonts w:ascii="Arial" w:eastAsia="Aptos" w:hAnsi="Arial" w:cs="Arial"/>
          <w:kern w:val="2"/>
          <w:sz w:val="20"/>
          <w:szCs w:val="20"/>
        </w:rPr>
        <w:t>, 1988</w:t>
      </w:r>
      <w:r w:rsidR="00B13922">
        <w:rPr>
          <w:rFonts w:ascii="Arial" w:eastAsia="Aptos" w:hAnsi="Arial" w:cs="Arial"/>
          <w:kern w:val="2"/>
          <w:sz w:val="20"/>
          <w:szCs w:val="20"/>
        </w:rPr>
        <w:t xml:space="preserve">; </w:t>
      </w:r>
      <w:r w:rsidR="00B13922" w:rsidRPr="00B13922">
        <w:rPr>
          <w:rFonts w:ascii="Arial" w:eastAsia="Aptos" w:hAnsi="Arial" w:cs="Arial"/>
          <w:kern w:val="2"/>
          <w:sz w:val="20"/>
          <w:szCs w:val="20"/>
        </w:rPr>
        <w:t>Bowers et al., 1989)</w:t>
      </w:r>
      <w:r w:rsidRPr="00EE44A1">
        <w:rPr>
          <w:rFonts w:ascii="Arial" w:eastAsia="Aptos" w:hAnsi="Arial" w:cs="Arial"/>
          <w:kern w:val="2"/>
          <w:sz w:val="20"/>
          <w:szCs w:val="20"/>
          <w:lang w:val="en-IN"/>
        </w:rPr>
        <w:t>. Such complexity makes these teeth more prone to undetected disease progression and more difficult to manage clinically. Furcation involvement in multirooted teeth further complicates diagnosis and treatment, as access limitations and anatomical irregularities make debridement challenging</w:t>
      </w:r>
      <w:r w:rsidR="00B13922">
        <w:rPr>
          <w:rFonts w:ascii="Arial" w:eastAsia="Aptos" w:hAnsi="Arial" w:cs="Arial"/>
          <w:kern w:val="2"/>
          <w:sz w:val="20"/>
          <w:szCs w:val="20"/>
          <w:lang w:val="en-IN"/>
        </w:rPr>
        <w:t xml:space="preserve"> </w:t>
      </w:r>
      <w:r w:rsidR="00B13922" w:rsidRPr="00B13922">
        <w:rPr>
          <w:rFonts w:ascii="Arial" w:eastAsia="Aptos" w:hAnsi="Arial" w:cs="Arial"/>
          <w:kern w:val="2"/>
          <w:sz w:val="20"/>
          <w:szCs w:val="20"/>
        </w:rPr>
        <w:t>(Nabers, 1954</w:t>
      </w:r>
      <w:r w:rsidR="00B13922">
        <w:rPr>
          <w:rFonts w:ascii="Arial" w:eastAsia="Aptos" w:hAnsi="Arial" w:cs="Arial"/>
          <w:kern w:val="2"/>
          <w:sz w:val="20"/>
          <w:szCs w:val="20"/>
        </w:rPr>
        <w:t xml:space="preserve">; </w:t>
      </w:r>
      <w:r w:rsidR="00B13922" w:rsidRPr="00B13922">
        <w:rPr>
          <w:rFonts w:ascii="Arial" w:eastAsia="Aptos" w:hAnsi="Arial" w:cs="Arial"/>
          <w:kern w:val="2"/>
          <w:sz w:val="20"/>
          <w:szCs w:val="20"/>
        </w:rPr>
        <w:t>Bowers et al., 2003)</w:t>
      </w:r>
      <w:r w:rsidRPr="00EE44A1">
        <w:rPr>
          <w:rFonts w:ascii="Arial" w:eastAsia="Aptos" w:hAnsi="Arial" w:cs="Arial"/>
          <w:kern w:val="2"/>
          <w:sz w:val="20"/>
          <w:szCs w:val="20"/>
          <w:lang w:val="en-IN"/>
        </w:rPr>
        <w:t>.</w:t>
      </w:r>
    </w:p>
    <w:p w14:paraId="5F904EEC"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3E308DF3" w14:textId="115B39A3"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Among these features, root-trunk length plays a particularly important role. A short root trunk leads to early exposure of the furcation as periodontal destruction begins, making detection easier but increasing the risk of early involvement</w:t>
      </w:r>
      <w:r w:rsidR="00B13922">
        <w:rPr>
          <w:rFonts w:ascii="Arial" w:eastAsia="Aptos" w:hAnsi="Arial" w:cs="Arial"/>
          <w:kern w:val="2"/>
          <w:sz w:val="20"/>
          <w:szCs w:val="20"/>
          <w:lang w:val="en-IN"/>
        </w:rPr>
        <w:t xml:space="preserve"> </w:t>
      </w:r>
      <w:r w:rsidR="00B13922" w:rsidRPr="00B13922">
        <w:rPr>
          <w:rFonts w:ascii="Arial" w:eastAsia="Aptos" w:hAnsi="Arial" w:cs="Arial"/>
          <w:kern w:val="2"/>
          <w:sz w:val="20"/>
          <w:szCs w:val="20"/>
        </w:rPr>
        <w:t>(Hou &amp; Tsai, 1997)</w:t>
      </w:r>
      <w:r w:rsidRPr="00EE44A1">
        <w:rPr>
          <w:rFonts w:ascii="Arial" w:eastAsia="Aptos" w:hAnsi="Arial" w:cs="Arial"/>
          <w:kern w:val="2"/>
          <w:sz w:val="20"/>
          <w:szCs w:val="20"/>
          <w:lang w:val="en-IN"/>
        </w:rPr>
        <w:t xml:space="preserve">. In contrast, a long root trunk masks early disease by delaying the clinical entry of furcation involvement, </w:t>
      </w:r>
      <w:r w:rsidRPr="00EE44A1">
        <w:rPr>
          <w:rFonts w:ascii="Arial" w:eastAsia="Aptos" w:hAnsi="Arial" w:cs="Arial"/>
          <w:kern w:val="2"/>
          <w:sz w:val="20"/>
          <w:szCs w:val="20"/>
          <w:lang w:val="en-IN"/>
        </w:rPr>
        <w:t>allowing significant subgingival bone loss to occur before detection</w:t>
      </w:r>
      <w:r w:rsidR="00B13922">
        <w:rPr>
          <w:rFonts w:ascii="Arial" w:eastAsia="Aptos" w:hAnsi="Arial" w:cs="Arial"/>
          <w:kern w:val="2"/>
          <w:sz w:val="20"/>
          <w:szCs w:val="20"/>
          <w:lang w:val="en-IN"/>
        </w:rPr>
        <w:t xml:space="preserve"> </w:t>
      </w:r>
      <w:r w:rsidR="00B13922" w:rsidRPr="00B13922">
        <w:rPr>
          <w:rFonts w:ascii="Arial" w:eastAsia="Aptos" w:hAnsi="Arial" w:cs="Arial"/>
          <w:kern w:val="2"/>
          <w:sz w:val="20"/>
          <w:szCs w:val="20"/>
        </w:rPr>
        <w:t>(Ochsenbein &amp; Ross, 1969)</w:t>
      </w:r>
      <w:r w:rsidRPr="00EE44A1">
        <w:rPr>
          <w:rFonts w:ascii="Arial" w:eastAsia="Aptos" w:hAnsi="Arial" w:cs="Arial"/>
          <w:kern w:val="2"/>
          <w:sz w:val="20"/>
          <w:szCs w:val="20"/>
          <w:lang w:val="en-IN"/>
        </w:rPr>
        <w:t>.</w:t>
      </w:r>
    </w:p>
    <w:p w14:paraId="67C2716D"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29864DBF" w14:textId="377DEFF5"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Understanding these anatomical characteristics in an integrated manner enables clinicians to diagnose more accurately, anticipate disease progression, predict prognosis, and plan appropriate periodontal therapy tailored to the individual tooth anatomy</w:t>
      </w:r>
      <w:r w:rsidR="00B13922">
        <w:rPr>
          <w:rFonts w:ascii="Arial" w:eastAsia="Aptos" w:hAnsi="Arial" w:cs="Arial"/>
          <w:kern w:val="2"/>
          <w:sz w:val="20"/>
          <w:szCs w:val="20"/>
          <w:lang w:val="en-IN"/>
        </w:rPr>
        <w:t xml:space="preserve"> </w:t>
      </w:r>
      <w:r w:rsidR="00B13922" w:rsidRPr="00B13922">
        <w:rPr>
          <w:rFonts w:ascii="Arial" w:eastAsia="Aptos" w:hAnsi="Arial" w:cs="Arial"/>
          <w:kern w:val="2"/>
          <w:sz w:val="20"/>
          <w:szCs w:val="20"/>
        </w:rPr>
        <w:t>(</w:t>
      </w:r>
      <w:proofErr w:type="spellStart"/>
      <w:r w:rsidR="00B13922" w:rsidRPr="00B13922">
        <w:rPr>
          <w:rFonts w:ascii="Arial" w:eastAsia="Aptos" w:hAnsi="Arial" w:cs="Arial"/>
          <w:kern w:val="2"/>
          <w:sz w:val="20"/>
          <w:szCs w:val="20"/>
        </w:rPr>
        <w:t>Waerhaug</w:t>
      </w:r>
      <w:proofErr w:type="spellEnd"/>
      <w:r w:rsidR="00B13922" w:rsidRPr="00B13922">
        <w:rPr>
          <w:rFonts w:ascii="Arial" w:eastAsia="Aptos" w:hAnsi="Arial" w:cs="Arial"/>
          <w:kern w:val="2"/>
          <w:sz w:val="20"/>
          <w:szCs w:val="20"/>
        </w:rPr>
        <w:t>, 1978)</w:t>
      </w:r>
      <w:r w:rsidRPr="00EE44A1">
        <w:rPr>
          <w:rFonts w:ascii="Arial" w:eastAsia="Aptos" w:hAnsi="Arial" w:cs="Arial"/>
          <w:kern w:val="2"/>
          <w:sz w:val="20"/>
          <w:szCs w:val="20"/>
          <w:lang w:val="en-IN"/>
        </w:rPr>
        <w:t xml:space="preserve">. Ultimately, root morphology is not an isolated concept but a continuous factor </w:t>
      </w:r>
      <w:proofErr w:type="gramStart"/>
      <w:r w:rsidRPr="00EE44A1">
        <w:rPr>
          <w:rFonts w:ascii="Arial" w:eastAsia="Aptos" w:hAnsi="Arial" w:cs="Arial"/>
          <w:kern w:val="2"/>
          <w:sz w:val="20"/>
          <w:szCs w:val="20"/>
          <w:lang w:val="en-IN"/>
        </w:rPr>
        <w:t xml:space="preserve">influencing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every</w:t>
      </w:r>
      <w:proofErr w:type="gramEnd"/>
      <w:r w:rsidRPr="00EE44A1">
        <w:rPr>
          <w:rFonts w:ascii="Arial" w:eastAsia="Aptos" w:hAnsi="Arial" w:cs="Arial"/>
          <w:kern w:val="2"/>
          <w:sz w:val="20"/>
          <w:szCs w:val="20"/>
          <w:lang w:val="en-IN"/>
        </w:rPr>
        <w:t xml:space="preserve"> stage of periodontal health and management.</w:t>
      </w:r>
    </w:p>
    <w:p w14:paraId="2061687D"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53F23D8E"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This case series presents three clinical scenarios highlighting the influence of different root morphological characteristics — long root trunk length, premolar furcation involvement, and short root trunk length on periodontal disease presentation and treatment outcomes.</w:t>
      </w:r>
    </w:p>
    <w:p w14:paraId="0F3048A1"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4A5F0C5F" w14:textId="3A9FC28E" w:rsidR="00EE44A1" w:rsidRPr="00F44E90" w:rsidRDefault="00F44E90" w:rsidP="00EE44A1">
      <w:pPr>
        <w:spacing w:after="0" w:line="240" w:lineRule="auto"/>
        <w:contextualSpacing/>
        <w:jc w:val="both"/>
        <w:rPr>
          <w:rFonts w:ascii="Arial" w:eastAsia="Aptos" w:hAnsi="Arial" w:cs="Arial"/>
          <w:b/>
          <w:bCs/>
          <w:kern w:val="2"/>
          <w:lang w:val="en-IN"/>
        </w:rPr>
      </w:pPr>
      <w:r w:rsidRPr="00F44E90">
        <w:rPr>
          <w:rFonts w:ascii="Arial" w:eastAsia="Aptos" w:hAnsi="Arial" w:cs="Arial"/>
          <w:b/>
          <w:bCs/>
          <w:kern w:val="2"/>
          <w:lang w:val="en-IN"/>
        </w:rPr>
        <w:t>2. Case Report</w:t>
      </w:r>
    </w:p>
    <w:p w14:paraId="3B6A8815" w14:textId="77777777" w:rsidR="00EE44A1" w:rsidRPr="00EE44A1" w:rsidRDefault="00EE44A1" w:rsidP="00EE44A1">
      <w:pPr>
        <w:spacing w:after="0" w:line="240" w:lineRule="auto"/>
        <w:contextualSpacing/>
        <w:jc w:val="both"/>
        <w:rPr>
          <w:rFonts w:ascii="Arial" w:eastAsia="Aptos" w:hAnsi="Arial" w:cs="Arial"/>
          <w:b/>
          <w:bCs/>
          <w:kern w:val="2"/>
          <w:sz w:val="20"/>
          <w:szCs w:val="20"/>
          <w:lang w:val="en-IN"/>
        </w:rPr>
      </w:pPr>
    </w:p>
    <w:p w14:paraId="00F352DE" w14:textId="77777777" w:rsidR="00EE44A1" w:rsidRPr="00EE44A1" w:rsidRDefault="00EE44A1" w:rsidP="00EE44A1">
      <w:pPr>
        <w:spacing w:after="0" w:line="240" w:lineRule="auto"/>
        <w:contextualSpacing/>
        <w:jc w:val="both"/>
        <w:rPr>
          <w:rFonts w:ascii="Arial" w:eastAsia="Aptos" w:hAnsi="Arial" w:cs="Arial"/>
          <w:kern w:val="2"/>
          <w:sz w:val="20"/>
          <w:szCs w:val="20"/>
        </w:rPr>
      </w:pPr>
      <w:r w:rsidRPr="00EE44A1">
        <w:rPr>
          <w:rFonts w:ascii="Arial" w:eastAsia="Aptos" w:hAnsi="Arial" w:cs="Arial"/>
          <w:b/>
          <w:bCs/>
          <w:kern w:val="2"/>
          <w:sz w:val="20"/>
          <w:szCs w:val="20"/>
          <w:lang w:val="en-IN"/>
        </w:rPr>
        <w:t>Case 1:</w:t>
      </w:r>
      <w:r w:rsidRPr="00EE44A1">
        <w:rPr>
          <w:rFonts w:ascii="Arial" w:eastAsia="Aptos" w:hAnsi="Arial" w:cs="Arial"/>
          <w:kern w:val="2"/>
          <w:sz w:val="20"/>
          <w:szCs w:val="20"/>
          <w:lang w:val="en-IN"/>
        </w:rPr>
        <w:t xml:space="preserve"> </w:t>
      </w:r>
      <w:r w:rsidRPr="00EE44A1">
        <w:rPr>
          <w:rFonts w:ascii="Arial" w:eastAsia="Aptos" w:hAnsi="Arial" w:cs="Arial"/>
          <w:kern w:val="2"/>
          <w:sz w:val="20"/>
          <w:szCs w:val="20"/>
        </w:rPr>
        <w:t>A 59-year-old male reported to the</w:t>
      </w:r>
      <w:r w:rsidRPr="00EE44A1">
        <w:rPr>
          <w:rFonts w:ascii="Arial" w:eastAsia="Aptos" w:hAnsi="Arial" w:cs="Arial"/>
          <w:noProof/>
          <w:kern w:val="2"/>
          <w:sz w:val="20"/>
          <w:szCs w:val="20"/>
          <w:lang w:val="en-IN"/>
        </w:rPr>
        <w:t xml:space="preserve"> Department of Periodontology</w:t>
      </w:r>
      <w:r w:rsidRPr="00EE44A1">
        <w:rPr>
          <w:rFonts w:ascii="Arial" w:eastAsia="Aptos" w:hAnsi="Arial" w:cs="Arial"/>
          <w:kern w:val="2"/>
          <w:sz w:val="20"/>
          <w:szCs w:val="20"/>
        </w:rPr>
        <w:t xml:space="preserve"> with the chief complaint of food lodgment and receding gums.</w:t>
      </w:r>
      <w:r w:rsidRPr="00EE44A1">
        <w:rPr>
          <w:rFonts w:ascii="Arial" w:eastAsia="Aptos" w:hAnsi="Arial" w:cs="Arial"/>
          <w:kern w:val="2"/>
          <w:sz w:val="20"/>
          <w:szCs w:val="20"/>
          <w:lang w:val="en-IN"/>
        </w:rPr>
        <w:t xml:space="preserve"> </w:t>
      </w:r>
      <w:r w:rsidRPr="00EE44A1">
        <w:rPr>
          <w:rFonts w:ascii="Arial" w:eastAsia="Aptos" w:hAnsi="Arial" w:cs="Arial"/>
          <w:kern w:val="2"/>
          <w:sz w:val="20"/>
          <w:szCs w:val="20"/>
        </w:rPr>
        <w:t xml:space="preserve">He was non-smoker and systemically healthy with no history of diabetes, and reported irregular dental check-ups. </w:t>
      </w:r>
    </w:p>
    <w:p w14:paraId="11BEBBD5" w14:textId="77777777" w:rsidR="00EE44A1" w:rsidRPr="00EE44A1" w:rsidRDefault="00EE44A1" w:rsidP="00EE44A1">
      <w:pPr>
        <w:spacing w:after="0" w:line="240" w:lineRule="auto"/>
        <w:contextualSpacing/>
        <w:jc w:val="both"/>
        <w:rPr>
          <w:rFonts w:ascii="Arial" w:eastAsia="Aptos" w:hAnsi="Arial" w:cs="Arial"/>
          <w:kern w:val="2"/>
          <w:sz w:val="20"/>
          <w:szCs w:val="20"/>
        </w:rPr>
      </w:pPr>
    </w:p>
    <w:p w14:paraId="5D38A229"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b/>
          <w:bCs/>
          <w:kern w:val="2"/>
          <w:sz w:val="20"/>
          <w:szCs w:val="20"/>
        </w:rPr>
        <w:t>Clinical examination:</w:t>
      </w:r>
      <w:r w:rsidRPr="00EE44A1">
        <w:rPr>
          <w:rFonts w:ascii="Arial" w:eastAsia="Aptos" w:hAnsi="Arial" w:cs="Arial"/>
          <w:kern w:val="2"/>
          <w:sz w:val="20"/>
          <w:szCs w:val="20"/>
        </w:rPr>
        <w:t xml:space="preserve"> Generalized gingival recession with probing pocket depths ranging from 5-6 mm. With respect to 16 it was 5mm of probing pocket depths and 4mm of gingival recession. </w:t>
      </w:r>
      <w:r w:rsidRPr="00EE44A1">
        <w:rPr>
          <w:rFonts w:ascii="Arial" w:eastAsia="Aptos" w:hAnsi="Arial" w:cs="Arial"/>
          <w:kern w:val="2"/>
          <w:sz w:val="20"/>
          <w:szCs w:val="20"/>
          <w:lang w:val="en-IN"/>
        </w:rPr>
        <w:t xml:space="preserve">No mobility was detected. Moderate plaque accumulation with a Plaque Index score of 1.8 and mild gingival inflammation reflected by a Gingival Index score of 1.2. </w:t>
      </w:r>
    </w:p>
    <w:p w14:paraId="60B1E4AF"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239EF161"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b/>
          <w:bCs/>
          <w:kern w:val="2"/>
          <w:sz w:val="20"/>
          <w:szCs w:val="20"/>
          <w:lang w:val="en-IN"/>
        </w:rPr>
        <w:t>Radiographic Findings:</w:t>
      </w:r>
      <w:r w:rsidRPr="00EE44A1">
        <w:rPr>
          <w:rFonts w:ascii="Arial" w:eastAsia="Aptos" w:hAnsi="Arial" w:cs="Arial"/>
          <w:kern w:val="2"/>
          <w:sz w:val="20"/>
          <w:szCs w:val="20"/>
          <w:lang w:val="en-IN"/>
        </w:rPr>
        <w:t xml:space="preserve"> Orthopantomogram (OPG) revealed a vertical/angular defect on the mesial aspect of tooth 16, along with a long root trunk height. </w:t>
      </w:r>
    </w:p>
    <w:p w14:paraId="239EEDFB"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231C8490"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Clinical and radiographic assessment confirmed that tooth 16 exhibited a long root trunk, characterized by an increased distance between </w:t>
      </w:r>
      <w:r w:rsidRPr="00EE44A1">
        <w:rPr>
          <w:rFonts w:ascii="Arial" w:eastAsia="Aptos" w:hAnsi="Arial" w:cs="Arial"/>
          <w:kern w:val="2"/>
          <w:sz w:val="20"/>
          <w:szCs w:val="20"/>
          <w:lang w:val="en-IN"/>
        </w:rPr>
        <w:lastRenderedPageBreak/>
        <w:t xml:space="preserve">the </w:t>
      </w:r>
      <w:proofErr w:type="spellStart"/>
      <w:r w:rsidRPr="00EE44A1">
        <w:rPr>
          <w:rFonts w:ascii="Arial" w:eastAsia="Aptos" w:hAnsi="Arial" w:cs="Arial"/>
          <w:kern w:val="2"/>
          <w:sz w:val="20"/>
          <w:szCs w:val="20"/>
          <w:lang w:val="en-IN"/>
        </w:rPr>
        <w:t>cemento</w:t>
      </w:r>
      <w:proofErr w:type="spellEnd"/>
      <w:r w:rsidRPr="00EE44A1">
        <w:rPr>
          <w:rFonts w:ascii="Arial" w:eastAsia="Aptos" w:hAnsi="Arial" w:cs="Arial"/>
          <w:kern w:val="2"/>
          <w:sz w:val="20"/>
          <w:szCs w:val="20"/>
          <w:lang w:val="en-IN"/>
        </w:rPr>
        <w:noBreakHyphen/>
        <w:t>enamel junction (CEJ) and the furcation entrance. This anatomical variation contributed to delayed clinical detection of furcation involvement, as the extended root trunk masked the furcation area until significant attachment loss had already occurred.</w:t>
      </w:r>
    </w:p>
    <w:p w14:paraId="18163BA4"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27FAC651"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The patient was diagnosed with generalized chronic periodontitis presenting with furcation involvement and a long root trunk morphology. As part of initial treatment plan scaling and root </w:t>
      </w:r>
      <w:proofErr w:type="spellStart"/>
      <w:r w:rsidRPr="00EE44A1">
        <w:rPr>
          <w:rFonts w:ascii="Arial" w:eastAsia="Aptos" w:hAnsi="Arial" w:cs="Arial"/>
          <w:kern w:val="2"/>
          <w:sz w:val="20"/>
          <w:szCs w:val="20"/>
          <w:lang w:val="en-IN"/>
        </w:rPr>
        <w:t>planing</w:t>
      </w:r>
      <w:proofErr w:type="spellEnd"/>
      <w:r w:rsidRPr="00EE44A1">
        <w:rPr>
          <w:rFonts w:ascii="Arial" w:eastAsia="Aptos" w:hAnsi="Arial" w:cs="Arial"/>
          <w:kern w:val="2"/>
          <w:sz w:val="20"/>
          <w:szCs w:val="20"/>
          <w:lang w:val="en-IN"/>
        </w:rPr>
        <w:t xml:space="preserve"> was performed. Subsequently, under local anaesthesia, a conventional flap surgery was carried out. Following flap reflection, thorough debridement of the root surfaces was </w:t>
      </w:r>
      <w:r w:rsidRPr="00EE44A1">
        <w:rPr>
          <w:rFonts w:ascii="Arial" w:eastAsia="Aptos" w:hAnsi="Arial" w:cs="Arial"/>
          <w:kern w:val="2"/>
          <w:sz w:val="20"/>
          <w:szCs w:val="20"/>
          <w:lang w:val="en-IN"/>
        </w:rPr>
        <w:t xml:space="preserve">achieved. A platelet-rich fibrin (PRF) membrane was carefully placed within the osseous defect, and a collagen membrane was adapted over the buccal aspect of teeth 16 and 17 to enhance regenerative outcomes. The surgical site was then secured with sutures and protected using a periodontal dressing. </w:t>
      </w:r>
    </w:p>
    <w:p w14:paraId="40010B89" w14:textId="77777777" w:rsidR="00F44E90" w:rsidRDefault="00F44E90" w:rsidP="00EE44A1">
      <w:pPr>
        <w:spacing w:after="0" w:line="240" w:lineRule="auto"/>
        <w:contextualSpacing/>
        <w:jc w:val="both"/>
        <w:rPr>
          <w:rFonts w:ascii="Arial" w:eastAsia="Aptos" w:hAnsi="Arial" w:cs="Arial"/>
          <w:kern w:val="2"/>
          <w:sz w:val="20"/>
          <w:szCs w:val="20"/>
          <w:lang w:val="en-IN"/>
        </w:rPr>
      </w:pPr>
    </w:p>
    <w:p w14:paraId="5A96CCB1" w14:textId="1DF7A1A5"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Postoperative healing was uneventful. At follow</w:t>
      </w:r>
      <w:r w:rsidRPr="00EE44A1">
        <w:rPr>
          <w:rFonts w:ascii="Arial" w:eastAsia="Aptos" w:hAnsi="Arial" w:cs="Arial"/>
          <w:kern w:val="2"/>
          <w:sz w:val="20"/>
          <w:szCs w:val="20"/>
          <w:lang w:val="en-IN"/>
        </w:rPr>
        <w:noBreakHyphen/>
        <w:t>up visits, the surgical site demonstrated healthy gingival architecture, reduction in probing pocket depth to 3 mm and gain in clinical attachment. The Plaque Index improved to 0.8 and the Gingival Index to 0.5, reflecting good patient compliance with oral hygiene instructions.</w:t>
      </w:r>
    </w:p>
    <w:p w14:paraId="71DFF319" w14:textId="77777777" w:rsidR="00FE5D5E" w:rsidRDefault="00FE5D5E" w:rsidP="00EE44A1">
      <w:pPr>
        <w:spacing w:after="0" w:line="240" w:lineRule="auto"/>
        <w:contextualSpacing/>
        <w:jc w:val="both"/>
        <w:rPr>
          <w:rFonts w:ascii="Arial" w:eastAsia="Aptos" w:hAnsi="Arial" w:cs="Arial"/>
          <w:kern w:val="2"/>
          <w:sz w:val="20"/>
          <w:szCs w:val="20"/>
          <w:lang w:val="en-IN"/>
        </w:rPr>
        <w:sectPr w:rsidR="00FE5D5E" w:rsidSect="00FE5D5E">
          <w:type w:val="continuous"/>
          <w:pgSz w:w="11909" w:h="16834" w:code="9"/>
          <w:pgMar w:top="1440" w:right="1440" w:bottom="1440" w:left="1440" w:header="720" w:footer="864" w:gutter="0"/>
          <w:pgNumType w:start="1"/>
          <w:cols w:num="2" w:space="288"/>
          <w:titlePg/>
          <w:docGrid w:linePitch="360"/>
        </w:sectPr>
      </w:pPr>
    </w:p>
    <w:p w14:paraId="66379623"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7D87B5DF" w14:textId="14FE0A62" w:rsidR="00EE44A1" w:rsidRPr="00EE44A1" w:rsidRDefault="00D00FD9" w:rsidP="00D00FD9">
      <w:pPr>
        <w:spacing w:after="0" w:line="240" w:lineRule="auto"/>
        <w:contextualSpacing/>
        <w:jc w:val="center"/>
        <w:rPr>
          <w:rFonts w:ascii="Arial" w:eastAsia="Aptos" w:hAnsi="Arial" w:cs="Arial"/>
          <w:kern w:val="2"/>
          <w:sz w:val="20"/>
          <w:szCs w:val="20"/>
          <w:lang w:val="en-IN"/>
        </w:rPr>
      </w:pPr>
      <w:r w:rsidRPr="0066388B">
        <w:rPr>
          <w:rFonts w:ascii="Times New Roman" w:hAnsi="Times New Roman" w:cs="Times New Roman"/>
          <w:noProof/>
          <w:sz w:val="24"/>
          <w:szCs w:val="24"/>
        </w:rPr>
        <w:drawing>
          <wp:inline distT="0" distB="0" distL="0" distR="0" wp14:anchorId="1E9F38F5" wp14:editId="12066568">
            <wp:extent cx="2197735" cy="1623060"/>
            <wp:effectExtent l="19050" t="19050" r="0" b="0"/>
            <wp:docPr id="5" name="Content Placeholder 4">
              <a:extLst xmlns:a="http://schemas.openxmlformats.org/drawingml/2006/main">
                <a:ext uri="{FF2B5EF4-FFF2-40B4-BE49-F238E27FC236}">
                  <a16:creationId xmlns:a16="http://schemas.microsoft.com/office/drawing/2014/main" id="{EE9BEA67-FB01-0CC5-C43F-A5F6B6DC54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E9BEA67-FB01-0CC5-C43F-A5F6B6DC5421}"/>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l="25496" t="49558" r="51740" b="31618"/>
                    <a:stretch>
                      <a:fillRect/>
                    </a:stretch>
                  </pic:blipFill>
                  <pic:spPr bwMode="auto">
                    <a:xfrm>
                      <a:off x="0" y="0"/>
                      <a:ext cx="2197735" cy="162306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Arial" w:eastAsia="Aptos" w:hAnsi="Arial" w:cs="Arial"/>
          <w:kern w:val="2"/>
          <w:sz w:val="20"/>
          <w:szCs w:val="20"/>
          <w:lang w:val="en-IN"/>
        </w:rPr>
        <w:tab/>
      </w:r>
      <w:r w:rsidR="00BD4C69">
        <w:rPr>
          <w:rFonts w:ascii="Arial" w:eastAsia="Aptos" w:hAnsi="Arial" w:cs="Arial"/>
          <w:kern w:val="2"/>
          <w:sz w:val="20"/>
          <w:szCs w:val="20"/>
          <w:lang w:val="en-IN"/>
        </w:rPr>
        <w:tab/>
      </w:r>
      <w:r>
        <w:rPr>
          <w:rFonts w:ascii="Times New Roman" w:hAnsi="Times New Roman" w:cs="Times New Roman"/>
          <w:noProof/>
          <w:sz w:val="24"/>
          <w:szCs w:val="24"/>
        </w:rPr>
        <w:drawing>
          <wp:inline distT="0" distB="0" distL="0" distR="0" wp14:anchorId="464F8538" wp14:editId="73B695D9">
            <wp:extent cx="2262505" cy="1623060"/>
            <wp:effectExtent l="19050" t="19050" r="4445" b="0"/>
            <wp:docPr id="204397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2505" cy="1623060"/>
                    </a:xfrm>
                    <a:prstGeom prst="rect">
                      <a:avLst/>
                    </a:prstGeom>
                    <a:ln w="19050">
                      <a:solidFill>
                        <a:schemeClr val="tx1"/>
                      </a:solidFill>
                    </a:ln>
                  </pic:spPr>
                </pic:pic>
              </a:graphicData>
            </a:graphic>
          </wp:inline>
        </w:drawing>
      </w:r>
    </w:p>
    <w:p w14:paraId="5A592133"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21FD44CF" w14:textId="70E0FB42" w:rsidR="00D00FD9" w:rsidRPr="00EE44A1" w:rsidRDefault="00EE44A1" w:rsidP="00D00FD9">
      <w:pPr>
        <w:spacing w:after="0" w:line="240" w:lineRule="auto"/>
        <w:contextualSpacing/>
        <w:jc w:val="center"/>
        <w:rPr>
          <w:rFonts w:ascii="Arial" w:eastAsia="Aptos" w:hAnsi="Arial" w:cs="Arial"/>
          <w:b/>
          <w:bCs/>
          <w:kern w:val="2"/>
          <w:sz w:val="20"/>
          <w:szCs w:val="20"/>
          <w:lang w:val="sv-SE"/>
        </w:rPr>
      </w:pPr>
      <w:r w:rsidRPr="00EE44A1">
        <w:rPr>
          <w:rFonts w:ascii="Arial" w:eastAsia="Aptos" w:hAnsi="Arial" w:cs="Arial"/>
          <w:b/>
          <w:bCs/>
          <w:kern w:val="2"/>
          <w:sz w:val="20"/>
          <w:szCs w:val="20"/>
          <w:lang w:val="sv-SE"/>
        </w:rPr>
        <w:t>Fig. 1. OPG</w:t>
      </w:r>
      <w:r w:rsidR="00D00FD9" w:rsidRPr="00D00FD9">
        <w:rPr>
          <w:rFonts w:ascii="Arial" w:eastAsia="Aptos" w:hAnsi="Arial" w:cs="Arial"/>
          <w:b/>
          <w:bCs/>
          <w:kern w:val="2"/>
          <w:sz w:val="20"/>
          <w:szCs w:val="20"/>
          <w:lang w:val="sv-SE"/>
        </w:rPr>
        <w:t xml:space="preserve"> </w:t>
      </w:r>
      <w:r w:rsidR="00D00FD9">
        <w:rPr>
          <w:rFonts w:ascii="Arial" w:eastAsia="Aptos" w:hAnsi="Arial" w:cs="Arial"/>
          <w:b/>
          <w:bCs/>
          <w:kern w:val="2"/>
          <w:sz w:val="20"/>
          <w:szCs w:val="20"/>
          <w:lang w:val="sv-SE"/>
        </w:rPr>
        <w:tab/>
      </w:r>
      <w:r w:rsidR="00D00FD9">
        <w:rPr>
          <w:rFonts w:ascii="Arial" w:eastAsia="Aptos" w:hAnsi="Arial" w:cs="Arial"/>
          <w:b/>
          <w:bCs/>
          <w:kern w:val="2"/>
          <w:sz w:val="20"/>
          <w:szCs w:val="20"/>
          <w:lang w:val="sv-SE"/>
        </w:rPr>
        <w:tab/>
      </w:r>
      <w:r w:rsidR="00D00FD9">
        <w:rPr>
          <w:rFonts w:ascii="Arial" w:eastAsia="Aptos" w:hAnsi="Arial" w:cs="Arial"/>
          <w:b/>
          <w:bCs/>
          <w:kern w:val="2"/>
          <w:sz w:val="20"/>
          <w:szCs w:val="20"/>
          <w:lang w:val="sv-SE"/>
        </w:rPr>
        <w:tab/>
      </w:r>
      <w:r w:rsidR="00BD4C69">
        <w:rPr>
          <w:rFonts w:ascii="Arial" w:eastAsia="Aptos" w:hAnsi="Arial" w:cs="Arial"/>
          <w:b/>
          <w:bCs/>
          <w:kern w:val="2"/>
          <w:sz w:val="20"/>
          <w:szCs w:val="20"/>
          <w:lang w:val="sv-SE"/>
        </w:rPr>
        <w:tab/>
      </w:r>
      <w:r w:rsidR="00D00FD9">
        <w:rPr>
          <w:rFonts w:ascii="Arial" w:eastAsia="Aptos" w:hAnsi="Arial" w:cs="Arial"/>
          <w:b/>
          <w:bCs/>
          <w:kern w:val="2"/>
          <w:sz w:val="20"/>
          <w:szCs w:val="20"/>
          <w:lang w:val="sv-SE"/>
        </w:rPr>
        <w:tab/>
      </w:r>
      <w:r w:rsidR="00D00FD9" w:rsidRPr="00EE44A1">
        <w:rPr>
          <w:rFonts w:ascii="Arial" w:eastAsia="Aptos" w:hAnsi="Arial" w:cs="Arial"/>
          <w:b/>
          <w:bCs/>
          <w:kern w:val="2"/>
          <w:sz w:val="20"/>
          <w:szCs w:val="20"/>
          <w:lang w:val="sv-SE"/>
        </w:rPr>
        <w:t>Fig. 2. Intra Oral</w:t>
      </w:r>
    </w:p>
    <w:p w14:paraId="121DB2EA" w14:textId="77777777" w:rsidR="00EE44A1" w:rsidRPr="00EE44A1" w:rsidRDefault="00EE44A1" w:rsidP="00EE44A1">
      <w:pPr>
        <w:spacing w:after="0" w:line="240" w:lineRule="auto"/>
        <w:contextualSpacing/>
        <w:jc w:val="both"/>
        <w:rPr>
          <w:rFonts w:ascii="Arial" w:eastAsia="Aptos" w:hAnsi="Arial" w:cs="Arial"/>
          <w:kern w:val="2"/>
          <w:sz w:val="20"/>
          <w:szCs w:val="20"/>
          <w:lang w:val="sv-SE"/>
        </w:rPr>
      </w:pPr>
    </w:p>
    <w:p w14:paraId="18657B60" w14:textId="1CFF6588" w:rsidR="00EE44A1" w:rsidRPr="00EE44A1" w:rsidRDefault="00D00FD9" w:rsidP="00D00FD9">
      <w:pPr>
        <w:spacing w:after="0" w:line="240" w:lineRule="auto"/>
        <w:contextualSpacing/>
        <w:jc w:val="center"/>
        <w:rPr>
          <w:rFonts w:ascii="Arial" w:eastAsia="Aptos" w:hAnsi="Arial" w:cs="Arial"/>
          <w:kern w:val="2"/>
          <w:sz w:val="20"/>
          <w:szCs w:val="20"/>
          <w:lang w:val="sv-SE"/>
        </w:rPr>
      </w:pPr>
      <w:r w:rsidRPr="0066388B">
        <w:rPr>
          <w:rFonts w:ascii="Times New Roman" w:hAnsi="Times New Roman" w:cs="Times New Roman"/>
          <w:noProof/>
          <w:sz w:val="24"/>
          <w:szCs w:val="24"/>
        </w:rPr>
        <w:drawing>
          <wp:inline distT="0" distB="0" distL="0" distR="0" wp14:anchorId="31924ED7" wp14:editId="161E04E1">
            <wp:extent cx="2252345" cy="1623060"/>
            <wp:effectExtent l="19050" t="19050" r="0" b="0"/>
            <wp:docPr id="1474477124" name="Content Placeholder 4">
              <a:extLst xmlns:a="http://schemas.openxmlformats.org/drawingml/2006/main">
                <a:ext uri="{FF2B5EF4-FFF2-40B4-BE49-F238E27FC236}">
                  <a16:creationId xmlns:a16="http://schemas.microsoft.com/office/drawing/2014/main" id="{4AA7D747-ED95-C3E3-9C28-BBCEBBF9F0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AA7D747-ED95-C3E3-9C28-BBCEBBF9F06E}"/>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39039" t="22820" r="15463" b="38327"/>
                    <a:stretch>
                      <a:fillRect/>
                    </a:stretch>
                  </pic:blipFill>
                  <pic:spPr bwMode="auto">
                    <a:xfrm>
                      <a:off x="0" y="0"/>
                      <a:ext cx="2252345" cy="162306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Arial" w:eastAsia="Aptos" w:hAnsi="Arial" w:cs="Arial"/>
          <w:kern w:val="2"/>
          <w:sz w:val="20"/>
          <w:szCs w:val="20"/>
          <w:lang w:val="sv-SE"/>
        </w:rPr>
        <w:t xml:space="preserve"> </w:t>
      </w:r>
      <w:r>
        <w:rPr>
          <w:rFonts w:ascii="Arial" w:eastAsia="Aptos" w:hAnsi="Arial" w:cs="Arial"/>
          <w:kern w:val="2"/>
          <w:sz w:val="20"/>
          <w:szCs w:val="20"/>
          <w:lang w:val="sv-SE"/>
        </w:rPr>
        <w:tab/>
      </w:r>
      <w:r>
        <w:rPr>
          <w:rFonts w:ascii="Times New Roman" w:hAnsi="Times New Roman" w:cs="Times New Roman"/>
          <w:b/>
          <w:bCs/>
          <w:noProof/>
          <w:sz w:val="24"/>
          <w:szCs w:val="24"/>
        </w:rPr>
        <w:t xml:space="preserve"> </w:t>
      </w:r>
      <w:r w:rsidRPr="00A64AFE">
        <w:rPr>
          <w:rFonts w:ascii="Times New Roman" w:hAnsi="Times New Roman" w:cs="Times New Roman"/>
          <w:b/>
          <w:bCs/>
          <w:noProof/>
          <w:sz w:val="24"/>
          <w:szCs w:val="24"/>
        </w:rPr>
        <w:drawing>
          <wp:inline distT="0" distB="0" distL="0" distR="0" wp14:anchorId="0191FED8" wp14:editId="58EA59E4">
            <wp:extent cx="2301875" cy="1630680"/>
            <wp:effectExtent l="0" t="0" r="0" b="0"/>
            <wp:docPr id="1323014434" name="Content Placeholder 4">
              <a:extLst xmlns:a="http://schemas.openxmlformats.org/drawingml/2006/main">
                <a:ext uri="{FF2B5EF4-FFF2-40B4-BE49-F238E27FC236}">
                  <a16:creationId xmlns:a16="http://schemas.microsoft.com/office/drawing/2014/main" id="{6D9791D6-C21C-CF76-6B45-AB49B245CC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D9791D6-C21C-CF76-6B45-AB49B245CC03}"/>
                        </a:ext>
                      </a:extLst>
                    </pic:cNvPr>
                    <pic:cNvPicPr>
                      <a:picLocks noGrp="1" noChangeAspect="1"/>
                    </pic:cNvPicPr>
                  </pic:nvPicPr>
                  <pic:blipFill>
                    <a:blip r:embed="rId15">
                      <a:extLst>
                        <a:ext uri="{28A0092B-C50C-407E-A947-70E740481C1C}">
                          <a14:useLocalDpi xmlns:a14="http://schemas.microsoft.com/office/drawing/2010/main" val="0"/>
                        </a:ext>
                      </a:extLst>
                    </a:blip>
                    <a:srcRect l="30117" t="26826" r="30742" b="36047"/>
                    <a:stretch>
                      <a:fillRect/>
                    </a:stretch>
                  </pic:blipFill>
                  <pic:spPr>
                    <a:xfrm>
                      <a:off x="0" y="0"/>
                      <a:ext cx="2301875" cy="1630680"/>
                    </a:xfrm>
                    <a:prstGeom prst="rect">
                      <a:avLst/>
                    </a:prstGeom>
                  </pic:spPr>
                </pic:pic>
              </a:graphicData>
            </a:graphic>
          </wp:inline>
        </w:drawing>
      </w:r>
    </w:p>
    <w:p w14:paraId="083AC67A" w14:textId="77777777" w:rsidR="00EE44A1" w:rsidRPr="00EE44A1" w:rsidRDefault="00EE44A1" w:rsidP="00EE44A1">
      <w:pPr>
        <w:spacing w:after="0" w:line="240" w:lineRule="auto"/>
        <w:contextualSpacing/>
        <w:jc w:val="both"/>
        <w:rPr>
          <w:rFonts w:ascii="Arial" w:eastAsia="Aptos" w:hAnsi="Arial" w:cs="Arial"/>
          <w:kern w:val="2"/>
          <w:sz w:val="20"/>
          <w:szCs w:val="20"/>
          <w:lang w:val="sv-SE"/>
        </w:rPr>
      </w:pPr>
    </w:p>
    <w:p w14:paraId="51DCFD6D" w14:textId="1B6FA22B" w:rsidR="00EE44A1" w:rsidRPr="00EE44A1" w:rsidRDefault="00EE44A1" w:rsidP="00EE44A1">
      <w:pPr>
        <w:spacing w:after="0" w:line="240" w:lineRule="auto"/>
        <w:contextualSpacing/>
        <w:jc w:val="center"/>
        <w:rPr>
          <w:rFonts w:ascii="Arial" w:eastAsia="Aptos" w:hAnsi="Arial" w:cs="Arial"/>
          <w:b/>
          <w:bCs/>
          <w:kern w:val="2"/>
          <w:sz w:val="20"/>
          <w:szCs w:val="20"/>
          <w:lang w:val="en-IN"/>
        </w:rPr>
      </w:pPr>
      <w:r w:rsidRPr="00EE44A1">
        <w:rPr>
          <w:rFonts w:ascii="Arial" w:eastAsia="Aptos" w:hAnsi="Arial" w:cs="Arial"/>
          <w:b/>
          <w:bCs/>
          <w:kern w:val="2"/>
          <w:sz w:val="20"/>
          <w:szCs w:val="20"/>
          <w:lang w:val="sv-SE"/>
        </w:rPr>
        <w:t xml:space="preserve">Fig. 3. </w:t>
      </w:r>
      <w:r w:rsidRPr="00EE44A1">
        <w:rPr>
          <w:rFonts w:ascii="Arial" w:eastAsia="Aptos" w:hAnsi="Arial" w:cs="Arial"/>
          <w:b/>
          <w:bCs/>
          <w:kern w:val="2"/>
          <w:sz w:val="20"/>
          <w:szCs w:val="20"/>
          <w:lang w:val="en-IN"/>
        </w:rPr>
        <w:t>Long root trunk seen with 16</w:t>
      </w:r>
      <w:r w:rsidR="00D00FD9">
        <w:rPr>
          <w:rFonts w:ascii="Arial" w:eastAsia="Aptos" w:hAnsi="Arial" w:cs="Arial"/>
          <w:b/>
          <w:bCs/>
          <w:kern w:val="2"/>
          <w:sz w:val="20"/>
          <w:szCs w:val="20"/>
          <w:lang w:val="en-IN"/>
        </w:rPr>
        <w:tab/>
      </w:r>
      <w:r w:rsidR="00D00FD9">
        <w:rPr>
          <w:rFonts w:ascii="Arial" w:eastAsia="Aptos" w:hAnsi="Arial" w:cs="Arial"/>
          <w:b/>
          <w:bCs/>
          <w:kern w:val="2"/>
          <w:sz w:val="20"/>
          <w:szCs w:val="20"/>
          <w:lang w:val="en-IN"/>
        </w:rPr>
        <w:tab/>
      </w:r>
      <w:r w:rsidR="00D00FD9">
        <w:rPr>
          <w:rFonts w:ascii="Arial" w:eastAsia="Aptos" w:hAnsi="Arial" w:cs="Arial"/>
          <w:b/>
          <w:bCs/>
          <w:kern w:val="2"/>
          <w:sz w:val="20"/>
          <w:szCs w:val="20"/>
          <w:lang w:val="en-IN"/>
        </w:rPr>
        <w:tab/>
      </w:r>
      <w:r w:rsidR="00D00FD9" w:rsidRPr="00D00FD9">
        <w:rPr>
          <w:rFonts w:ascii="Arial" w:eastAsia="Aptos" w:hAnsi="Arial" w:cs="Arial"/>
          <w:b/>
          <w:bCs/>
          <w:kern w:val="2"/>
          <w:sz w:val="20"/>
          <w:szCs w:val="20"/>
          <w:lang w:val="en-IN"/>
        </w:rPr>
        <w:t>Fig. 4. PRF placed in defect</w:t>
      </w:r>
    </w:p>
    <w:p w14:paraId="25F326E6"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0321196C" w14:textId="170115E5" w:rsidR="00EE44A1" w:rsidRPr="00EE44A1" w:rsidRDefault="00D00FD9" w:rsidP="00D00FD9">
      <w:pPr>
        <w:spacing w:after="0" w:line="240" w:lineRule="auto"/>
        <w:contextualSpacing/>
        <w:jc w:val="center"/>
        <w:rPr>
          <w:rFonts w:ascii="Arial" w:eastAsia="Aptos" w:hAnsi="Arial" w:cs="Arial"/>
          <w:b/>
          <w:bCs/>
          <w:kern w:val="2"/>
          <w:sz w:val="20"/>
          <w:szCs w:val="20"/>
          <w:lang w:val="en-IN"/>
        </w:rPr>
      </w:pPr>
      <w:r>
        <w:rPr>
          <w:rFonts w:ascii="Times New Roman" w:hAnsi="Times New Roman" w:cs="Times New Roman"/>
          <w:noProof/>
          <w:sz w:val="24"/>
          <w:szCs w:val="24"/>
        </w:rPr>
        <w:drawing>
          <wp:inline distT="0" distB="0" distL="0" distR="0" wp14:anchorId="1FB1B7BA" wp14:editId="2D9D95F9">
            <wp:extent cx="2301343" cy="1628140"/>
            <wp:effectExtent l="19050" t="19050" r="3810" b="0"/>
            <wp:docPr id="259435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15" t="35421" r="19343"/>
                    <a:stretch>
                      <a:fillRect/>
                    </a:stretch>
                  </pic:blipFill>
                  <pic:spPr bwMode="auto">
                    <a:xfrm>
                      <a:off x="0" y="0"/>
                      <a:ext cx="2301343" cy="162814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7D8E967" w14:textId="77777777" w:rsidR="00EE44A1" w:rsidRPr="00EE44A1" w:rsidRDefault="00EE44A1" w:rsidP="00EE44A1">
      <w:pPr>
        <w:spacing w:after="0" w:line="240" w:lineRule="auto"/>
        <w:contextualSpacing/>
        <w:jc w:val="both"/>
        <w:rPr>
          <w:rFonts w:ascii="Arial" w:eastAsia="Aptos" w:hAnsi="Arial" w:cs="Arial"/>
          <w:b/>
          <w:bCs/>
          <w:kern w:val="2"/>
          <w:sz w:val="20"/>
          <w:szCs w:val="20"/>
          <w:lang w:val="en-IN"/>
        </w:rPr>
      </w:pPr>
    </w:p>
    <w:p w14:paraId="477ECB7E" w14:textId="77777777" w:rsidR="00EE44A1" w:rsidRPr="00EE44A1" w:rsidRDefault="00EE44A1" w:rsidP="00EE44A1">
      <w:pPr>
        <w:spacing w:after="0" w:line="240" w:lineRule="auto"/>
        <w:contextualSpacing/>
        <w:jc w:val="center"/>
        <w:rPr>
          <w:rFonts w:ascii="Arial" w:eastAsia="Aptos" w:hAnsi="Arial" w:cs="Arial"/>
          <w:b/>
          <w:bCs/>
          <w:kern w:val="2"/>
          <w:sz w:val="20"/>
          <w:szCs w:val="20"/>
          <w:lang w:val="en-IN"/>
        </w:rPr>
      </w:pPr>
      <w:r w:rsidRPr="00EE44A1">
        <w:rPr>
          <w:rFonts w:ascii="Arial" w:eastAsia="Aptos" w:hAnsi="Arial" w:cs="Arial"/>
          <w:b/>
          <w:bCs/>
          <w:kern w:val="2"/>
          <w:sz w:val="20"/>
          <w:szCs w:val="20"/>
          <w:lang w:val="en-IN"/>
        </w:rPr>
        <w:lastRenderedPageBreak/>
        <w:t>Fig. 5. Collagen membrane placed on buccal surface of 16,17</w:t>
      </w:r>
    </w:p>
    <w:p w14:paraId="5F74E3B9" w14:textId="12A3B635" w:rsidR="00EE44A1" w:rsidRPr="00EE44A1" w:rsidRDefault="00D00FD9" w:rsidP="00EE44A1">
      <w:pPr>
        <w:spacing w:after="0" w:line="240" w:lineRule="auto"/>
        <w:contextualSpacing/>
        <w:jc w:val="center"/>
        <w:rPr>
          <w:rFonts w:ascii="Arial" w:eastAsia="Aptos" w:hAnsi="Arial" w:cs="Arial"/>
          <w:b/>
          <w:bCs/>
          <w:kern w:val="2"/>
          <w:sz w:val="20"/>
          <w:szCs w:val="20"/>
          <w:lang w:val="en-IN"/>
        </w:rPr>
      </w:pPr>
      <w:r>
        <w:rPr>
          <w:noProof/>
        </w:rPr>
        <w:drawing>
          <wp:inline distT="0" distB="0" distL="0" distR="0" wp14:anchorId="011FBDDF" wp14:editId="270F57B0">
            <wp:extent cx="2365829" cy="1714500"/>
            <wp:effectExtent l="19050" t="19050" r="0" b="0"/>
            <wp:docPr id="5678575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3985" t="29250" r="24694" b="38582"/>
                    <a:stretch>
                      <a:fillRect/>
                    </a:stretch>
                  </pic:blipFill>
                  <pic:spPr bwMode="auto">
                    <a:xfrm>
                      <a:off x="0" y="0"/>
                      <a:ext cx="2373665" cy="172017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Arial" w:eastAsia="Aptos" w:hAnsi="Arial" w:cs="Arial"/>
          <w:b/>
          <w:bCs/>
          <w:kern w:val="2"/>
          <w:sz w:val="20"/>
          <w:szCs w:val="20"/>
          <w:lang w:val="en-IN"/>
        </w:rPr>
        <w:t xml:space="preserve"> </w:t>
      </w:r>
      <w:r>
        <w:rPr>
          <w:rFonts w:ascii="Arial" w:eastAsia="Aptos" w:hAnsi="Arial" w:cs="Arial"/>
          <w:b/>
          <w:bCs/>
          <w:kern w:val="2"/>
          <w:sz w:val="20"/>
          <w:szCs w:val="20"/>
          <w:lang w:val="en-IN"/>
        </w:rPr>
        <w:tab/>
      </w:r>
      <w:r>
        <w:rPr>
          <w:rFonts w:ascii="Times New Roman" w:hAnsi="Times New Roman" w:cs="Times New Roman"/>
          <w:noProof/>
          <w:sz w:val="24"/>
          <w:szCs w:val="24"/>
        </w:rPr>
        <w:drawing>
          <wp:inline distT="0" distB="0" distL="0" distR="0" wp14:anchorId="45578719" wp14:editId="254F6841">
            <wp:extent cx="2423902" cy="1701800"/>
            <wp:effectExtent l="19050" t="19050" r="0" b="0"/>
            <wp:docPr id="790956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9869" cy="1720031"/>
                    </a:xfrm>
                    <a:prstGeom prst="rect">
                      <a:avLst/>
                    </a:prstGeom>
                    <a:ln w="19050">
                      <a:solidFill>
                        <a:schemeClr val="tx1"/>
                      </a:solidFill>
                    </a:ln>
                  </pic:spPr>
                </pic:pic>
              </a:graphicData>
            </a:graphic>
          </wp:inline>
        </w:drawing>
      </w:r>
    </w:p>
    <w:p w14:paraId="2251113E" w14:textId="77777777" w:rsidR="00EE44A1" w:rsidRPr="00EE44A1" w:rsidRDefault="00EE44A1" w:rsidP="00EE44A1">
      <w:pPr>
        <w:spacing w:after="0" w:line="240" w:lineRule="auto"/>
        <w:contextualSpacing/>
        <w:jc w:val="center"/>
        <w:rPr>
          <w:rFonts w:ascii="Arial" w:eastAsia="Aptos" w:hAnsi="Arial" w:cs="Arial"/>
          <w:b/>
          <w:bCs/>
          <w:kern w:val="2"/>
          <w:sz w:val="20"/>
          <w:szCs w:val="20"/>
          <w:lang w:val="en-IN"/>
        </w:rPr>
      </w:pPr>
    </w:p>
    <w:p w14:paraId="1B0F339E" w14:textId="725F412E" w:rsidR="00EE44A1" w:rsidRPr="00EE44A1" w:rsidRDefault="00EE44A1" w:rsidP="00EE44A1">
      <w:pPr>
        <w:spacing w:after="0" w:line="240" w:lineRule="auto"/>
        <w:contextualSpacing/>
        <w:jc w:val="center"/>
        <w:rPr>
          <w:rFonts w:ascii="Arial" w:eastAsia="Aptos" w:hAnsi="Arial" w:cs="Arial"/>
          <w:b/>
          <w:bCs/>
          <w:kern w:val="2"/>
          <w:sz w:val="20"/>
          <w:szCs w:val="20"/>
          <w:lang w:val="en-IN"/>
        </w:rPr>
      </w:pPr>
      <w:r w:rsidRPr="00EE44A1">
        <w:rPr>
          <w:rFonts w:ascii="Arial" w:eastAsia="Aptos" w:hAnsi="Arial" w:cs="Arial"/>
          <w:b/>
          <w:bCs/>
          <w:kern w:val="2"/>
          <w:sz w:val="20"/>
          <w:szCs w:val="20"/>
          <w:lang w:val="en-IN"/>
        </w:rPr>
        <w:t>Fig. 6. Sutures placed</w:t>
      </w:r>
      <w:r w:rsidR="00D00FD9">
        <w:rPr>
          <w:rFonts w:ascii="Arial" w:eastAsia="Aptos" w:hAnsi="Arial" w:cs="Arial"/>
          <w:b/>
          <w:bCs/>
          <w:kern w:val="2"/>
          <w:sz w:val="20"/>
          <w:szCs w:val="20"/>
          <w:lang w:val="en-IN"/>
        </w:rPr>
        <w:tab/>
      </w:r>
      <w:r w:rsidR="00D00FD9">
        <w:rPr>
          <w:rFonts w:ascii="Arial" w:eastAsia="Aptos" w:hAnsi="Arial" w:cs="Arial"/>
          <w:b/>
          <w:bCs/>
          <w:kern w:val="2"/>
          <w:sz w:val="20"/>
          <w:szCs w:val="20"/>
          <w:lang w:val="en-IN"/>
        </w:rPr>
        <w:tab/>
      </w:r>
      <w:r w:rsidR="00D00FD9">
        <w:rPr>
          <w:rFonts w:ascii="Arial" w:eastAsia="Aptos" w:hAnsi="Arial" w:cs="Arial"/>
          <w:b/>
          <w:bCs/>
          <w:kern w:val="2"/>
          <w:sz w:val="20"/>
          <w:szCs w:val="20"/>
          <w:lang w:val="en-IN"/>
        </w:rPr>
        <w:tab/>
      </w:r>
      <w:r w:rsidR="00FE5D5E">
        <w:rPr>
          <w:rFonts w:ascii="Arial" w:eastAsia="Aptos" w:hAnsi="Arial" w:cs="Arial"/>
          <w:b/>
          <w:bCs/>
          <w:kern w:val="2"/>
          <w:sz w:val="20"/>
          <w:szCs w:val="20"/>
          <w:lang w:val="en-IN"/>
        </w:rPr>
        <w:tab/>
      </w:r>
      <w:r w:rsidR="00D00FD9" w:rsidRPr="00D00FD9">
        <w:rPr>
          <w:rFonts w:ascii="Arial" w:eastAsia="Aptos" w:hAnsi="Arial" w:cs="Arial"/>
          <w:b/>
          <w:bCs/>
          <w:kern w:val="2"/>
          <w:sz w:val="20"/>
          <w:szCs w:val="20"/>
          <w:lang w:val="en-IN"/>
        </w:rPr>
        <w:t>Fig. 7. 4 months post operative</w:t>
      </w:r>
    </w:p>
    <w:p w14:paraId="313C01CD"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756B56CD" w14:textId="77777777" w:rsidR="00FE5D5E" w:rsidRDefault="00FE5D5E" w:rsidP="00EE44A1">
      <w:pPr>
        <w:spacing w:after="0" w:line="240" w:lineRule="auto"/>
        <w:contextualSpacing/>
        <w:jc w:val="both"/>
        <w:rPr>
          <w:rFonts w:ascii="Arial" w:eastAsia="Aptos" w:hAnsi="Arial" w:cs="Arial"/>
          <w:kern w:val="2"/>
          <w:sz w:val="20"/>
          <w:szCs w:val="20"/>
          <w:lang w:val="en-IN"/>
        </w:rPr>
        <w:sectPr w:rsidR="00FE5D5E" w:rsidSect="00FE5D5E">
          <w:type w:val="continuous"/>
          <w:pgSz w:w="11909" w:h="16834" w:code="9"/>
          <w:pgMar w:top="1440" w:right="1440" w:bottom="1440" w:left="1440" w:header="720" w:footer="864" w:gutter="0"/>
          <w:pgNumType w:start="1"/>
          <w:cols w:space="720"/>
          <w:titlePg/>
          <w:docGrid w:linePitch="360"/>
        </w:sectPr>
      </w:pPr>
    </w:p>
    <w:p w14:paraId="44908D02" w14:textId="4098BC1D"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Intraoperative findings confirmed furcation involvement that was not easily detectable during initial probing. Although the long root trunk delayed furcation involvement, once exposed, the furcation region posed significant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challenges for instrumentation and long-term plaque control. Thus, the patient was placed</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 on a strict supportive periodontal therapy regimen.</w:t>
      </w:r>
    </w:p>
    <w:p w14:paraId="787E628F"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23980A2D" w14:textId="00C41137" w:rsidR="00EE44A1" w:rsidRPr="00EE44A1" w:rsidRDefault="00EE44A1" w:rsidP="00EE44A1">
      <w:pPr>
        <w:spacing w:after="0" w:line="240" w:lineRule="auto"/>
        <w:contextualSpacing/>
        <w:jc w:val="both"/>
        <w:rPr>
          <w:rFonts w:ascii="Arial" w:eastAsia="Aptos" w:hAnsi="Arial" w:cs="Arial"/>
          <w:kern w:val="2"/>
          <w:sz w:val="20"/>
          <w:szCs w:val="20"/>
        </w:rPr>
      </w:pPr>
      <w:r w:rsidRPr="00EE44A1">
        <w:rPr>
          <w:rFonts w:ascii="Arial" w:eastAsia="Aptos" w:hAnsi="Arial" w:cs="Arial"/>
          <w:b/>
          <w:bCs/>
          <w:noProof/>
          <w:kern w:val="2"/>
          <w:sz w:val="20"/>
          <w:szCs w:val="20"/>
          <w:lang w:val="en-IN"/>
        </w:rPr>
        <w:t>Case 2:</w:t>
      </w:r>
      <w:r w:rsidRPr="00EE44A1">
        <w:rPr>
          <w:rFonts w:ascii="Arial" w:eastAsia="Aptos" w:hAnsi="Arial" w:cs="Arial"/>
          <w:noProof/>
          <w:kern w:val="2"/>
          <w:sz w:val="20"/>
          <w:szCs w:val="20"/>
          <w:lang w:val="en-IN"/>
        </w:rPr>
        <w:t xml:space="preserve"> </w:t>
      </w:r>
      <w:r w:rsidRPr="00EE44A1">
        <w:rPr>
          <w:rFonts w:ascii="Arial" w:eastAsia="Aptos" w:hAnsi="Arial" w:cs="Arial"/>
          <w:kern w:val="2"/>
          <w:sz w:val="20"/>
          <w:szCs w:val="20"/>
        </w:rPr>
        <w:t xml:space="preserve">A 46-year-old male reported </w:t>
      </w:r>
      <w:r w:rsidR="00FE5D5E">
        <w:rPr>
          <w:rFonts w:ascii="Arial" w:eastAsia="Aptos" w:hAnsi="Arial" w:cs="Arial"/>
          <w:kern w:val="2"/>
          <w:sz w:val="20"/>
          <w:szCs w:val="20"/>
        </w:rPr>
        <w:t xml:space="preserve">                         </w:t>
      </w:r>
      <w:r w:rsidRPr="00EE44A1">
        <w:rPr>
          <w:rFonts w:ascii="Arial" w:eastAsia="Aptos" w:hAnsi="Arial" w:cs="Arial"/>
          <w:kern w:val="2"/>
          <w:sz w:val="20"/>
          <w:szCs w:val="20"/>
        </w:rPr>
        <w:t xml:space="preserve">to the </w:t>
      </w:r>
      <w:r w:rsidRPr="00EE44A1">
        <w:rPr>
          <w:rFonts w:ascii="Arial" w:eastAsia="Aptos" w:hAnsi="Arial" w:cs="Arial"/>
          <w:noProof/>
          <w:kern w:val="2"/>
          <w:sz w:val="20"/>
          <w:szCs w:val="20"/>
          <w:lang w:val="en-IN"/>
        </w:rPr>
        <w:t xml:space="preserve">Department of Periodontology </w:t>
      </w:r>
      <w:r w:rsidR="00FE5D5E">
        <w:rPr>
          <w:rFonts w:ascii="Arial" w:eastAsia="Aptos" w:hAnsi="Arial" w:cs="Arial"/>
          <w:noProof/>
          <w:kern w:val="2"/>
          <w:sz w:val="20"/>
          <w:szCs w:val="20"/>
          <w:lang w:val="en-IN"/>
        </w:rPr>
        <w:t xml:space="preserve">                      </w:t>
      </w:r>
      <w:r w:rsidRPr="00EE44A1">
        <w:rPr>
          <w:rFonts w:ascii="Arial" w:eastAsia="Aptos" w:hAnsi="Arial" w:cs="Arial"/>
          <w:kern w:val="2"/>
          <w:sz w:val="20"/>
          <w:szCs w:val="20"/>
        </w:rPr>
        <w:t xml:space="preserve">with the chief complaint of bleeding gums </w:t>
      </w:r>
      <w:r w:rsidR="00FE5D5E">
        <w:rPr>
          <w:rFonts w:ascii="Arial" w:eastAsia="Aptos" w:hAnsi="Arial" w:cs="Arial"/>
          <w:kern w:val="2"/>
          <w:sz w:val="20"/>
          <w:szCs w:val="20"/>
        </w:rPr>
        <w:t xml:space="preserve">                 </w:t>
      </w:r>
      <w:r w:rsidRPr="00EE44A1">
        <w:rPr>
          <w:rFonts w:ascii="Arial" w:eastAsia="Aptos" w:hAnsi="Arial" w:cs="Arial"/>
          <w:kern w:val="2"/>
          <w:sz w:val="20"/>
          <w:szCs w:val="20"/>
        </w:rPr>
        <w:t>and overgrowth.</w:t>
      </w:r>
      <w:r w:rsidRPr="00EE44A1">
        <w:rPr>
          <w:rFonts w:ascii="Arial" w:eastAsia="Aptos" w:hAnsi="Arial" w:cs="Arial"/>
          <w:kern w:val="2"/>
          <w:sz w:val="20"/>
          <w:szCs w:val="20"/>
          <w:lang w:val="en-IN"/>
        </w:rPr>
        <w:t xml:space="preserve"> </w:t>
      </w:r>
      <w:r w:rsidRPr="00EE44A1">
        <w:rPr>
          <w:rFonts w:ascii="Arial" w:eastAsia="Aptos" w:hAnsi="Arial" w:cs="Arial"/>
          <w:kern w:val="2"/>
          <w:sz w:val="20"/>
          <w:szCs w:val="20"/>
        </w:rPr>
        <w:t xml:space="preserve">He was non-smoker </w:t>
      </w:r>
      <w:r w:rsidR="00FE5D5E">
        <w:rPr>
          <w:rFonts w:ascii="Arial" w:eastAsia="Aptos" w:hAnsi="Arial" w:cs="Arial"/>
          <w:kern w:val="2"/>
          <w:sz w:val="20"/>
          <w:szCs w:val="20"/>
        </w:rPr>
        <w:t xml:space="preserve">                </w:t>
      </w:r>
      <w:r w:rsidRPr="00EE44A1">
        <w:rPr>
          <w:rFonts w:ascii="Arial" w:eastAsia="Aptos" w:hAnsi="Arial" w:cs="Arial"/>
          <w:kern w:val="2"/>
          <w:sz w:val="20"/>
          <w:szCs w:val="20"/>
        </w:rPr>
        <w:t>and systemically healthy with no history of diabetes, and reported irregular dental check-ups.</w:t>
      </w:r>
    </w:p>
    <w:p w14:paraId="1ACB2E80" w14:textId="77777777" w:rsidR="00EE44A1" w:rsidRPr="00EE44A1" w:rsidRDefault="00EE44A1" w:rsidP="00EE44A1">
      <w:pPr>
        <w:spacing w:after="0" w:line="240" w:lineRule="auto"/>
        <w:contextualSpacing/>
        <w:jc w:val="both"/>
        <w:rPr>
          <w:rFonts w:ascii="Arial" w:eastAsia="Aptos" w:hAnsi="Arial" w:cs="Arial"/>
          <w:kern w:val="2"/>
          <w:sz w:val="20"/>
          <w:szCs w:val="20"/>
        </w:rPr>
      </w:pPr>
    </w:p>
    <w:p w14:paraId="7FC3A948" w14:textId="2D6C260B"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b/>
          <w:bCs/>
          <w:kern w:val="2"/>
          <w:sz w:val="20"/>
          <w:szCs w:val="20"/>
        </w:rPr>
        <w:t>Clinical examination:</w:t>
      </w:r>
      <w:r w:rsidRPr="00EE44A1">
        <w:rPr>
          <w:rFonts w:ascii="Arial" w:eastAsia="Aptos" w:hAnsi="Arial" w:cs="Arial"/>
          <w:kern w:val="2"/>
          <w:sz w:val="20"/>
          <w:szCs w:val="20"/>
        </w:rPr>
        <w:t xml:space="preserve"> Generalized gingival inflammation with probing pocket depths</w:t>
      </w:r>
      <w:r w:rsidR="00FE5D5E">
        <w:rPr>
          <w:rFonts w:ascii="Arial" w:eastAsia="Aptos" w:hAnsi="Arial" w:cs="Arial"/>
          <w:kern w:val="2"/>
          <w:sz w:val="20"/>
          <w:szCs w:val="20"/>
        </w:rPr>
        <w:t xml:space="preserve">                 </w:t>
      </w:r>
      <w:r w:rsidRPr="00EE44A1">
        <w:rPr>
          <w:rFonts w:ascii="Arial" w:eastAsia="Aptos" w:hAnsi="Arial" w:cs="Arial"/>
          <w:kern w:val="2"/>
          <w:sz w:val="20"/>
          <w:szCs w:val="20"/>
        </w:rPr>
        <w:t xml:space="preserve"> of 5-6 mm</w:t>
      </w:r>
      <w:r w:rsidRPr="00EE44A1">
        <w:rPr>
          <w:rFonts w:ascii="Arial" w:eastAsia="Aptos" w:hAnsi="Arial" w:cs="Arial"/>
          <w:kern w:val="2"/>
          <w:sz w:val="20"/>
          <w:szCs w:val="20"/>
          <w:lang w:val="en-IN"/>
        </w:rPr>
        <w:t xml:space="preserve"> with respect to 24, moderate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plaque accumulation with a Plaque Index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score of 1.6 and Gingival Index score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of 2.1. No mobility was detected </w:t>
      </w:r>
      <w:r w:rsidRPr="00EE44A1">
        <w:rPr>
          <w:rFonts w:ascii="Arial" w:eastAsia="Aptos" w:hAnsi="Arial" w:cs="Arial"/>
          <w:kern w:val="2"/>
          <w:sz w:val="20"/>
          <w:szCs w:val="20"/>
        </w:rPr>
        <w:t xml:space="preserve">with </w:t>
      </w:r>
      <w:r w:rsidR="00FE5D5E">
        <w:rPr>
          <w:rFonts w:ascii="Arial" w:eastAsia="Aptos" w:hAnsi="Arial" w:cs="Arial"/>
          <w:kern w:val="2"/>
          <w:sz w:val="20"/>
          <w:szCs w:val="20"/>
        </w:rPr>
        <w:t xml:space="preserve">                    </w:t>
      </w:r>
      <w:r w:rsidRPr="00EE44A1">
        <w:rPr>
          <w:rFonts w:ascii="Arial" w:eastAsia="Aptos" w:hAnsi="Arial" w:cs="Arial"/>
          <w:kern w:val="2"/>
          <w:sz w:val="20"/>
          <w:szCs w:val="20"/>
        </w:rPr>
        <w:t xml:space="preserve">respect to tooth 24. On radiographic </w:t>
      </w:r>
      <w:r w:rsidRPr="00EE44A1">
        <w:rPr>
          <w:rFonts w:ascii="Arial" w:eastAsia="Aptos" w:hAnsi="Arial" w:cs="Arial"/>
          <w:kern w:val="2"/>
          <w:sz w:val="20"/>
          <w:szCs w:val="20"/>
        </w:rPr>
        <w:t>examination,</w:t>
      </w:r>
      <w:r w:rsidRPr="00EE44A1">
        <w:rPr>
          <w:rFonts w:ascii="Arial" w:eastAsia="Aptos" w:hAnsi="Arial" w:cs="Arial"/>
          <w:kern w:val="2"/>
          <w:sz w:val="20"/>
          <w:szCs w:val="20"/>
          <w:lang w:val="en-IN"/>
        </w:rPr>
        <w:t xml:space="preserve"> OPG revealed moderate </w:t>
      </w:r>
      <w:proofErr w:type="gramStart"/>
      <w:r w:rsidRPr="00EE44A1">
        <w:rPr>
          <w:rFonts w:ascii="Arial" w:eastAsia="Aptos" w:hAnsi="Arial" w:cs="Arial"/>
          <w:kern w:val="2"/>
          <w:sz w:val="20"/>
          <w:szCs w:val="20"/>
          <w:lang w:val="en-IN"/>
        </w:rPr>
        <w:t xml:space="preserve">bone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loss</w:t>
      </w:r>
      <w:proofErr w:type="gramEnd"/>
      <w:r w:rsidRPr="00EE44A1">
        <w:rPr>
          <w:rFonts w:ascii="Arial" w:eastAsia="Aptos" w:hAnsi="Arial" w:cs="Arial"/>
          <w:kern w:val="2"/>
          <w:sz w:val="20"/>
          <w:szCs w:val="20"/>
          <w:lang w:val="en-IN"/>
        </w:rPr>
        <w:t xml:space="preserve">. </w:t>
      </w:r>
    </w:p>
    <w:p w14:paraId="1042259F"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54A9FEFB" w14:textId="61959510"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As part of initial treatment plan scaling and root </w:t>
      </w:r>
      <w:proofErr w:type="spellStart"/>
      <w:r w:rsidRPr="00EE44A1">
        <w:rPr>
          <w:rFonts w:ascii="Arial" w:eastAsia="Aptos" w:hAnsi="Arial" w:cs="Arial"/>
          <w:kern w:val="2"/>
          <w:sz w:val="20"/>
          <w:szCs w:val="20"/>
          <w:lang w:val="en-IN"/>
        </w:rPr>
        <w:t>planing</w:t>
      </w:r>
      <w:proofErr w:type="spellEnd"/>
      <w:r w:rsidRPr="00EE44A1">
        <w:rPr>
          <w:rFonts w:ascii="Arial" w:eastAsia="Aptos" w:hAnsi="Arial" w:cs="Arial"/>
          <w:kern w:val="2"/>
          <w:sz w:val="20"/>
          <w:szCs w:val="20"/>
          <w:lang w:val="en-IN"/>
        </w:rPr>
        <w:t xml:space="preserve"> was performed. Subsequently, under local anaesthesia, a conventional flap surgery was carried out. Following flap reflection, thorough debridement of the root surfaces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was achieved. Intraoperative findings revealed Grade II furcation involvement with respect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to tooth 24. A platelet-rich fibrin (</w:t>
      </w:r>
      <w:proofErr w:type="gramStart"/>
      <w:r w:rsidRPr="00EE44A1">
        <w:rPr>
          <w:rFonts w:ascii="Arial" w:eastAsia="Aptos" w:hAnsi="Arial" w:cs="Arial"/>
          <w:kern w:val="2"/>
          <w:sz w:val="20"/>
          <w:szCs w:val="20"/>
          <w:lang w:val="en-IN"/>
        </w:rPr>
        <w:t xml:space="preserve">PRF)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membrane</w:t>
      </w:r>
      <w:proofErr w:type="gramEnd"/>
      <w:r w:rsidRPr="00EE44A1">
        <w:rPr>
          <w:rFonts w:ascii="Arial" w:eastAsia="Aptos" w:hAnsi="Arial" w:cs="Arial"/>
          <w:kern w:val="2"/>
          <w:sz w:val="20"/>
          <w:szCs w:val="20"/>
          <w:lang w:val="en-IN"/>
        </w:rPr>
        <w:t xml:space="preserve"> was then placed so as to enhance periodontal regeneration. The site was secured with sutures and covered with a periodontal dressing.</w:t>
      </w:r>
    </w:p>
    <w:p w14:paraId="18A7C232"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76D1B7ED" w14:textId="0DFB4481"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Postoperative healing was uneventful. At follow</w:t>
      </w:r>
      <w:r w:rsidRPr="00EE44A1">
        <w:rPr>
          <w:rFonts w:ascii="Arial" w:eastAsia="Aptos" w:hAnsi="Arial" w:cs="Arial"/>
          <w:kern w:val="2"/>
          <w:sz w:val="20"/>
          <w:szCs w:val="20"/>
          <w:lang w:val="en-IN"/>
        </w:rPr>
        <w:noBreakHyphen/>
        <w:t xml:space="preserve">up visits, the surgical site demonstrated healthy gingival architecture, reduction </w:t>
      </w:r>
      <w:proofErr w:type="gramStart"/>
      <w:r w:rsidRPr="00EE44A1">
        <w:rPr>
          <w:rFonts w:ascii="Arial" w:eastAsia="Aptos" w:hAnsi="Arial" w:cs="Arial"/>
          <w:kern w:val="2"/>
          <w:sz w:val="20"/>
          <w:szCs w:val="20"/>
          <w:lang w:val="en-IN"/>
        </w:rPr>
        <w:t xml:space="preserve">in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probing</w:t>
      </w:r>
      <w:proofErr w:type="gramEnd"/>
      <w:r w:rsidRPr="00EE44A1">
        <w:rPr>
          <w:rFonts w:ascii="Arial" w:eastAsia="Aptos" w:hAnsi="Arial" w:cs="Arial"/>
          <w:kern w:val="2"/>
          <w:sz w:val="20"/>
          <w:szCs w:val="20"/>
          <w:lang w:val="en-IN"/>
        </w:rPr>
        <w:t xml:space="preserve"> pocket depth to 3 mm, and gain in clinical attachment. The Plaque Index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improved to 0.7 and the Gingival Index reduced to 0.6, reflecting effective plaque control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and patient compliance with oral hygiene instructions. </w:t>
      </w:r>
    </w:p>
    <w:p w14:paraId="31EDFDA5" w14:textId="77777777" w:rsidR="00FE5D5E" w:rsidRDefault="00FE5D5E" w:rsidP="00EE44A1">
      <w:pPr>
        <w:spacing w:after="0" w:line="240" w:lineRule="auto"/>
        <w:contextualSpacing/>
        <w:jc w:val="both"/>
        <w:rPr>
          <w:rFonts w:ascii="Arial" w:eastAsia="Aptos" w:hAnsi="Arial" w:cs="Arial"/>
          <w:noProof/>
          <w:kern w:val="2"/>
          <w:sz w:val="20"/>
          <w:szCs w:val="20"/>
          <w:lang w:val="en-IN"/>
        </w:rPr>
        <w:sectPr w:rsidR="00FE5D5E" w:rsidSect="00FE5D5E">
          <w:type w:val="continuous"/>
          <w:pgSz w:w="11909" w:h="16834" w:code="9"/>
          <w:pgMar w:top="1440" w:right="1440" w:bottom="1440" w:left="1440" w:header="720" w:footer="864" w:gutter="0"/>
          <w:pgNumType w:start="1"/>
          <w:cols w:num="2" w:space="288"/>
          <w:titlePg/>
          <w:docGrid w:linePitch="360"/>
        </w:sectPr>
      </w:pPr>
    </w:p>
    <w:p w14:paraId="54A43ADB"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3B72D6CD" w14:textId="3BF6B0C1" w:rsidR="00EE44A1" w:rsidRPr="00EE44A1" w:rsidRDefault="004205C3" w:rsidP="004205C3">
      <w:pPr>
        <w:spacing w:after="0" w:line="240" w:lineRule="auto"/>
        <w:contextualSpacing/>
        <w:jc w:val="center"/>
        <w:rPr>
          <w:rFonts w:ascii="Arial" w:eastAsia="Aptos" w:hAnsi="Arial" w:cs="Arial"/>
          <w:noProof/>
          <w:kern w:val="2"/>
          <w:sz w:val="20"/>
          <w:szCs w:val="20"/>
          <w:lang w:val="en-IN"/>
        </w:rPr>
      </w:pPr>
      <w:r w:rsidRPr="00A82993">
        <w:rPr>
          <w:noProof/>
        </w:rPr>
        <w:drawing>
          <wp:inline distT="0" distB="0" distL="0" distR="0" wp14:anchorId="2909AF2C" wp14:editId="4083E435">
            <wp:extent cx="2653553" cy="1866900"/>
            <wp:effectExtent l="19050" t="19050" r="0" b="0"/>
            <wp:docPr id="14" name="Picture 13">
              <a:extLst xmlns:a="http://schemas.openxmlformats.org/drawingml/2006/main">
                <a:ext uri="{FF2B5EF4-FFF2-40B4-BE49-F238E27FC236}">
                  <a16:creationId xmlns:a16="http://schemas.microsoft.com/office/drawing/2014/main" id="{EB895F43-5C83-7DE7-F48C-3E7B338C3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B895F43-5C83-7DE7-F48C-3E7B338C3D9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0092" cy="1871501"/>
                    </a:xfrm>
                    <a:prstGeom prst="rect">
                      <a:avLst/>
                    </a:prstGeom>
                    <a:ln w="19050">
                      <a:solidFill>
                        <a:schemeClr val="tx1"/>
                      </a:solidFill>
                    </a:ln>
                  </pic:spPr>
                </pic:pic>
              </a:graphicData>
            </a:graphic>
          </wp:inline>
        </w:drawing>
      </w:r>
      <w:r w:rsidR="00D00FD9">
        <w:rPr>
          <w:rFonts w:ascii="Arial" w:eastAsia="Aptos" w:hAnsi="Arial" w:cs="Arial"/>
          <w:noProof/>
          <w:kern w:val="2"/>
          <w:sz w:val="20"/>
          <w:szCs w:val="20"/>
          <w:lang w:val="en-IN"/>
        </w:rPr>
        <w:t xml:space="preserve"> </w:t>
      </w:r>
      <w:r w:rsidR="00FE5D5E">
        <w:rPr>
          <w:rFonts w:ascii="Arial" w:eastAsia="Aptos" w:hAnsi="Arial" w:cs="Arial"/>
          <w:noProof/>
          <w:kern w:val="2"/>
          <w:sz w:val="20"/>
          <w:szCs w:val="20"/>
          <w:lang w:val="en-IN"/>
        </w:rPr>
        <w:tab/>
      </w:r>
      <w:r w:rsidR="00D00FD9" w:rsidRPr="0015620D">
        <w:rPr>
          <w:rFonts w:ascii="Times New Roman" w:hAnsi="Times New Roman" w:cs="Times New Roman"/>
          <w:b/>
          <w:bCs/>
          <w:noProof/>
          <w:sz w:val="24"/>
          <w:szCs w:val="24"/>
        </w:rPr>
        <w:drawing>
          <wp:inline distT="0" distB="0" distL="0" distR="0" wp14:anchorId="1C5D19CC" wp14:editId="4E2D53DA">
            <wp:extent cx="2623230" cy="1873250"/>
            <wp:effectExtent l="19050" t="19050" r="5715" b="0"/>
            <wp:docPr id="13" name="Picture 12">
              <a:extLst xmlns:a="http://schemas.openxmlformats.org/drawingml/2006/main">
                <a:ext uri="{FF2B5EF4-FFF2-40B4-BE49-F238E27FC236}">
                  <a16:creationId xmlns:a16="http://schemas.microsoft.com/office/drawing/2014/main" id="{5FBCD9B9-38CF-8CC1-9232-A2EC6C0F0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FBCD9B9-38CF-8CC1-9232-A2EC6C0F016B}"/>
                        </a:ext>
                      </a:extLst>
                    </pic:cNvPr>
                    <pic:cNvPicPr>
                      <a:picLocks noChangeAspect="1"/>
                    </pic:cNvPicPr>
                  </pic:nvPicPr>
                  <pic:blipFill>
                    <a:blip r:embed="rId20">
                      <a:extLst>
                        <a:ext uri="{28A0092B-C50C-407E-A947-70E740481C1C}">
                          <a14:useLocalDpi xmlns:a14="http://schemas.microsoft.com/office/drawing/2010/main" val="0"/>
                        </a:ext>
                      </a:extLst>
                    </a:blip>
                    <a:srcRect l="50783" t="36978" r="42638" b="45326"/>
                    <a:stretch>
                      <a:fillRect/>
                    </a:stretch>
                  </pic:blipFill>
                  <pic:spPr>
                    <a:xfrm>
                      <a:off x="0" y="0"/>
                      <a:ext cx="2634571" cy="1881349"/>
                    </a:xfrm>
                    <a:prstGeom prst="rect">
                      <a:avLst/>
                    </a:prstGeom>
                    <a:ln w="19050">
                      <a:solidFill>
                        <a:schemeClr val="tx1"/>
                      </a:solidFill>
                    </a:ln>
                  </pic:spPr>
                </pic:pic>
              </a:graphicData>
            </a:graphic>
          </wp:inline>
        </w:drawing>
      </w:r>
    </w:p>
    <w:p w14:paraId="60F4F832" w14:textId="77777777" w:rsidR="004205C3" w:rsidRDefault="004205C3" w:rsidP="00EE44A1">
      <w:pPr>
        <w:spacing w:after="0" w:line="240" w:lineRule="auto"/>
        <w:contextualSpacing/>
        <w:jc w:val="center"/>
        <w:rPr>
          <w:rFonts w:ascii="Arial" w:eastAsia="Aptos" w:hAnsi="Arial" w:cs="Arial"/>
          <w:b/>
          <w:bCs/>
          <w:noProof/>
          <w:kern w:val="2"/>
          <w:sz w:val="20"/>
          <w:szCs w:val="20"/>
          <w:lang w:val="en-IN"/>
        </w:rPr>
      </w:pPr>
    </w:p>
    <w:p w14:paraId="3FA737E3" w14:textId="35A8DAC2" w:rsidR="00EE44A1" w:rsidRPr="00EE44A1" w:rsidRDefault="00EE44A1" w:rsidP="00EE44A1">
      <w:pPr>
        <w:spacing w:after="0" w:line="240" w:lineRule="auto"/>
        <w:contextualSpacing/>
        <w:jc w:val="center"/>
        <w:rPr>
          <w:rFonts w:ascii="Arial" w:eastAsia="Aptos" w:hAnsi="Arial" w:cs="Arial"/>
          <w:b/>
          <w:bCs/>
          <w:noProof/>
          <w:kern w:val="2"/>
          <w:sz w:val="20"/>
          <w:szCs w:val="20"/>
          <w:lang w:val="en-IN"/>
        </w:rPr>
      </w:pPr>
      <w:r w:rsidRPr="00EE44A1">
        <w:rPr>
          <w:rFonts w:ascii="Arial" w:eastAsia="Aptos" w:hAnsi="Arial" w:cs="Arial"/>
          <w:b/>
          <w:bCs/>
          <w:noProof/>
          <w:kern w:val="2"/>
          <w:sz w:val="20"/>
          <w:szCs w:val="20"/>
          <w:lang w:val="en-IN"/>
        </w:rPr>
        <w:t>Fig. 8. Pre-operative</w:t>
      </w:r>
      <w:r w:rsidR="00D00FD9">
        <w:rPr>
          <w:rFonts w:ascii="Arial" w:eastAsia="Aptos" w:hAnsi="Arial" w:cs="Arial"/>
          <w:b/>
          <w:bCs/>
          <w:noProof/>
          <w:kern w:val="2"/>
          <w:sz w:val="20"/>
          <w:szCs w:val="20"/>
          <w:lang w:val="en-IN"/>
        </w:rPr>
        <w:tab/>
      </w:r>
      <w:r w:rsidR="00D00FD9">
        <w:rPr>
          <w:rFonts w:ascii="Arial" w:eastAsia="Aptos" w:hAnsi="Arial" w:cs="Arial"/>
          <w:b/>
          <w:bCs/>
          <w:noProof/>
          <w:kern w:val="2"/>
          <w:sz w:val="20"/>
          <w:szCs w:val="20"/>
          <w:lang w:val="en-IN"/>
        </w:rPr>
        <w:tab/>
      </w:r>
      <w:r w:rsidR="00D00FD9">
        <w:rPr>
          <w:rFonts w:ascii="Arial" w:eastAsia="Aptos" w:hAnsi="Arial" w:cs="Arial"/>
          <w:b/>
          <w:bCs/>
          <w:noProof/>
          <w:kern w:val="2"/>
          <w:sz w:val="20"/>
          <w:szCs w:val="20"/>
          <w:lang w:val="en-IN"/>
        </w:rPr>
        <w:tab/>
      </w:r>
      <w:r w:rsidR="00D00FD9">
        <w:rPr>
          <w:rFonts w:ascii="Arial" w:eastAsia="Aptos" w:hAnsi="Arial" w:cs="Arial"/>
          <w:b/>
          <w:bCs/>
          <w:noProof/>
          <w:kern w:val="2"/>
          <w:sz w:val="20"/>
          <w:szCs w:val="20"/>
          <w:lang w:val="en-IN"/>
        </w:rPr>
        <w:tab/>
      </w:r>
      <w:r w:rsidR="00D00FD9" w:rsidRPr="00D00FD9">
        <w:rPr>
          <w:rFonts w:ascii="Arial" w:eastAsia="Aptos" w:hAnsi="Arial" w:cs="Arial"/>
          <w:b/>
          <w:bCs/>
          <w:noProof/>
          <w:kern w:val="2"/>
          <w:sz w:val="20"/>
          <w:szCs w:val="20"/>
          <w:lang w:val="en-IN"/>
        </w:rPr>
        <w:t>Fig. 9. OPG</w:t>
      </w:r>
    </w:p>
    <w:p w14:paraId="0D17C8E6"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118E2DB5" w14:textId="5A59AFFF" w:rsidR="00EE44A1" w:rsidRPr="00EE44A1" w:rsidRDefault="004205C3" w:rsidP="004205C3">
      <w:pPr>
        <w:spacing w:after="0" w:line="240" w:lineRule="auto"/>
        <w:contextualSpacing/>
        <w:jc w:val="center"/>
        <w:rPr>
          <w:rFonts w:ascii="Arial" w:eastAsia="Aptos" w:hAnsi="Arial" w:cs="Arial"/>
          <w:noProof/>
          <w:kern w:val="2"/>
          <w:sz w:val="20"/>
          <w:szCs w:val="20"/>
          <w:lang w:val="en-IN"/>
        </w:rPr>
      </w:pPr>
      <w:r>
        <w:rPr>
          <w:noProof/>
        </w:rPr>
        <w:drawing>
          <wp:inline distT="0" distB="0" distL="0" distR="0" wp14:anchorId="27ED0203" wp14:editId="21F00DA0">
            <wp:extent cx="2344887" cy="1721485"/>
            <wp:effectExtent l="19050" t="19050" r="0" b="0"/>
            <wp:docPr id="1217447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4887" cy="1721485"/>
                    </a:xfrm>
                    <a:prstGeom prst="rect">
                      <a:avLst/>
                    </a:prstGeom>
                    <a:ln w="19050">
                      <a:solidFill>
                        <a:schemeClr val="tx1"/>
                      </a:solidFill>
                    </a:ln>
                  </pic:spPr>
                </pic:pic>
              </a:graphicData>
            </a:graphic>
          </wp:inline>
        </w:drawing>
      </w:r>
      <w:r>
        <w:rPr>
          <w:rFonts w:ascii="Arial" w:eastAsia="Aptos" w:hAnsi="Arial" w:cs="Arial"/>
          <w:noProof/>
          <w:kern w:val="2"/>
          <w:sz w:val="20"/>
          <w:szCs w:val="20"/>
          <w:lang w:val="en-IN"/>
        </w:rPr>
        <w:t xml:space="preserve"> </w:t>
      </w:r>
      <w:r w:rsidRPr="00CA209C">
        <w:rPr>
          <w:noProof/>
        </w:rPr>
        <w:drawing>
          <wp:inline distT="0" distB="0" distL="0" distR="0" wp14:anchorId="3DC1C066" wp14:editId="553F8ECE">
            <wp:extent cx="2322830" cy="1722120"/>
            <wp:effectExtent l="19050" t="19050" r="1270" b="0"/>
            <wp:docPr id="17" name="Picture 16">
              <a:extLst xmlns:a="http://schemas.openxmlformats.org/drawingml/2006/main">
                <a:ext uri="{FF2B5EF4-FFF2-40B4-BE49-F238E27FC236}">
                  <a16:creationId xmlns:a16="http://schemas.microsoft.com/office/drawing/2014/main" id="{815A85F1-3A7F-84C1-A6F0-15A4BD335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15A85F1-3A7F-84C1-A6F0-15A4BD3355A0}"/>
                        </a:ext>
                      </a:extLst>
                    </pic:cNvPr>
                    <pic:cNvPicPr>
                      <a:picLocks noChangeAspect="1"/>
                    </pic:cNvPicPr>
                  </pic:nvPicPr>
                  <pic:blipFill>
                    <a:blip r:embed="rId22" cstate="print">
                      <a:extLst>
                        <a:ext uri="{28A0092B-C50C-407E-A947-70E740481C1C}">
                          <a14:useLocalDpi xmlns:a14="http://schemas.microsoft.com/office/drawing/2010/main" val="0"/>
                        </a:ext>
                      </a:extLst>
                    </a:blip>
                    <a:srcRect l="1053"/>
                    <a:stretch>
                      <a:fillRect/>
                    </a:stretch>
                  </pic:blipFill>
                  <pic:spPr>
                    <a:xfrm>
                      <a:off x="0" y="0"/>
                      <a:ext cx="2322830" cy="1722120"/>
                    </a:xfrm>
                    <a:prstGeom prst="rect">
                      <a:avLst/>
                    </a:prstGeom>
                    <a:ln w="19050">
                      <a:solidFill>
                        <a:schemeClr val="tx1"/>
                      </a:solidFill>
                    </a:ln>
                  </pic:spPr>
                </pic:pic>
              </a:graphicData>
            </a:graphic>
          </wp:inline>
        </w:drawing>
      </w:r>
    </w:p>
    <w:p w14:paraId="167C3F0A"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378B24A5" w14:textId="77777777" w:rsidR="00EE44A1" w:rsidRPr="00EE44A1" w:rsidRDefault="00EE44A1" w:rsidP="00EE44A1">
      <w:pPr>
        <w:spacing w:after="0" w:line="240" w:lineRule="auto"/>
        <w:contextualSpacing/>
        <w:jc w:val="center"/>
        <w:rPr>
          <w:rFonts w:ascii="Arial" w:eastAsia="Aptos" w:hAnsi="Arial" w:cs="Arial"/>
          <w:b/>
          <w:bCs/>
          <w:noProof/>
          <w:kern w:val="2"/>
          <w:sz w:val="20"/>
          <w:szCs w:val="20"/>
          <w:lang w:val="en-IN"/>
        </w:rPr>
      </w:pPr>
      <w:r w:rsidRPr="00EE44A1">
        <w:rPr>
          <w:rFonts w:ascii="Arial" w:eastAsia="Aptos" w:hAnsi="Arial" w:cs="Arial"/>
          <w:b/>
          <w:bCs/>
          <w:noProof/>
          <w:kern w:val="2"/>
          <w:sz w:val="20"/>
          <w:szCs w:val="20"/>
          <w:lang w:val="en-IN"/>
        </w:rPr>
        <w:t>Fig. 10. Premolar Furcation involvement</w:t>
      </w:r>
    </w:p>
    <w:p w14:paraId="7009A8C0"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3D9BD3A6" w14:textId="5ED840AA" w:rsidR="00EE44A1" w:rsidRPr="00EE44A1" w:rsidRDefault="004205C3" w:rsidP="004205C3">
      <w:pPr>
        <w:spacing w:after="0" w:line="240" w:lineRule="auto"/>
        <w:contextualSpacing/>
        <w:jc w:val="center"/>
        <w:rPr>
          <w:rFonts w:ascii="Arial" w:eastAsia="Aptos" w:hAnsi="Arial" w:cs="Arial"/>
          <w:noProof/>
          <w:kern w:val="2"/>
          <w:sz w:val="20"/>
          <w:szCs w:val="20"/>
          <w:lang w:val="en-IN"/>
        </w:rPr>
      </w:pPr>
      <w:r w:rsidRPr="00CA209C">
        <w:rPr>
          <w:noProof/>
        </w:rPr>
        <w:drawing>
          <wp:inline distT="0" distB="0" distL="0" distR="0" wp14:anchorId="2935B22B" wp14:editId="27366DB0">
            <wp:extent cx="2406650" cy="1805940"/>
            <wp:effectExtent l="19050" t="19050" r="0" b="3810"/>
            <wp:docPr id="22" name="Picture 21">
              <a:extLst xmlns:a="http://schemas.openxmlformats.org/drawingml/2006/main">
                <a:ext uri="{FF2B5EF4-FFF2-40B4-BE49-F238E27FC236}">
                  <a16:creationId xmlns:a16="http://schemas.microsoft.com/office/drawing/2014/main" id="{40659327-46D2-E33D-0A75-51D70836AF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0659327-46D2-E33D-0A75-51D70836AFB0}"/>
                        </a:ext>
                      </a:extLst>
                    </pic:cNvPr>
                    <pic:cNvPicPr>
                      <a:picLocks noChangeAspect="1"/>
                    </pic:cNvPicPr>
                  </pic:nvPicPr>
                  <pic:blipFill>
                    <a:blip r:embed="rId23" cstate="print">
                      <a:extLst>
                        <a:ext uri="{28A0092B-C50C-407E-A947-70E740481C1C}">
                          <a14:useLocalDpi xmlns:a14="http://schemas.microsoft.com/office/drawing/2010/main" val="0"/>
                        </a:ext>
                      </a:extLst>
                    </a:blip>
                    <a:srcRect l="34824" t="27963" r="18334" b="31182"/>
                    <a:stretch>
                      <a:fillRect/>
                    </a:stretch>
                  </pic:blipFill>
                  <pic:spPr>
                    <a:xfrm>
                      <a:off x="0" y="0"/>
                      <a:ext cx="2420699" cy="1816482"/>
                    </a:xfrm>
                    <a:prstGeom prst="rect">
                      <a:avLst/>
                    </a:prstGeom>
                    <a:ln w="19050">
                      <a:solidFill>
                        <a:schemeClr val="tx1"/>
                      </a:solidFill>
                    </a:ln>
                  </pic:spPr>
                </pic:pic>
              </a:graphicData>
            </a:graphic>
          </wp:inline>
        </w:drawing>
      </w:r>
    </w:p>
    <w:p w14:paraId="1E135190"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662CB503" w14:textId="77777777" w:rsidR="00EE44A1" w:rsidRPr="00EE44A1" w:rsidRDefault="00EE44A1" w:rsidP="00EE44A1">
      <w:pPr>
        <w:spacing w:after="0" w:line="240" w:lineRule="auto"/>
        <w:contextualSpacing/>
        <w:jc w:val="center"/>
        <w:rPr>
          <w:rFonts w:ascii="Arial" w:eastAsia="Aptos" w:hAnsi="Arial" w:cs="Arial"/>
          <w:b/>
          <w:bCs/>
          <w:noProof/>
          <w:kern w:val="2"/>
          <w:sz w:val="20"/>
          <w:szCs w:val="20"/>
          <w:lang w:val="en-IN"/>
        </w:rPr>
      </w:pPr>
      <w:r w:rsidRPr="00EE44A1">
        <w:rPr>
          <w:rFonts w:ascii="Arial" w:eastAsia="Aptos" w:hAnsi="Arial" w:cs="Arial"/>
          <w:b/>
          <w:bCs/>
          <w:noProof/>
          <w:kern w:val="2"/>
          <w:sz w:val="20"/>
          <w:szCs w:val="20"/>
          <w:lang w:val="en-IN"/>
        </w:rPr>
        <w:t>Fig. 11. 6 months post operative</w:t>
      </w:r>
    </w:p>
    <w:p w14:paraId="5C291AAA"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28FC36E9" w14:textId="77777777" w:rsidR="00FE5D5E" w:rsidRDefault="00FE5D5E" w:rsidP="00EE44A1">
      <w:pPr>
        <w:spacing w:after="0" w:line="240" w:lineRule="auto"/>
        <w:contextualSpacing/>
        <w:jc w:val="both"/>
        <w:rPr>
          <w:rFonts w:ascii="Arial" w:eastAsia="Aptos" w:hAnsi="Arial" w:cs="Arial"/>
          <w:noProof/>
          <w:kern w:val="2"/>
          <w:sz w:val="20"/>
          <w:szCs w:val="20"/>
          <w:lang w:val="en-IN"/>
        </w:rPr>
        <w:sectPr w:rsidR="00FE5D5E" w:rsidSect="00FE5D5E">
          <w:type w:val="continuous"/>
          <w:pgSz w:w="11909" w:h="16834" w:code="9"/>
          <w:pgMar w:top="1440" w:right="1440" w:bottom="1440" w:left="1440" w:header="720" w:footer="864" w:gutter="0"/>
          <w:pgNumType w:start="1"/>
          <w:cols w:space="720"/>
          <w:titlePg/>
          <w:docGrid w:linePitch="360"/>
        </w:sectPr>
      </w:pPr>
    </w:p>
    <w:p w14:paraId="2FF0DF26"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t>Premolar furcation involvement is often overlooked due to its rarity. Maxillary first premolars with bifurcated roots can present early furcation involvement, complicating diagnosis and requiring careful radiographic and clinical evaluation.</w:t>
      </w:r>
    </w:p>
    <w:p w14:paraId="46AD8427"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09B3B3B9"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r w:rsidRPr="00EE44A1">
        <w:rPr>
          <w:rFonts w:ascii="Arial" w:eastAsia="Aptos" w:hAnsi="Arial" w:cs="Arial"/>
          <w:b/>
          <w:bCs/>
          <w:noProof/>
          <w:kern w:val="2"/>
          <w:sz w:val="20"/>
          <w:szCs w:val="20"/>
          <w:lang w:val="en-IN"/>
        </w:rPr>
        <w:t xml:space="preserve">Case 3: </w:t>
      </w:r>
      <w:r w:rsidRPr="00EE44A1">
        <w:rPr>
          <w:rFonts w:ascii="Arial" w:eastAsia="Aptos" w:hAnsi="Arial" w:cs="Arial"/>
          <w:noProof/>
          <w:kern w:val="2"/>
          <w:sz w:val="20"/>
          <w:szCs w:val="20"/>
          <w:lang w:val="en-IN"/>
        </w:rPr>
        <w:t xml:space="preserve">A 13-year-old patient reported to the Department of Periodontology with the chief complaint of localized swelling in the posterior region of the oral cavity. The swelling was associated with mild discomfort and intermittent discharge. </w:t>
      </w:r>
    </w:p>
    <w:p w14:paraId="4E0274BB"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4F45106F"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r w:rsidRPr="00EE44A1">
        <w:rPr>
          <w:rFonts w:ascii="Arial" w:eastAsia="Aptos" w:hAnsi="Arial" w:cs="Arial"/>
          <w:b/>
          <w:bCs/>
          <w:noProof/>
          <w:kern w:val="2"/>
          <w:sz w:val="20"/>
          <w:szCs w:val="20"/>
          <w:lang w:val="en-IN"/>
        </w:rPr>
        <w:t>Clinical examination:</w:t>
      </w:r>
      <w:r w:rsidRPr="00EE44A1">
        <w:rPr>
          <w:rFonts w:ascii="Arial" w:eastAsia="Aptos" w:hAnsi="Arial" w:cs="Arial"/>
          <w:noProof/>
          <w:kern w:val="2"/>
          <w:sz w:val="20"/>
          <w:szCs w:val="20"/>
          <w:lang w:val="en-IN"/>
        </w:rPr>
        <w:t xml:space="preserve"> Gingiva in the affected area appeared inflamed, with a sinus tract opening evident on the lingual aspect of tooth 46. The Plaque Index was recorded at 1.7, indicating moderate plaque accumulation, and the Gingival Index was 2.0, reflecting marked gingival inflammation. Probing revealed a lingual pocket depth of 4 mm with respect to tooth 46. The patient’s dental history revealed that root canal treatment (RCT) had been performed on 46 six </w:t>
      </w:r>
      <w:r w:rsidRPr="00EE44A1">
        <w:rPr>
          <w:rFonts w:ascii="Arial" w:eastAsia="Aptos" w:hAnsi="Arial" w:cs="Arial"/>
          <w:noProof/>
          <w:kern w:val="2"/>
          <w:sz w:val="20"/>
          <w:szCs w:val="20"/>
          <w:lang w:val="en-IN"/>
        </w:rPr>
        <w:t>months earlier at a private dental clinic. There was no history of trauma or systemic illness.</w:t>
      </w:r>
    </w:p>
    <w:p w14:paraId="020398DC"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t>Intraoral periapical radiographic examination demonstrated:</w:t>
      </w:r>
      <w:r w:rsidRPr="00EE44A1">
        <w:rPr>
          <w:rFonts w:ascii="Arial" w:eastAsia="Aptos" w:hAnsi="Arial" w:cs="Arial"/>
          <w:kern w:val="2"/>
          <w:sz w:val="20"/>
          <w:szCs w:val="20"/>
          <w:lang w:val="en-IN"/>
        </w:rPr>
        <w:t xml:space="preserve"> </w:t>
      </w:r>
      <w:r w:rsidRPr="00EE44A1">
        <w:rPr>
          <w:rFonts w:ascii="Arial" w:eastAsia="Aptos" w:hAnsi="Arial" w:cs="Arial"/>
          <w:noProof/>
          <w:kern w:val="2"/>
          <w:sz w:val="20"/>
          <w:szCs w:val="20"/>
          <w:lang w:val="en-IN"/>
        </w:rPr>
        <w:t>Radiolucency in the furcation region seen. These findings were suggestive of furcation involvement, despite the patient’s young age and relatively short duration since endodontic therapy.</w:t>
      </w:r>
    </w:p>
    <w:p w14:paraId="5F0BF0BC"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681F3AB5"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t>Based on clinical and radiographic findings, a diagnosis of early furcation involvement associated with short root trunk length was made.</w:t>
      </w:r>
    </w:p>
    <w:p w14:paraId="111C1D81"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7EA498FA" w14:textId="7A486DA9"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On surgical interventions under local </w:t>
      </w:r>
      <w:proofErr w:type="spellStart"/>
      <w:r w:rsidRPr="00EE44A1">
        <w:rPr>
          <w:rFonts w:ascii="Arial" w:eastAsia="Aptos" w:hAnsi="Arial" w:cs="Arial"/>
          <w:kern w:val="2"/>
          <w:sz w:val="20"/>
          <w:szCs w:val="20"/>
          <w:lang w:val="en-IN"/>
        </w:rPr>
        <w:t>anesthesia</w:t>
      </w:r>
      <w:proofErr w:type="spellEnd"/>
      <w:r w:rsidRPr="00EE44A1">
        <w:rPr>
          <w:rFonts w:ascii="Arial" w:eastAsia="Aptos" w:hAnsi="Arial" w:cs="Arial"/>
          <w:kern w:val="2"/>
          <w:sz w:val="20"/>
          <w:szCs w:val="20"/>
          <w:lang w:val="en-IN"/>
        </w:rPr>
        <w:t xml:space="preserve">, conventional flap was reflected </w:t>
      </w:r>
      <w:r w:rsidRPr="00EE44A1">
        <w:rPr>
          <w:rFonts w:ascii="Arial" w:eastAsia="Aptos" w:hAnsi="Arial" w:cs="Arial"/>
          <w:noProof/>
          <w:kern w:val="2"/>
          <w:sz w:val="20"/>
          <w:szCs w:val="20"/>
          <w:lang w:val="en-IN"/>
        </w:rPr>
        <w:t xml:space="preserve">to gain access to the furcation area. Intraoperatively, Grade II furcation involvement was confirmed at an </w:t>
      </w:r>
      <w:r w:rsidR="00FE5D5E">
        <w:rPr>
          <w:rFonts w:ascii="Arial" w:eastAsia="Aptos" w:hAnsi="Arial" w:cs="Arial"/>
          <w:noProof/>
          <w:kern w:val="2"/>
          <w:sz w:val="20"/>
          <w:szCs w:val="20"/>
          <w:lang w:val="en-IN"/>
        </w:rPr>
        <w:t xml:space="preserve">             </w:t>
      </w:r>
      <w:r w:rsidRPr="00EE44A1">
        <w:rPr>
          <w:rFonts w:ascii="Arial" w:eastAsia="Aptos" w:hAnsi="Arial" w:cs="Arial"/>
          <w:noProof/>
          <w:kern w:val="2"/>
          <w:sz w:val="20"/>
          <w:szCs w:val="20"/>
          <w:lang w:val="en-IN"/>
        </w:rPr>
        <w:t xml:space="preserve">early level, consistent with short root trunk anatomy. Thorough debridement of granulation tissue was carried out, followed by bone graft was placed in the defect. </w:t>
      </w:r>
      <w:r w:rsidRPr="00EE44A1">
        <w:rPr>
          <w:rFonts w:ascii="Arial" w:eastAsia="Aptos" w:hAnsi="Arial" w:cs="Arial"/>
          <w:kern w:val="2"/>
          <w:sz w:val="20"/>
          <w:szCs w:val="20"/>
          <w:lang w:val="en-IN"/>
        </w:rPr>
        <w:t>The site was secured with sutures and covered with a periodontal dressing.</w:t>
      </w:r>
    </w:p>
    <w:p w14:paraId="0B8DBB17"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574F1607" w14:textId="4E9BCE7C"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lastRenderedPageBreak/>
        <w:t>Postoperative healing was uneventful. At follow</w:t>
      </w:r>
      <w:r w:rsidRPr="00EE44A1">
        <w:rPr>
          <w:rFonts w:ascii="Arial" w:eastAsia="Aptos" w:hAnsi="Arial" w:cs="Arial"/>
          <w:kern w:val="2"/>
          <w:sz w:val="20"/>
          <w:szCs w:val="20"/>
          <w:lang w:val="en-IN"/>
        </w:rPr>
        <w:noBreakHyphen/>
        <w:t xml:space="preserve">up visits, the surgical site demonstrated healthy gingival architecture, reduction in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probing pocket depth to 3–4 mm, and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gain in clinical attachment. The Plaque Index </w:t>
      </w:r>
      <w:r w:rsidRPr="00EE44A1">
        <w:rPr>
          <w:rFonts w:ascii="Arial" w:eastAsia="Aptos" w:hAnsi="Arial" w:cs="Arial"/>
          <w:kern w:val="2"/>
          <w:sz w:val="20"/>
          <w:szCs w:val="20"/>
          <w:lang w:val="en-IN"/>
        </w:rPr>
        <w:t xml:space="preserve">improved to 0.8 and the Gingival Index reduced to 0.7, reflecting effective plaque control </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 xml:space="preserve">and patient compliance with oral hygiene instructions. </w:t>
      </w:r>
    </w:p>
    <w:p w14:paraId="6ED343FC" w14:textId="77777777" w:rsidR="00FE5D5E" w:rsidRDefault="00FE5D5E" w:rsidP="00EE44A1">
      <w:pPr>
        <w:spacing w:after="0" w:line="240" w:lineRule="auto"/>
        <w:contextualSpacing/>
        <w:jc w:val="both"/>
        <w:rPr>
          <w:rFonts w:ascii="Arial" w:eastAsia="Aptos" w:hAnsi="Arial" w:cs="Arial"/>
          <w:noProof/>
          <w:kern w:val="2"/>
          <w:sz w:val="20"/>
          <w:szCs w:val="20"/>
          <w:lang w:val="en-IN"/>
        </w:rPr>
        <w:sectPr w:rsidR="00FE5D5E" w:rsidSect="00FE5D5E">
          <w:type w:val="continuous"/>
          <w:pgSz w:w="11909" w:h="16834" w:code="9"/>
          <w:pgMar w:top="1440" w:right="1440" w:bottom="1440" w:left="1440" w:header="720" w:footer="864" w:gutter="0"/>
          <w:pgNumType w:start="1"/>
          <w:cols w:num="2" w:space="288"/>
          <w:titlePg/>
          <w:docGrid w:linePitch="360"/>
        </w:sectPr>
      </w:pPr>
    </w:p>
    <w:p w14:paraId="100CFEFC"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5D9EC75C" w14:textId="4D9B9EAA" w:rsidR="00EE44A1" w:rsidRPr="00EE44A1" w:rsidRDefault="004205C3" w:rsidP="004205C3">
      <w:pPr>
        <w:spacing w:after="0" w:line="240" w:lineRule="auto"/>
        <w:contextualSpacing/>
        <w:jc w:val="center"/>
        <w:rPr>
          <w:rFonts w:ascii="Arial" w:eastAsia="Aptos" w:hAnsi="Arial" w:cs="Arial"/>
          <w:noProof/>
          <w:kern w:val="2"/>
          <w:sz w:val="20"/>
          <w:szCs w:val="20"/>
          <w:lang w:val="en-IN"/>
        </w:rPr>
      </w:pPr>
      <w:r w:rsidRPr="00CA209C">
        <w:rPr>
          <w:noProof/>
        </w:rPr>
        <w:drawing>
          <wp:inline distT="0" distB="0" distL="0" distR="0" wp14:anchorId="5544D87A" wp14:editId="15730AD3">
            <wp:extent cx="2454910" cy="1805163"/>
            <wp:effectExtent l="19050" t="19050" r="2540" b="5080"/>
            <wp:docPr id="23" name="Picture 22">
              <a:extLst xmlns:a="http://schemas.openxmlformats.org/drawingml/2006/main">
                <a:ext uri="{FF2B5EF4-FFF2-40B4-BE49-F238E27FC236}">
                  <a16:creationId xmlns:a16="http://schemas.microsoft.com/office/drawing/2014/main" id="{F36AEB0D-420A-3B9B-25F8-9777AF4A8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36AEB0D-420A-3B9B-25F8-9777AF4A85E4}"/>
                        </a:ext>
                      </a:extLst>
                    </pic:cNvPr>
                    <pic:cNvPicPr>
                      <a:picLocks noChangeAspect="1"/>
                    </pic:cNvPicPr>
                  </pic:nvPicPr>
                  <pic:blipFill>
                    <a:blip r:embed="rId24">
                      <a:extLst>
                        <a:ext uri="{28A0092B-C50C-407E-A947-70E740481C1C}">
                          <a14:useLocalDpi xmlns:a14="http://schemas.microsoft.com/office/drawing/2010/main" val="0"/>
                        </a:ext>
                      </a:extLst>
                    </a:blip>
                    <a:srcRect l="11820" t="39722" r="57768" b="28746"/>
                    <a:stretch>
                      <a:fillRect/>
                    </a:stretch>
                  </pic:blipFill>
                  <pic:spPr>
                    <a:xfrm>
                      <a:off x="0" y="0"/>
                      <a:ext cx="2463129" cy="1811207"/>
                    </a:xfrm>
                    <a:prstGeom prst="rect">
                      <a:avLst/>
                    </a:prstGeom>
                    <a:ln w="19050">
                      <a:solidFill>
                        <a:schemeClr val="tx1"/>
                      </a:solidFill>
                    </a:ln>
                  </pic:spPr>
                </pic:pic>
              </a:graphicData>
            </a:graphic>
          </wp:inline>
        </w:drawing>
      </w:r>
      <w:r w:rsidR="00D00FD9">
        <w:rPr>
          <w:noProof/>
        </w:rPr>
        <w:t xml:space="preserve"> </w:t>
      </w:r>
      <w:r w:rsidR="00D00FD9">
        <w:rPr>
          <w:noProof/>
        </w:rPr>
        <w:tab/>
      </w:r>
      <w:r w:rsidR="00D00FD9">
        <w:rPr>
          <w:noProof/>
        </w:rPr>
        <w:drawing>
          <wp:inline distT="0" distB="0" distL="0" distR="0" wp14:anchorId="785DD52C" wp14:editId="42C7FAC3">
            <wp:extent cx="2461928" cy="1809115"/>
            <wp:effectExtent l="19050" t="19050" r="0" b="635"/>
            <wp:docPr id="1759023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88" t="2431" r="3222" b="3952"/>
                    <a:stretch>
                      <a:fillRect/>
                    </a:stretch>
                  </pic:blipFill>
                  <pic:spPr bwMode="auto">
                    <a:xfrm>
                      <a:off x="0" y="0"/>
                      <a:ext cx="2463116" cy="180998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F530F02"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20737980" w14:textId="248E68AB" w:rsidR="00EE44A1" w:rsidRPr="00EE44A1" w:rsidRDefault="00EE44A1" w:rsidP="00EE44A1">
      <w:pPr>
        <w:spacing w:after="0" w:line="240" w:lineRule="auto"/>
        <w:contextualSpacing/>
        <w:jc w:val="center"/>
        <w:rPr>
          <w:rFonts w:ascii="Arial" w:eastAsia="Aptos" w:hAnsi="Arial" w:cs="Arial"/>
          <w:b/>
          <w:bCs/>
          <w:noProof/>
          <w:kern w:val="2"/>
          <w:sz w:val="20"/>
          <w:szCs w:val="20"/>
          <w:lang w:val="en-IN"/>
        </w:rPr>
      </w:pPr>
      <w:r w:rsidRPr="00EE44A1">
        <w:rPr>
          <w:rFonts w:ascii="Arial" w:eastAsia="Aptos" w:hAnsi="Arial" w:cs="Arial"/>
          <w:b/>
          <w:bCs/>
          <w:noProof/>
          <w:kern w:val="2"/>
          <w:sz w:val="20"/>
          <w:szCs w:val="20"/>
          <w:lang w:val="en-IN"/>
        </w:rPr>
        <w:t>Fig. 12. Sinus Tract seen with 46</w:t>
      </w:r>
      <w:r w:rsidR="00D00FD9" w:rsidRPr="00D00FD9">
        <w:rPr>
          <w:rFonts w:ascii="Arial" w:eastAsia="Aptos" w:hAnsi="Arial" w:cs="Arial"/>
          <w:b/>
          <w:bCs/>
          <w:noProof/>
          <w:kern w:val="2"/>
          <w:sz w:val="20"/>
          <w:szCs w:val="20"/>
          <w:lang w:val="en-IN"/>
        </w:rPr>
        <w:t xml:space="preserve"> </w:t>
      </w:r>
      <w:r w:rsidR="00D00FD9">
        <w:rPr>
          <w:rFonts w:ascii="Arial" w:eastAsia="Aptos" w:hAnsi="Arial" w:cs="Arial"/>
          <w:b/>
          <w:bCs/>
          <w:noProof/>
          <w:kern w:val="2"/>
          <w:sz w:val="20"/>
          <w:szCs w:val="20"/>
          <w:lang w:val="en-IN"/>
        </w:rPr>
        <w:tab/>
      </w:r>
      <w:r w:rsidR="00D00FD9">
        <w:rPr>
          <w:rFonts w:ascii="Arial" w:eastAsia="Aptos" w:hAnsi="Arial" w:cs="Arial"/>
          <w:b/>
          <w:bCs/>
          <w:noProof/>
          <w:kern w:val="2"/>
          <w:sz w:val="20"/>
          <w:szCs w:val="20"/>
          <w:lang w:val="en-IN"/>
        </w:rPr>
        <w:tab/>
      </w:r>
      <w:r w:rsidR="00D00FD9">
        <w:rPr>
          <w:rFonts w:ascii="Arial" w:eastAsia="Aptos" w:hAnsi="Arial" w:cs="Arial"/>
          <w:b/>
          <w:bCs/>
          <w:noProof/>
          <w:kern w:val="2"/>
          <w:sz w:val="20"/>
          <w:szCs w:val="20"/>
          <w:lang w:val="en-IN"/>
        </w:rPr>
        <w:tab/>
      </w:r>
      <w:r w:rsidR="00D00FD9" w:rsidRPr="00EE44A1">
        <w:rPr>
          <w:rFonts w:ascii="Arial" w:eastAsia="Aptos" w:hAnsi="Arial" w:cs="Arial"/>
          <w:b/>
          <w:bCs/>
          <w:noProof/>
          <w:kern w:val="2"/>
          <w:sz w:val="20"/>
          <w:szCs w:val="20"/>
          <w:lang w:val="en-IN"/>
        </w:rPr>
        <w:t>Fig. 13. RVG w.r.t 46</w:t>
      </w:r>
    </w:p>
    <w:p w14:paraId="0908D8B4"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5186954C" w14:textId="52B5A616" w:rsidR="00EE44A1" w:rsidRPr="004205C3" w:rsidRDefault="004205C3" w:rsidP="004205C3">
      <w:pPr>
        <w:spacing w:after="0" w:line="240" w:lineRule="auto"/>
        <w:contextualSpacing/>
        <w:jc w:val="center"/>
        <w:rPr>
          <w:rFonts w:ascii="Arial" w:eastAsia="Aptos" w:hAnsi="Arial" w:cs="Arial"/>
          <w:b/>
          <w:bCs/>
          <w:noProof/>
          <w:kern w:val="2"/>
          <w:sz w:val="20"/>
          <w:szCs w:val="20"/>
          <w:lang w:val="en-IN"/>
        </w:rPr>
      </w:pPr>
      <w:r w:rsidRPr="00CA209C">
        <w:rPr>
          <w:noProof/>
        </w:rPr>
        <w:drawing>
          <wp:inline distT="0" distB="0" distL="0" distR="0" wp14:anchorId="555DFE4D" wp14:editId="01CFB680">
            <wp:extent cx="2496292" cy="1875790"/>
            <wp:effectExtent l="19050" t="19050" r="0" b="0"/>
            <wp:docPr id="27" name="Picture 26">
              <a:extLst xmlns:a="http://schemas.openxmlformats.org/drawingml/2006/main">
                <a:ext uri="{FF2B5EF4-FFF2-40B4-BE49-F238E27FC236}">
                  <a16:creationId xmlns:a16="http://schemas.microsoft.com/office/drawing/2014/main" id="{C257CFCE-30D4-697F-5243-4114B9B97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257CFCE-30D4-697F-5243-4114B9B97BD8}"/>
                        </a:ext>
                      </a:extLst>
                    </pic:cNvPr>
                    <pic:cNvPicPr>
                      <a:picLocks noChangeAspect="1"/>
                    </pic:cNvPicPr>
                  </pic:nvPicPr>
                  <pic:blipFill>
                    <a:blip r:embed="rId26">
                      <a:extLst>
                        <a:ext uri="{28A0092B-C50C-407E-A947-70E740481C1C}">
                          <a14:useLocalDpi xmlns:a14="http://schemas.microsoft.com/office/drawing/2010/main" val="0"/>
                        </a:ext>
                      </a:extLst>
                    </a:blip>
                    <a:srcRect l="33652" t="22939" r="33588" b="42423"/>
                    <a:stretch>
                      <a:fillRect/>
                    </a:stretch>
                  </pic:blipFill>
                  <pic:spPr>
                    <a:xfrm>
                      <a:off x="0" y="0"/>
                      <a:ext cx="2496292" cy="1875790"/>
                    </a:xfrm>
                    <a:prstGeom prst="rect">
                      <a:avLst/>
                    </a:prstGeom>
                    <a:ln w="19050">
                      <a:solidFill>
                        <a:schemeClr val="tx1"/>
                      </a:solidFill>
                    </a:ln>
                  </pic:spPr>
                </pic:pic>
              </a:graphicData>
            </a:graphic>
          </wp:inline>
        </w:drawing>
      </w:r>
      <w:r>
        <w:rPr>
          <w:rFonts w:ascii="Arial" w:eastAsia="Aptos" w:hAnsi="Arial" w:cs="Arial"/>
          <w:noProof/>
          <w:kern w:val="2"/>
          <w:sz w:val="20"/>
          <w:szCs w:val="20"/>
          <w:lang w:val="en-IN"/>
        </w:rPr>
        <w:t xml:space="preserve"> </w:t>
      </w:r>
      <w:r w:rsidR="005347C4">
        <w:rPr>
          <w:noProof/>
        </w:rPr>
        <w:t xml:space="preserve"> </w:t>
      </w:r>
      <w:r>
        <w:rPr>
          <w:noProof/>
        </w:rPr>
        <w:drawing>
          <wp:inline distT="0" distB="0" distL="0" distR="0" wp14:anchorId="22906922" wp14:editId="1E1A887D">
            <wp:extent cx="2446020" cy="1876812"/>
            <wp:effectExtent l="19050" t="19050" r="0" b="9525"/>
            <wp:docPr id="957732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27" t="1891" r="4231" b="4242"/>
                    <a:stretch>
                      <a:fillRect/>
                    </a:stretch>
                  </pic:blipFill>
                  <pic:spPr bwMode="auto">
                    <a:xfrm>
                      <a:off x="0" y="0"/>
                      <a:ext cx="2446020" cy="187681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31A6A4A"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176C5F05" w14:textId="77777777" w:rsidR="00EE44A1" w:rsidRPr="00EE44A1" w:rsidRDefault="00EE44A1" w:rsidP="00EE44A1">
      <w:pPr>
        <w:spacing w:after="0" w:line="240" w:lineRule="auto"/>
        <w:contextualSpacing/>
        <w:jc w:val="center"/>
        <w:rPr>
          <w:rFonts w:ascii="Arial" w:eastAsia="Aptos" w:hAnsi="Arial" w:cs="Arial"/>
          <w:b/>
          <w:bCs/>
          <w:noProof/>
          <w:kern w:val="2"/>
          <w:sz w:val="20"/>
          <w:szCs w:val="20"/>
          <w:lang w:val="en-IN"/>
        </w:rPr>
      </w:pPr>
      <w:r w:rsidRPr="00EE44A1">
        <w:rPr>
          <w:rFonts w:ascii="Arial" w:eastAsia="Aptos" w:hAnsi="Arial" w:cs="Arial"/>
          <w:b/>
          <w:bCs/>
          <w:noProof/>
          <w:kern w:val="2"/>
          <w:sz w:val="20"/>
          <w:szCs w:val="20"/>
          <w:lang w:val="en-IN"/>
        </w:rPr>
        <w:t>Fig. 14. Furcation involvement seen on lingual aspect of 46</w:t>
      </w:r>
    </w:p>
    <w:p w14:paraId="3385F6E5"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355D6BE2" w14:textId="26BCEC82" w:rsidR="00EE44A1" w:rsidRPr="00EE44A1" w:rsidRDefault="004205C3" w:rsidP="004205C3">
      <w:pPr>
        <w:spacing w:after="0" w:line="240" w:lineRule="auto"/>
        <w:contextualSpacing/>
        <w:jc w:val="center"/>
        <w:rPr>
          <w:rFonts w:ascii="Arial" w:eastAsia="Aptos" w:hAnsi="Arial" w:cs="Arial"/>
          <w:noProof/>
          <w:kern w:val="2"/>
          <w:sz w:val="20"/>
          <w:szCs w:val="20"/>
          <w:lang w:val="en-IN"/>
        </w:rPr>
      </w:pPr>
      <w:r w:rsidRPr="00D05F33">
        <w:rPr>
          <w:noProof/>
        </w:rPr>
        <w:drawing>
          <wp:inline distT="0" distB="0" distL="0" distR="0" wp14:anchorId="349D03F0" wp14:editId="5EDCABBF">
            <wp:extent cx="2454413" cy="1755140"/>
            <wp:effectExtent l="19050" t="19050" r="3175" b="0"/>
            <wp:docPr id="12" name="Picture 11">
              <a:extLst xmlns:a="http://schemas.openxmlformats.org/drawingml/2006/main">
                <a:ext uri="{FF2B5EF4-FFF2-40B4-BE49-F238E27FC236}">
                  <a16:creationId xmlns:a16="http://schemas.microsoft.com/office/drawing/2014/main" id="{83984EEC-1D2D-8816-B88F-66DC36DD4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3984EEC-1D2D-8816-B88F-66DC36DD43D5}"/>
                        </a:ext>
                      </a:extLst>
                    </pic:cNvPr>
                    <pic:cNvPicPr>
                      <a:picLocks noChangeAspect="1"/>
                    </pic:cNvPicPr>
                  </pic:nvPicPr>
                  <pic:blipFill>
                    <a:blip r:embed="rId28" cstate="print">
                      <a:extLst>
                        <a:ext uri="{28A0092B-C50C-407E-A947-70E740481C1C}">
                          <a14:useLocalDpi xmlns:a14="http://schemas.microsoft.com/office/drawing/2010/main" val="0"/>
                        </a:ext>
                      </a:extLst>
                    </a:blip>
                    <a:srcRect l="36339" t="35552" r="30714" b="29158"/>
                    <a:stretch>
                      <a:fillRect/>
                    </a:stretch>
                  </pic:blipFill>
                  <pic:spPr>
                    <a:xfrm>
                      <a:off x="0" y="0"/>
                      <a:ext cx="2456290" cy="1756482"/>
                    </a:xfrm>
                    <a:prstGeom prst="rect">
                      <a:avLst/>
                    </a:prstGeom>
                    <a:ln w="19050">
                      <a:solidFill>
                        <a:schemeClr val="tx1"/>
                      </a:solidFill>
                    </a:ln>
                  </pic:spPr>
                </pic:pic>
              </a:graphicData>
            </a:graphic>
          </wp:inline>
        </w:drawing>
      </w:r>
      <w:r w:rsidR="00D00FD9">
        <w:rPr>
          <w:rFonts w:ascii="Arial" w:eastAsia="Aptos" w:hAnsi="Arial" w:cs="Arial"/>
          <w:noProof/>
          <w:kern w:val="2"/>
          <w:sz w:val="20"/>
          <w:szCs w:val="20"/>
          <w:lang w:val="en-IN"/>
        </w:rPr>
        <w:tab/>
      </w:r>
      <w:r w:rsidR="00D00FD9">
        <w:rPr>
          <w:noProof/>
        </w:rPr>
        <w:drawing>
          <wp:inline distT="0" distB="0" distL="0" distR="0" wp14:anchorId="38CA109E" wp14:editId="3AEC4BA0">
            <wp:extent cx="2501900" cy="1773555"/>
            <wp:effectExtent l="19050" t="19050" r="0" b="0"/>
            <wp:docPr id="1524999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9313"/>
                    <a:stretch>
                      <a:fillRect/>
                    </a:stretch>
                  </pic:blipFill>
                  <pic:spPr bwMode="auto">
                    <a:xfrm>
                      <a:off x="0" y="0"/>
                      <a:ext cx="2502769" cy="177417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C009BE2"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1E6924B1" w14:textId="61175B4A" w:rsidR="00EE44A1" w:rsidRPr="00EE44A1" w:rsidRDefault="00EE44A1" w:rsidP="00EE44A1">
      <w:pPr>
        <w:spacing w:after="0" w:line="240" w:lineRule="auto"/>
        <w:contextualSpacing/>
        <w:jc w:val="center"/>
        <w:rPr>
          <w:rFonts w:ascii="Arial" w:eastAsia="Aptos" w:hAnsi="Arial" w:cs="Arial"/>
          <w:b/>
          <w:bCs/>
          <w:noProof/>
          <w:kern w:val="2"/>
          <w:sz w:val="20"/>
          <w:szCs w:val="20"/>
          <w:lang w:val="en-IN"/>
        </w:rPr>
      </w:pPr>
      <w:r w:rsidRPr="00EE44A1">
        <w:rPr>
          <w:rFonts w:ascii="Arial" w:eastAsia="Aptos" w:hAnsi="Arial" w:cs="Arial"/>
          <w:b/>
          <w:bCs/>
          <w:noProof/>
          <w:kern w:val="2"/>
          <w:sz w:val="20"/>
          <w:szCs w:val="20"/>
          <w:lang w:val="en-IN"/>
        </w:rPr>
        <w:t>Fig. 15. Post-operative</w:t>
      </w:r>
      <w:r w:rsidR="005347C4" w:rsidRPr="005347C4">
        <w:rPr>
          <w:rFonts w:ascii="Arial" w:eastAsia="Aptos" w:hAnsi="Arial" w:cs="Arial"/>
          <w:b/>
          <w:bCs/>
          <w:noProof/>
          <w:kern w:val="2"/>
          <w:sz w:val="20"/>
          <w:szCs w:val="20"/>
          <w:lang w:val="en-IN"/>
        </w:rPr>
        <w:t xml:space="preserve"> </w:t>
      </w:r>
      <w:r w:rsidR="005347C4">
        <w:rPr>
          <w:rFonts w:ascii="Arial" w:eastAsia="Aptos" w:hAnsi="Arial" w:cs="Arial"/>
          <w:b/>
          <w:bCs/>
          <w:noProof/>
          <w:kern w:val="2"/>
          <w:sz w:val="20"/>
          <w:szCs w:val="20"/>
          <w:lang w:val="en-IN"/>
        </w:rPr>
        <w:tab/>
      </w:r>
      <w:r w:rsidR="005347C4">
        <w:rPr>
          <w:rFonts w:ascii="Arial" w:eastAsia="Aptos" w:hAnsi="Arial" w:cs="Arial"/>
          <w:b/>
          <w:bCs/>
          <w:noProof/>
          <w:kern w:val="2"/>
          <w:sz w:val="20"/>
          <w:szCs w:val="20"/>
          <w:lang w:val="en-IN"/>
        </w:rPr>
        <w:tab/>
      </w:r>
      <w:r w:rsidR="005347C4" w:rsidRPr="00EE44A1">
        <w:rPr>
          <w:rFonts w:ascii="Arial" w:eastAsia="Aptos" w:hAnsi="Arial" w:cs="Arial"/>
          <w:b/>
          <w:bCs/>
          <w:noProof/>
          <w:kern w:val="2"/>
          <w:sz w:val="20"/>
          <w:szCs w:val="20"/>
          <w:lang w:val="en-IN"/>
        </w:rPr>
        <w:t>Fig. 16. Post-operative RVG</w:t>
      </w:r>
    </w:p>
    <w:p w14:paraId="42B149E1"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001B832E"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t>In teeth with a short root trunk, the furcation area become exposed early in the course of periodontal disease, even with limited attachment loss.</w:t>
      </w:r>
    </w:p>
    <w:p w14:paraId="3A842885"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7B13419E"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lastRenderedPageBreak/>
        <w:t>In the present case, the short root trunk allowed periodontal inflammation and plaque accumulation to rapidly extend into the furcation region. This resulted in:</w:t>
      </w:r>
    </w:p>
    <w:p w14:paraId="2CC947AE"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40CFACA9" w14:textId="77777777" w:rsidR="00EE44A1" w:rsidRPr="00EE44A1" w:rsidRDefault="00EE44A1" w:rsidP="00EE44A1">
      <w:pPr>
        <w:numPr>
          <w:ilvl w:val="0"/>
          <w:numId w:val="3"/>
        </w:numPr>
        <w:spacing w:after="0" w:line="240" w:lineRule="auto"/>
        <w:ind w:left="540"/>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t>Early interradicular bone loss</w:t>
      </w:r>
    </w:p>
    <w:p w14:paraId="7A1FB00C" w14:textId="77777777" w:rsidR="00EE44A1" w:rsidRPr="00EE44A1" w:rsidRDefault="00EE44A1" w:rsidP="00EE44A1">
      <w:pPr>
        <w:numPr>
          <w:ilvl w:val="0"/>
          <w:numId w:val="2"/>
        </w:numPr>
        <w:spacing w:after="0" w:line="240" w:lineRule="auto"/>
        <w:ind w:left="540"/>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t>Difficulty in effective plaque control</w:t>
      </w:r>
    </w:p>
    <w:p w14:paraId="2CB1C8B4" w14:textId="77777777" w:rsidR="00EE44A1" w:rsidRPr="00EE44A1" w:rsidRDefault="00EE44A1" w:rsidP="00EE44A1">
      <w:pPr>
        <w:numPr>
          <w:ilvl w:val="0"/>
          <w:numId w:val="2"/>
        </w:numPr>
        <w:spacing w:after="0" w:line="240" w:lineRule="auto"/>
        <w:ind w:left="540"/>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t>Rapid progression of periodontal destruction</w:t>
      </w:r>
    </w:p>
    <w:p w14:paraId="3B6D5D1C" w14:textId="77777777" w:rsidR="00EE44A1" w:rsidRPr="00EE44A1" w:rsidRDefault="00EE44A1" w:rsidP="00EE44A1">
      <w:pPr>
        <w:numPr>
          <w:ilvl w:val="0"/>
          <w:numId w:val="2"/>
        </w:numPr>
        <w:spacing w:after="0" w:line="240" w:lineRule="auto"/>
        <w:ind w:left="540"/>
        <w:contextualSpacing/>
        <w:jc w:val="both"/>
        <w:rPr>
          <w:rFonts w:ascii="Arial" w:eastAsia="Aptos" w:hAnsi="Arial" w:cs="Arial"/>
          <w:noProof/>
          <w:kern w:val="2"/>
          <w:sz w:val="20"/>
          <w:szCs w:val="20"/>
          <w:lang w:val="en-IN"/>
        </w:rPr>
      </w:pPr>
      <w:r w:rsidRPr="00EE44A1">
        <w:rPr>
          <w:rFonts w:ascii="Arial" w:eastAsia="Aptos" w:hAnsi="Arial" w:cs="Arial"/>
          <w:noProof/>
          <w:kern w:val="2"/>
          <w:sz w:val="20"/>
          <w:szCs w:val="20"/>
          <w:lang w:val="en-IN"/>
        </w:rPr>
        <w:t>Formation of a sinus tract despite recent endodontic therapy</w:t>
      </w:r>
    </w:p>
    <w:p w14:paraId="6D99CC18" w14:textId="77777777" w:rsidR="00EE44A1" w:rsidRPr="00EE44A1" w:rsidRDefault="00EE44A1" w:rsidP="00EE44A1">
      <w:pPr>
        <w:spacing w:after="0" w:line="240" w:lineRule="auto"/>
        <w:contextualSpacing/>
        <w:jc w:val="both"/>
        <w:rPr>
          <w:rFonts w:ascii="Arial" w:eastAsia="Aptos" w:hAnsi="Arial" w:cs="Arial"/>
          <w:noProof/>
          <w:kern w:val="2"/>
          <w:sz w:val="20"/>
          <w:szCs w:val="20"/>
          <w:lang w:val="en-IN"/>
        </w:rPr>
      </w:pPr>
    </w:p>
    <w:p w14:paraId="4A4D3886" w14:textId="77777777" w:rsidR="00FE5D5E" w:rsidRDefault="00FE5D5E" w:rsidP="00EE44A1">
      <w:pPr>
        <w:spacing w:after="0" w:line="240" w:lineRule="auto"/>
        <w:contextualSpacing/>
        <w:jc w:val="both"/>
        <w:rPr>
          <w:rFonts w:ascii="Arial" w:eastAsia="Aptos" w:hAnsi="Arial" w:cs="Arial"/>
          <w:b/>
          <w:bCs/>
          <w:kern w:val="2"/>
          <w:lang w:val="en-IN"/>
        </w:rPr>
        <w:sectPr w:rsidR="00FE5D5E" w:rsidSect="00FE5D5E">
          <w:type w:val="continuous"/>
          <w:pgSz w:w="11909" w:h="16834" w:code="9"/>
          <w:pgMar w:top="1440" w:right="1440" w:bottom="1440" w:left="1440" w:header="720" w:footer="864" w:gutter="0"/>
          <w:pgNumType w:start="1"/>
          <w:cols w:space="720"/>
          <w:titlePg/>
          <w:docGrid w:linePitch="360"/>
        </w:sectPr>
      </w:pPr>
    </w:p>
    <w:p w14:paraId="40379527" w14:textId="75A446BE" w:rsidR="00EE44A1" w:rsidRPr="005347C4" w:rsidRDefault="00FE5D5E" w:rsidP="00EE44A1">
      <w:pPr>
        <w:spacing w:after="0" w:line="240" w:lineRule="auto"/>
        <w:contextualSpacing/>
        <w:jc w:val="both"/>
        <w:rPr>
          <w:rFonts w:ascii="Arial" w:eastAsia="Aptos" w:hAnsi="Arial" w:cs="Arial"/>
          <w:b/>
          <w:bCs/>
          <w:kern w:val="2"/>
          <w:lang w:val="en-IN"/>
        </w:rPr>
      </w:pPr>
      <w:r>
        <w:rPr>
          <w:rFonts w:ascii="Arial" w:eastAsia="Aptos" w:hAnsi="Arial" w:cs="Arial"/>
          <w:b/>
          <w:bCs/>
          <w:kern w:val="2"/>
          <w:lang w:val="en-IN"/>
        </w:rPr>
        <w:t xml:space="preserve">3. </w:t>
      </w:r>
      <w:r w:rsidR="005347C4" w:rsidRPr="005347C4">
        <w:rPr>
          <w:rFonts w:ascii="Arial" w:eastAsia="Aptos" w:hAnsi="Arial" w:cs="Arial"/>
          <w:b/>
          <w:bCs/>
          <w:kern w:val="2"/>
          <w:lang w:val="en-IN"/>
        </w:rPr>
        <w:t>Discussion</w:t>
      </w:r>
    </w:p>
    <w:p w14:paraId="2F61CA51"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559B5466"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Root morphology has a significant impact on the onset, progression, and treatment outcomes of periodontal disease, especially in molar teeth where root trunk length and root configuration determine the susceptibility to furcation involvement.</w:t>
      </w:r>
    </w:p>
    <w:p w14:paraId="4301B821"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3401931F" w14:textId="0884C5B6" w:rsidR="00EE44A1" w:rsidRPr="00EE44A1" w:rsidRDefault="00C82501" w:rsidP="00EE44A1">
      <w:pPr>
        <w:spacing w:after="0" w:line="240" w:lineRule="auto"/>
        <w:contextualSpacing/>
        <w:jc w:val="both"/>
        <w:rPr>
          <w:rFonts w:ascii="Arial" w:eastAsia="Aptos" w:hAnsi="Arial" w:cs="Arial"/>
          <w:kern w:val="2"/>
          <w:sz w:val="20"/>
          <w:szCs w:val="20"/>
          <w:lang w:val="en-IN"/>
        </w:rPr>
      </w:pPr>
      <w:r w:rsidRPr="00C82501">
        <w:rPr>
          <w:rFonts w:ascii="Arial" w:eastAsia="Aptos" w:hAnsi="Arial" w:cs="Arial"/>
          <w:kern w:val="2"/>
          <w:sz w:val="20"/>
          <w:szCs w:val="20"/>
        </w:rPr>
        <w:t xml:space="preserve">Al-Shammari et al. </w:t>
      </w:r>
      <w:r>
        <w:rPr>
          <w:rFonts w:ascii="Arial" w:eastAsia="Aptos" w:hAnsi="Arial" w:cs="Arial"/>
          <w:kern w:val="2"/>
          <w:sz w:val="20"/>
          <w:szCs w:val="20"/>
        </w:rPr>
        <w:t>(</w:t>
      </w:r>
      <w:r w:rsidRPr="00C82501">
        <w:rPr>
          <w:rFonts w:ascii="Arial" w:eastAsia="Aptos" w:hAnsi="Arial" w:cs="Arial"/>
          <w:kern w:val="2"/>
          <w:sz w:val="20"/>
          <w:szCs w:val="20"/>
        </w:rPr>
        <w:t>2001)</w:t>
      </w:r>
      <w:r w:rsidR="00EE44A1" w:rsidRPr="00EE44A1">
        <w:rPr>
          <w:rFonts w:ascii="Arial" w:eastAsia="Aptos" w:hAnsi="Arial" w:cs="Arial"/>
          <w:kern w:val="2"/>
          <w:sz w:val="20"/>
          <w:szCs w:val="20"/>
          <w:lang w:val="en-IN"/>
        </w:rPr>
        <w:t xml:space="preserve"> reported that,</w:t>
      </w:r>
      <w:r w:rsidR="00EE44A1" w:rsidRPr="00EE44A1">
        <w:rPr>
          <w:rFonts w:ascii="Arial" w:eastAsia="Aptos" w:hAnsi="Arial" w:cs="Arial"/>
          <w:b/>
          <w:bCs/>
          <w:i/>
          <w:iCs/>
          <w:kern w:val="2"/>
          <w:sz w:val="20"/>
          <w:szCs w:val="20"/>
          <w:lang w:val="en-IN"/>
        </w:rPr>
        <w:t xml:space="preserve"> </w:t>
      </w:r>
      <w:r w:rsidR="00EE44A1" w:rsidRPr="00EE44A1">
        <w:rPr>
          <w:rFonts w:ascii="Arial" w:eastAsia="Aptos" w:hAnsi="Arial" w:cs="Arial"/>
          <w:kern w:val="2"/>
          <w:sz w:val="20"/>
          <w:szCs w:val="20"/>
          <w:lang w:val="en-IN"/>
        </w:rPr>
        <w:t xml:space="preserve">the average root lengths of maxillary and mandibular first molars have been reported as 12.6 mm and 13.7 mm, with maxillary </w:t>
      </w:r>
      <w:proofErr w:type="spellStart"/>
      <w:r w:rsidR="00EE44A1" w:rsidRPr="00EE44A1">
        <w:rPr>
          <w:rFonts w:ascii="Arial" w:eastAsia="Aptos" w:hAnsi="Arial" w:cs="Arial"/>
          <w:kern w:val="2"/>
          <w:sz w:val="20"/>
          <w:szCs w:val="20"/>
          <w:lang w:val="en-IN"/>
        </w:rPr>
        <w:t>mesiobuccal</w:t>
      </w:r>
      <w:proofErr w:type="spellEnd"/>
      <w:r w:rsidR="00EE44A1" w:rsidRPr="00EE44A1">
        <w:rPr>
          <w:rFonts w:ascii="Arial" w:eastAsia="Aptos" w:hAnsi="Arial" w:cs="Arial"/>
          <w:kern w:val="2"/>
          <w:sz w:val="20"/>
          <w:szCs w:val="20"/>
          <w:lang w:val="en-IN"/>
        </w:rPr>
        <w:t xml:space="preserve"> and palatal roots being longer than distobuccal roots, while root trunk heights may extend up to 7.8 mm in maxillary and 6.6 mm in mandibular molars. Teeth with long root trunks and short roots demonstrate delayed clinical detection of furcation involvement but experience greater periodontal destruction once furcal invasion occurs, making them poor candidates for root resection procedures</w:t>
      </w:r>
      <w:r>
        <w:rPr>
          <w:rFonts w:ascii="Arial" w:eastAsia="Aptos" w:hAnsi="Arial" w:cs="Arial"/>
          <w:kern w:val="2"/>
          <w:sz w:val="20"/>
          <w:szCs w:val="20"/>
          <w:lang w:val="en-IN"/>
        </w:rPr>
        <w:t xml:space="preserve"> </w:t>
      </w:r>
      <w:r w:rsidRPr="00C82501">
        <w:rPr>
          <w:rFonts w:ascii="Arial" w:eastAsia="Aptos" w:hAnsi="Arial" w:cs="Arial"/>
          <w:kern w:val="2"/>
          <w:sz w:val="20"/>
          <w:szCs w:val="20"/>
        </w:rPr>
        <w:t>(Dababneh et al., 2011)</w:t>
      </w:r>
      <w:r w:rsidR="00EE44A1" w:rsidRPr="00EE44A1">
        <w:rPr>
          <w:rFonts w:ascii="Arial" w:eastAsia="Aptos" w:hAnsi="Arial" w:cs="Arial"/>
          <w:kern w:val="2"/>
          <w:sz w:val="20"/>
          <w:szCs w:val="20"/>
          <w:lang w:val="en-IN"/>
        </w:rPr>
        <w:t xml:space="preserve">. </w:t>
      </w:r>
    </w:p>
    <w:p w14:paraId="3B75CA87"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30E774B6" w14:textId="718B7126"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Additionally, long root trunks combined with wide furcation entrances and high-positioned furcation fornix have been associated with reduced success of periodontal therapy due to challenges in achieving complete debridement in these areas</w:t>
      </w:r>
      <w:r w:rsidR="00C82501">
        <w:rPr>
          <w:rFonts w:ascii="Arial" w:eastAsia="Aptos" w:hAnsi="Arial" w:cs="Arial"/>
          <w:kern w:val="2"/>
          <w:sz w:val="20"/>
          <w:szCs w:val="20"/>
          <w:lang w:val="en-IN"/>
        </w:rPr>
        <w:t xml:space="preserve"> </w:t>
      </w:r>
      <w:r w:rsidR="00C82501" w:rsidRPr="00C82501">
        <w:rPr>
          <w:rFonts w:ascii="Arial" w:eastAsia="Aptos" w:hAnsi="Arial" w:cs="Arial"/>
          <w:kern w:val="2"/>
          <w:sz w:val="20"/>
          <w:szCs w:val="20"/>
        </w:rPr>
        <w:t>(Horwitz et al., 2004)</w:t>
      </w:r>
      <w:r w:rsidRPr="00EE44A1">
        <w:rPr>
          <w:rFonts w:ascii="Arial" w:eastAsia="Aptos" w:hAnsi="Arial" w:cs="Arial"/>
          <w:kern w:val="2"/>
          <w:sz w:val="20"/>
          <w:szCs w:val="20"/>
          <w:lang w:val="en-IN"/>
        </w:rPr>
        <w:t>. According to McClain &amp; Schallhorn</w:t>
      </w:r>
      <w:r w:rsidR="00C82501">
        <w:rPr>
          <w:rFonts w:ascii="Arial" w:eastAsia="Aptos" w:hAnsi="Arial" w:cs="Arial"/>
          <w:kern w:val="2"/>
          <w:sz w:val="20"/>
          <w:szCs w:val="20"/>
          <w:lang w:val="en-IN"/>
        </w:rPr>
        <w:t xml:space="preserve"> </w:t>
      </w:r>
      <w:r w:rsidR="00C82501" w:rsidRPr="00C82501">
        <w:rPr>
          <w:rFonts w:ascii="Arial" w:eastAsia="Aptos" w:hAnsi="Arial" w:cs="Arial"/>
          <w:kern w:val="2"/>
          <w:sz w:val="20"/>
          <w:szCs w:val="20"/>
        </w:rPr>
        <w:t>(McClain &amp; Schallhorn, 2000)</w:t>
      </w:r>
      <w:r w:rsidRPr="00EE44A1">
        <w:rPr>
          <w:rFonts w:ascii="Arial" w:eastAsia="Aptos" w:hAnsi="Arial" w:cs="Arial"/>
          <w:kern w:val="2"/>
          <w:sz w:val="20"/>
          <w:szCs w:val="20"/>
          <w:lang w:val="en-IN"/>
        </w:rPr>
        <w:t xml:space="preserve">, teeth with short root trunks become vulnerable to early furcation involvement; however, they tend to show better post-treatment prognosis since the extent of periodontal destruction required for furcation exposure is comparatively less. </w:t>
      </w:r>
    </w:p>
    <w:p w14:paraId="3A753186"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3CF9BF7E" w14:textId="203AEB4B" w:rsidR="00EE44A1" w:rsidRPr="00EE44A1" w:rsidRDefault="00EE44A1" w:rsidP="00EE44A1">
      <w:pPr>
        <w:spacing w:after="0" w:line="240" w:lineRule="auto"/>
        <w:contextualSpacing/>
        <w:jc w:val="both"/>
        <w:rPr>
          <w:rFonts w:ascii="Arial" w:eastAsia="Aptos" w:hAnsi="Arial" w:cs="Arial"/>
          <w:kern w:val="2"/>
          <w:sz w:val="20"/>
          <w:szCs w:val="20"/>
        </w:rPr>
      </w:pPr>
      <w:r w:rsidRPr="00EE44A1">
        <w:rPr>
          <w:rFonts w:ascii="Arial" w:eastAsia="Aptos" w:hAnsi="Arial" w:cs="Arial"/>
          <w:kern w:val="2"/>
          <w:sz w:val="20"/>
          <w:szCs w:val="20"/>
          <w:lang w:val="en-IN"/>
        </w:rPr>
        <w:t>Beyond trunk length alone, the presence of developmental grooves and root surface concavities significantly influences plaque retention and treatment predictability, particularly in regenerative procedures where anatomical irregularities can compromise outcomes even in teeth with short trunk morphology</w:t>
      </w:r>
      <w:r w:rsidR="00C82501">
        <w:rPr>
          <w:rFonts w:ascii="Arial" w:eastAsia="Aptos" w:hAnsi="Arial" w:cs="Arial"/>
          <w:kern w:val="2"/>
          <w:sz w:val="20"/>
          <w:szCs w:val="20"/>
          <w:lang w:val="en-IN"/>
        </w:rPr>
        <w:t xml:space="preserve"> </w:t>
      </w:r>
      <w:r w:rsidR="00C82501" w:rsidRPr="00C82501">
        <w:rPr>
          <w:rFonts w:ascii="Arial" w:eastAsia="Aptos" w:hAnsi="Arial" w:cs="Arial"/>
          <w:kern w:val="2"/>
          <w:sz w:val="20"/>
          <w:szCs w:val="20"/>
        </w:rPr>
        <w:t>(</w:t>
      </w:r>
      <w:proofErr w:type="spellStart"/>
      <w:r w:rsidR="00C82501" w:rsidRPr="00C82501">
        <w:rPr>
          <w:rFonts w:ascii="Arial" w:eastAsia="Aptos" w:hAnsi="Arial" w:cs="Arial"/>
          <w:kern w:val="2"/>
          <w:sz w:val="20"/>
          <w:szCs w:val="20"/>
        </w:rPr>
        <w:t>Svärdström</w:t>
      </w:r>
      <w:proofErr w:type="spellEnd"/>
      <w:r w:rsidR="00C82501" w:rsidRPr="00C82501">
        <w:rPr>
          <w:rFonts w:ascii="Arial" w:eastAsia="Aptos" w:hAnsi="Arial" w:cs="Arial"/>
          <w:kern w:val="2"/>
          <w:sz w:val="20"/>
          <w:szCs w:val="20"/>
        </w:rPr>
        <w:t xml:space="preserve"> &amp; </w:t>
      </w:r>
      <w:proofErr w:type="spellStart"/>
      <w:r w:rsidR="00C82501" w:rsidRPr="00C82501">
        <w:rPr>
          <w:rFonts w:ascii="Arial" w:eastAsia="Aptos" w:hAnsi="Arial" w:cs="Arial"/>
          <w:kern w:val="2"/>
          <w:sz w:val="20"/>
          <w:szCs w:val="20"/>
        </w:rPr>
        <w:t>Wennström</w:t>
      </w:r>
      <w:proofErr w:type="spellEnd"/>
      <w:r w:rsidR="00C82501" w:rsidRPr="00C82501">
        <w:rPr>
          <w:rFonts w:ascii="Arial" w:eastAsia="Aptos" w:hAnsi="Arial" w:cs="Arial"/>
          <w:kern w:val="2"/>
          <w:sz w:val="20"/>
          <w:szCs w:val="20"/>
        </w:rPr>
        <w:t>, 1988)</w:t>
      </w:r>
      <w:r w:rsidRPr="00EE44A1">
        <w:rPr>
          <w:rFonts w:ascii="Arial" w:eastAsia="Aptos" w:hAnsi="Arial" w:cs="Arial"/>
          <w:kern w:val="2"/>
          <w:sz w:val="20"/>
          <w:szCs w:val="20"/>
          <w:lang w:val="en-IN"/>
        </w:rPr>
        <w:t xml:space="preserve">. </w:t>
      </w:r>
      <w:r w:rsidRPr="00EE44A1">
        <w:rPr>
          <w:rFonts w:ascii="Arial" w:eastAsia="Aptos" w:hAnsi="Arial" w:cs="Arial"/>
          <w:kern w:val="2"/>
          <w:sz w:val="20"/>
          <w:szCs w:val="20"/>
        </w:rPr>
        <w:t xml:space="preserve">Lu </w:t>
      </w:r>
      <w:r w:rsidR="00C82501">
        <w:rPr>
          <w:rFonts w:ascii="Arial" w:eastAsia="Aptos" w:hAnsi="Arial" w:cs="Arial"/>
          <w:kern w:val="2"/>
          <w:sz w:val="20"/>
          <w:szCs w:val="20"/>
        </w:rPr>
        <w:t>(</w:t>
      </w:r>
      <w:r w:rsidR="00C82501" w:rsidRPr="00C82501">
        <w:rPr>
          <w:rFonts w:ascii="Arial" w:eastAsia="Aptos" w:hAnsi="Arial" w:cs="Arial"/>
          <w:kern w:val="2"/>
          <w:sz w:val="20"/>
          <w:szCs w:val="20"/>
        </w:rPr>
        <w:t>1992)</w:t>
      </w:r>
      <w:r w:rsidR="00C82501">
        <w:rPr>
          <w:rFonts w:ascii="Arial" w:eastAsia="Aptos" w:hAnsi="Arial" w:cs="Arial"/>
          <w:kern w:val="2"/>
          <w:sz w:val="20"/>
          <w:szCs w:val="20"/>
        </w:rPr>
        <w:t xml:space="preserve"> </w:t>
      </w:r>
      <w:r w:rsidRPr="00EE44A1">
        <w:rPr>
          <w:rFonts w:ascii="Arial" w:eastAsia="Aptos" w:hAnsi="Arial" w:cs="Arial"/>
          <w:kern w:val="2"/>
          <w:sz w:val="20"/>
          <w:szCs w:val="20"/>
        </w:rPr>
        <w:t>Reported that 94% of the furcation possessed variant depth of developmental concavities on the root trunks.</w:t>
      </w:r>
      <w:r w:rsidRPr="00EE44A1">
        <w:rPr>
          <w:rFonts w:ascii="Arial" w:eastAsia="Aptos" w:hAnsi="Arial" w:cs="Arial"/>
          <w:kern w:val="2"/>
          <w:sz w:val="20"/>
          <w:szCs w:val="20"/>
          <w:lang w:val="en-IN"/>
        </w:rPr>
        <w:t xml:space="preserve"> </w:t>
      </w:r>
      <w:r w:rsidRPr="00EE44A1">
        <w:rPr>
          <w:rFonts w:ascii="Arial" w:eastAsia="Aptos" w:hAnsi="Arial" w:cs="Arial"/>
          <w:kern w:val="2"/>
          <w:sz w:val="20"/>
          <w:szCs w:val="20"/>
        </w:rPr>
        <w:t xml:space="preserve">These superficial irregularities at the entrances of furcation may prevent complete adaptation of the </w:t>
      </w:r>
      <w:r w:rsidRPr="00EE44A1">
        <w:rPr>
          <w:rFonts w:ascii="Arial" w:eastAsia="Aptos" w:hAnsi="Arial" w:cs="Arial"/>
          <w:kern w:val="2"/>
          <w:sz w:val="20"/>
          <w:szCs w:val="20"/>
        </w:rPr>
        <w:t>coronal microstructure of the membrane along their root surfaces, so they suggested that subgingival application of guided tissue membranes 1-2 mm below CEJ cannot ensure complete adaptation of furcation defects with their coronal microstructures in the majority of molars.</w:t>
      </w:r>
    </w:p>
    <w:p w14:paraId="54340822"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6B28E581" w14:textId="442C2BD2"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Joseph</w:t>
      </w:r>
      <w:r w:rsidRPr="00EE44A1">
        <w:rPr>
          <w:rFonts w:ascii="Arial" w:eastAsia="Aptos" w:hAnsi="Arial" w:cs="Arial"/>
          <w:i/>
          <w:iCs/>
          <w:kern w:val="2"/>
          <w:sz w:val="20"/>
          <w:szCs w:val="20"/>
          <w:lang w:val="en-IN"/>
        </w:rPr>
        <w:t xml:space="preserve"> et al.</w:t>
      </w:r>
      <w:r w:rsidRPr="00EE44A1">
        <w:rPr>
          <w:rFonts w:ascii="Arial" w:eastAsia="Aptos" w:hAnsi="Arial" w:cs="Arial"/>
          <w:kern w:val="2"/>
          <w:sz w:val="20"/>
          <w:szCs w:val="20"/>
          <w:lang w:val="en-IN"/>
        </w:rPr>
        <w:t xml:space="preserve"> </w:t>
      </w:r>
      <w:r w:rsidR="00BE4FB2">
        <w:rPr>
          <w:rFonts w:ascii="Arial" w:eastAsia="Aptos" w:hAnsi="Arial" w:cs="Arial"/>
          <w:kern w:val="2"/>
          <w:sz w:val="20"/>
          <w:szCs w:val="20"/>
          <w:lang w:val="en-IN"/>
        </w:rPr>
        <w:t>(</w:t>
      </w:r>
      <w:r w:rsidR="00BE4FB2" w:rsidRPr="00BE4FB2">
        <w:rPr>
          <w:rFonts w:ascii="Arial" w:eastAsia="Aptos" w:hAnsi="Arial" w:cs="Arial"/>
          <w:kern w:val="2"/>
          <w:sz w:val="20"/>
          <w:szCs w:val="20"/>
        </w:rPr>
        <w:t>1996)</w:t>
      </w:r>
      <w:r w:rsidR="00BE4FB2">
        <w:rPr>
          <w:rFonts w:ascii="Arial" w:eastAsia="Aptos" w:hAnsi="Arial" w:cs="Arial"/>
          <w:kern w:val="2"/>
          <w:sz w:val="20"/>
          <w:szCs w:val="20"/>
        </w:rPr>
        <w:t xml:space="preserve"> </w:t>
      </w:r>
      <w:r w:rsidRPr="00EE44A1">
        <w:rPr>
          <w:rFonts w:ascii="Arial" w:eastAsia="Aptos" w:hAnsi="Arial" w:cs="Arial"/>
          <w:kern w:val="2"/>
          <w:sz w:val="20"/>
          <w:szCs w:val="20"/>
          <w:lang w:val="en-IN"/>
        </w:rPr>
        <w:t xml:space="preserve">reported that furcation involvement in maxillary first premolars is uncommon but clinically significant because a substantial proportion of these teeth exhibit bifurcated roots. Due to this relative rarity, furcation involvement in premolars is often overlooked, resulting in delayed diagnosis and progression of periodontal destruction, as seen in the present case. Whereas Chen </w:t>
      </w:r>
      <w:r w:rsidRPr="00EE44A1">
        <w:rPr>
          <w:rFonts w:ascii="Arial" w:eastAsia="Aptos" w:hAnsi="Arial" w:cs="Arial"/>
          <w:i/>
          <w:iCs/>
          <w:kern w:val="2"/>
          <w:sz w:val="20"/>
          <w:szCs w:val="20"/>
          <w:lang w:val="en-IN"/>
        </w:rPr>
        <w:t>et al</w:t>
      </w:r>
      <w:r w:rsidRPr="00EE44A1">
        <w:rPr>
          <w:rFonts w:ascii="Arial" w:eastAsia="Aptos" w:hAnsi="Arial" w:cs="Arial"/>
          <w:kern w:val="2"/>
          <w:sz w:val="20"/>
          <w:szCs w:val="20"/>
          <w:lang w:val="en-IN"/>
        </w:rPr>
        <w:t xml:space="preserve">. </w:t>
      </w:r>
      <w:r w:rsidR="00BE4FB2">
        <w:rPr>
          <w:rFonts w:ascii="Arial" w:eastAsia="Aptos" w:hAnsi="Arial" w:cs="Arial"/>
          <w:kern w:val="2"/>
          <w:sz w:val="20"/>
          <w:szCs w:val="20"/>
          <w:lang w:val="en-IN"/>
        </w:rPr>
        <w:t>(</w:t>
      </w:r>
      <w:r w:rsidR="00BE4FB2" w:rsidRPr="00BE4FB2">
        <w:rPr>
          <w:rFonts w:ascii="Arial" w:eastAsia="Aptos" w:hAnsi="Arial" w:cs="Arial"/>
          <w:kern w:val="2"/>
          <w:sz w:val="20"/>
          <w:szCs w:val="20"/>
        </w:rPr>
        <w:t>2024)</w:t>
      </w:r>
      <w:r w:rsidR="00BE4FB2">
        <w:rPr>
          <w:rFonts w:ascii="Arial" w:eastAsia="Aptos" w:hAnsi="Arial" w:cs="Arial"/>
          <w:kern w:val="2"/>
          <w:sz w:val="20"/>
          <w:szCs w:val="20"/>
        </w:rPr>
        <w:t xml:space="preserve"> </w:t>
      </w:r>
      <w:r w:rsidRPr="00EE44A1">
        <w:rPr>
          <w:rFonts w:ascii="Arial" w:eastAsia="Aptos" w:hAnsi="Arial" w:cs="Arial"/>
          <w:kern w:val="2"/>
          <w:sz w:val="20"/>
          <w:szCs w:val="20"/>
          <w:lang w:val="en-IN"/>
        </w:rPr>
        <w:t xml:space="preserve">demonstrated that mesial root concavities of maxillary first premolars are significantly associated with increased periodontal inflammation and alveolar bone loss. Such concavities act as plaque-retentive areas, accelerating periodontal destruction and contributing to furcation involvement, findings that correlate well with the clinical presentation in the present case. </w:t>
      </w:r>
    </w:p>
    <w:p w14:paraId="1AF967F2"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6D157FE9" w14:textId="70F6BE6C"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Takei and Han</w:t>
      </w:r>
      <w:r w:rsidRPr="00EE44A1">
        <w:rPr>
          <w:rFonts w:ascii="Arial" w:eastAsia="Aptos" w:hAnsi="Arial" w:cs="Arial"/>
          <w:i/>
          <w:iCs/>
          <w:kern w:val="2"/>
          <w:sz w:val="20"/>
          <w:szCs w:val="20"/>
          <w:lang w:val="en-IN"/>
        </w:rPr>
        <w:t xml:space="preserve"> et al.</w:t>
      </w:r>
      <w:r w:rsidR="00BE4FB2">
        <w:rPr>
          <w:rFonts w:ascii="Arial" w:eastAsia="Aptos" w:hAnsi="Arial" w:cs="Arial"/>
          <w:kern w:val="2"/>
          <w:sz w:val="20"/>
          <w:szCs w:val="20"/>
          <w:lang w:val="en-IN"/>
        </w:rPr>
        <w:t xml:space="preserve"> (</w:t>
      </w:r>
      <w:r w:rsidR="00BE4FB2" w:rsidRPr="00BE4FB2">
        <w:rPr>
          <w:rFonts w:ascii="Arial" w:eastAsia="Aptos" w:hAnsi="Arial" w:cs="Arial"/>
          <w:kern w:val="2"/>
          <w:sz w:val="20"/>
          <w:szCs w:val="20"/>
        </w:rPr>
        <w:t>1996)</w:t>
      </w:r>
      <w:r w:rsidR="00BE4FB2">
        <w:rPr>
          <w:rFonts w:ascii="Arial" w:eastAsia="Aptos" w:hAnsi="Arial" w:cs="Arial"/>
          <w:kern w:val="2"/>
          <w:sz w:val="20"/>
          <w:szCs w:val="20"/>
        </w:rPr>
        <w:t xml:space="preserve"> </w:t>
      </w:r>
      <w:r w:rsidRPr="00EE44A1">
        <w:rPr>
          <w:rFonts w:ascii="Arial" w:eastAsia="Aptos" w:hAnsi="Arial" w:cs="Arial"/>
          <w:kern w:val="2"/>
          <w:sz w:val="20"/>
          <w:szCs w:val="20"/>
          <w:lang w:val="en-IN"/>
        </w:rPr>
        <w:t xml:space="preserve">highlighted that root trunk length should be considered a key factor in treatment planning for furcation-involved teeth. Mandibular molars with short root trunks are often more amenable to open flap debridement and regenerative therapy, aligning with the treatment strategy employed in this case. Bowers </w:t>
      </w:r>
      <w:r w:rsidRPr="00EE44A1">
        <w:rPr>
          <w:rFonts w:ascii="Arial" w:eastAsia="Aptos" w:hAnsi="Arial" w:cs="Arial"/>
          <w:i/>
          <w:iCs/>
          <w:kern w:val="2"/>
          <w:sz w:val="20"/>
          <w:szCs w:val="20"/>
          <w:lang w:val="en-IN"/>
        </w:rPr>
        <w:t>et al</w:t>
      </w:r>
      <w:r w:rsidRPr="00EE44A1">
        <w:rPr>
          <w:rFonts w:ascii="Arial" w:eastAsia="Aptos" w:hAnsi="Arial" w:cs="Arial"/>
          <w:kern w:val="2"/>
          <w:sz w:val="20"/>
          <w:szCs w:val="20"/>
          <w:lang w:val="en-IN"/>
        </w:rPr>
        <w:t>.</w:t>
      </w:r>
      <w:r w:rsidR="00FE5D5E">
        <w:rPr>
          <w:rFonts w:ascii="Arial" w:eastAsia="Aptos" w:hAnsi="Arial" w:cs="Arial"/>
          <w:kern w:val="2"/>
          <w:sz w:val="20"/>
          <w:szCs w:val="20"/>
          <w:lang w:val="en-IN"/>
        </w:rPr>
        <w:t xml:space="preserve"> (</w:t>
      </w:r>
      <w:r w:rsidR="00FE5D5E" w:rsidRPr="00FE5D5E">
        <w:rPr>
          <w:rFonts w:ascii="Arial" w:eastAsia="Aptos" w:hAnsi="Arial" w:cs="Arial"/>
          <w:kern w:val="2"/>
          <w:sz w:val="20"/>
          <w:szCs w:val="20"/>
        </w:rPr>
        <w:t>1989)</w:t>
      </w:r>
      <w:r w:rsidR="00FE5D5E">
        <w:rPr>
          <w:rFonts w:ascii="Arial" w:eastAsia="Aptos" w:hAnsi="Arial" w:cs="Arial"/>
          <w:kern w:val="2"/>
          <w:sz w:val="20"/>
          <w:szCs w:val="20"/>
        </w:rPr>
        <w:t xml:space="preserve"> </w:t>
      </w:r>
      <w:r w:rsidRPr="00EE44A1">
        <w:rPr>
          <w:rFonts w:ascii="Arial" w:eastAsia="Aptos" w:hAnsi="Arial" w:cs="Arial"/>
          <w:kern w:val="2"/>
          <w:sz w:val="20"/>
          <w:szCs w:val="20"/>
          <w:lang w:val="en-IN"/>
        </w:rPr>
        <w:t>reported that Class II furcation defects, commonly encountered in mandibular molars with short root trunks, show better regenerative potential compared to advanced furcation defects. This supports the treatment approach and outcome achieved in the present case.</w:t>
      </w:r>
    </w:p>
    <w:p w14:paraId="6CD8F50B"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5A3D9A4F" w14:textId="1AD37476"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Newell</w:t>
      </w:r>
      <w:r w:rsidRPr="00EE44A1">
        <w:rPr>
          <w:rFonts w:ascii="Arial" w:eastAsia="Aptos" w:hAnsi="Arial" w:cs="Arial"/>
          <w:i/>
          <w:iCs/>
          <w:kern w:val="2"/>
          <w:sz w:val="20"/>
          <w:szCs w:val="20"/>
          <w:lang w:val="en-IN"/>
        </w:rPr>
        <w:t xml:space="preserve"> et al.</w:t>
      </w:r>
      <w:r w:rsidRPr="00EE44A1">
        <w:rPr>
          <w:rFonts w:ascii="Arial" w:eastAsia="Aptos" w:hAnsi="Arial" w:cs="Arial"/>
          <w:kern w:val="2"/>
          <w:sz w:val="20"/>
          <w:szCs w:val="20"/>
          <w:lang w:val="en-IN"/>
        </w:rPr>
        <w:t xml:space="preserve"> </w:t>
      </w:r>
      <w:r w:rsidR="00FE5D5E">
        <w:rPr>
          <w:rFonts w:ascii="Arial" w:eastAsia="Aptos" w:hAnsi="Arial" w:cs="Arial"/>
          <w:kern w:val="2"/>
          <w:sz w:val="20"/>
          <w:szCs w:val="20"/>
          <w:lang w:val="en-IN"/>
        </w:rPr>
        <w:t>(</w:t>
      </w:r>
      <w:r w:rsidR="00FE5D5E" w:rsidRPr="00FE5D5E">
        <w:rPr>
          <w:rFonts w:ascii="Arial" w:eastAsia="Aptos" w:hAnsi="Arial" w:cs="Arial"/>
          <w:kern w:val="2"/>
          <w:sz w:val="20"/>
          <w:szCs w:val="20"/>
        </w:rPr>
        <w:t>1998)</w:t>
      </w:r>
      <w:r w:rsidR="00FE5D5E">
        <w:rPr>
          <w:rFonts w:ascii="Arial" w:eastAsia="Aptos" w:hAnsi="Arial" w:cs="Arial"/>
          <w:kern w:val="2"/>
          <w:sz w:val="20"/>
          <w:szCs w:val="20"/>
        </w:rPr>
        <w:t xml:space="preserve"> </w:t>
      </w:r>
      <w:r w:rsidRPr="00EE44A1">
        <w:rPr>
          <w:rFonts w:ascii="Arial" w:eastAsia="Aptos" w:hAnsi="Arial" w:cs="Arial"/>
          <w:kern w:val="2"/>
          <w:sz w:val="20"/>
          <w:szCs w:val="20"/>
          <w:lang w:val="en-IN"/>
        </w:rPr>
        <w:t xml:space="preserve">emphasized that early detection of furcation involvement in mandibular molars can result in a more </w:t>
      </w:r>
      <w:proofErr w:type="spellStart"/>
      <w:r w:rsidRPr="00EE44A1">
        <w:rPr>
          <w:rFonts w:ascii="Arial" w:eastAsia="Aptos" w:hAnsi="Arial" w:cs="Arial"/>
          <w:kern w:val="2"/>
          <w:sz w:val="20"/>
          <w:szCs w:val="20"/>
          <w:lang w:val="en-IN"/>
        </w:rPr>
        <w:t>favorable</w:t>
      </w:r>
      <w:proofErr w:type="spellEnd"/>
      <w:r w:rsidRPr="00EE44A1">
        <w:rPr>
          <w:rFonts w:ascii="Arial" w:eastAsia="Aptos" w:hAnsi="Arial" w:cs="Arial"/>
          <w:kern w:val="2"/>
          <w:sz w:val="20"/>
          <w:szCs w:val="20"/>
          <w:lang w:val="en-IN"/>
        </w:rPr>
        <w:t xml:space="preserve"> prognosis, provided appropriate periodontal therapy is instituted. The early identification in the present case contributed to timely management and improved treatment predictability.</w:t>
      </w:r>
    </w:p>
    <w:p w14:paraId="0855B786"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5B6E3598" w14:textId="5E9EC365"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Miron </w:t>
      </w:r>
      <w:r w:rsidRPr="00EE44A1">
        <w:rPr>
          <w:rFonts w:ascii="Arial" w:eastAsia="Aptos" w:hAnsi="Arial" w:cs="Arial"/>
          <w:i/>
          <w:iCs/>
          <w:kern w:val="2"/>
          <w:sz w:val="20"/>
          <w:szCs w:val="20"/>
          <w:lang w:val="en-IN"/>
        </w:rPr>
        <w:t>et al.</w:t>
      </w:r>
      <w:r w:rsidRPr="00EE44A1">
        <w:rPr>
          <w:rFonts w:ascii="Arial" w:eastAsia="Aptos" w:hAnsi="Arial" w:cs="Arial"/>
          <w:kern w:val="2"/>
          <w:sz w:val="20"/>
          <w:szCs w:val="20"/>
          <w:lang w:val="en-IN"/>
        </w:rPr>
        <w:t xml:space="preserve"> </w:t>
      </w:r>
      <w:r w:rsidR="00FE5D5E">
        <w:rPr>
          <w:rFonts w:ascii="Arial" w:eastAsia="Aptos" w:hAnsi="Arial" w:cs="Arial"/>
          <w:kern w:val="2"/>
          <w:sz w:val="20"/>
          <w:szCs w:val="20"/>
          <w:lang w:val="en-IN"/>
        </w:rPr>
        <w:t>(</w:t>
      </w:r>
      <w:r w:rsidR="00FE5D5E" w:rsidRPr="00FE5D5E">
        <w:rPr>
          <w:rFonts w:ascii="Arial" w:eastAsia="Aptos" w:hAnsi="Arial" w:cs="Arial"/>
          <w:kern w:val="2"/>
          <w:sz w:val="20"/>
          <w:szCs w:val="20"/>
        </w:rPr>
        <w:t>2024)</w:t>
      </w:r>
      <w:r w:rsidR="00FE5D5E">
        <w:rPr>
          <w:rFonts w:ascii="Arial" w:eastAsia="Aptos" w:hAnsi="Arial" w:cs="Arial"/>
          <w:kern w:val="2"/>
          <w:sz w:val="20"/>
          <w:szCs w:val="20"/>
        </w:rPr>
        <w:t xml:space="preserve"> </w:t>
      </w:r>
      <w:r w:rsidRPr="00EE44A1">
        <w:rPr>
          <w:rFonts w:ascii="Arial" w:eastAsia="Aptos" w:hAnsi="Arial" w:cs="Arial"/>
          <w:kern w:val="2"/>
          <w:sz w:val="20"/>
          <w:szCs w:val="20"/>
          <w:lang w:val="en-IN"/>
        </w:rPr>
        <w:t>Conducted a systematic review and meta-analysis showing that the use of platelet-rich fibrin (PRF) significantly improves clinical outcomes (PPD reduction, attachment gain) in Class II furcation defects when compared to open flap debridement, and that PRF combined with bone grafts or membranes may offer additional benefits.</w:t>
      </w:r>
    </w:p>
    <w:p w14:paraId="2E0ADE9D"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720AF111" w14:textId="19730B4F"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Jepsen</w:t>
      </w:r>
      <w:r w:rsidRPr="00EE44A1">
        <w:rPr>
          <w:rFonts w:ascii="Arial" w:eastAsia="Aptos" w:hAnsi="Arial" w:cs="Arial"/>
          <w:i/>
          <w:iCs/>
          <w:kern w:val="2"/>
          <w:sz w:val="20"/>
          <w:szCs w:val="20"/>
          <w:lang w:val="en-IN"/>
        </w:rPr>
        <w:t xml:space="preserve"> et al.</w:t>
      </w:r>
      <w:r w:rsidRPr="00EE44A1">
        <w:rPr>
          <w:rFonts w:ascii="Arial" w:eastAsia="Aptos" w:hAnsi="Arial" w:cs="Arial"/>
          <w:kern w:val="2"/>
          <w:sz w:val="20"/>
          <w:szCs w:val="20"/>
          <w:lang w:val="en-IN"/>
        </w:rPr>
        <w:t xml:space="preserve"> </w:t>
      </w:r>
      <w:r w:rsidR="00FE5D5E">
        <w:rPr>
          <w:rFonts w:ascii="Arial" w:eastAsia="Aptos" w:hAnsi="Arial" w:cs="Arial"/>
          <w:kern w:val="2"/>
          <w:sz w:val="20"/>
          <w:szCs w:val="20"/>
          <w:lang w:val="en-IN"/>
        </w:rPr>
        <w:t>(</w:t>
      </w:r>
      <w:r w:rsidR="00FE5D5E" w:rsidRPr="00FE5D5E">
        <w:rPr>
          <w:rFonts w:ascii="Arial" w:eastAsia="Aptos" w:hAnsi="Arial" w:cs="Arial"/>
          <w:kern w:val="2"/>
          <w:sz w:val="20"/>
          <w:szCs w:val="20"/>
        </w:rPr>
        <w:t>2020)</w:t>
      </w:r>
      <w:r w:rsidR="00FE5D5E">
        <w:rPr>
          <w:rFonts w:ascii="Arial" w:eastAsia="Aptos" w:hAnsi="Arial" w:cs="Arial"/>
          <w:kern w:val="2"/>
          <w:sz w:val="20"/>
          <w:szCs w:val="20"/>
        </w:rPr>
        <w:t xml:space="preserve"> </w:t>
      </w:r>
      <w:r w:rsidRPr="00EE44A1">
        <w:rPr>
          <w:rFonts w:ascii="Arial" w:eastAsia="Aptos" w:hAnsi="Arial" w:cs="Arial"/>
          <w:kern w:val="2"/>
          <w:sz w:val="20"/>
          <w:szCs w:val="20"/>
          <w:lang w:val="en-IN"/>
        </w:rPr>
        <w:t>Concluded that regenerative therapy provides superior clinical outcomes compared to open flap debridement alone in Class II furcation defects.</w:t>
      </w:r>
    </w:p>
    <w:p w14:paraId="28CF16AF"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2BA5F4A4" w14:textId="7839FB1D"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Georgiou </w:t>
      </w:r>
      <w:r w:rsidRPr="00EE44A1">
        <w:rPr>
          <w:rFonts w:ascii="Arial" w:eastAsia="Aptos" w:hAnsi="Arial" w:cs="Arial"/>
          <w:i/>
          <w:iCs/>
          <w:kern w:val="2"/>
          <w:sz w:val="20"/>
          <w:szCs w:val="20"/>
          <w:lang w:val="en-IN"/>
        </w:rPr>
        <w:t>et al</w:t>
      </w:r>
      <w:r w:rsidRPr="00FE5D5E">
        <w:rPr>
          <w:rFonts w:ascii="Arial" w:eastAsia="Aptos" w:hAnsi="Arial" w:cs="Arial"/>
          <w:kern w:val="2"/>
          <w:sz w:val="20"/>
          <w:szCs w:val="20"/>
          <w:lang w:val="en-IN"/>
        </w:rPr>
        <w:t xml:space="preserve">. </w:t>
      </w:r>
      <w:r w:rsidR="00FE5D5E" w:rsidRPr="00FE5D5E">
        <w:rPr>
          <w:rFonts w:ascii="Arial" w:eastAsia="Aptos" w:hAnsi="Arial" w:cs="Arial"/>
          <w:kern w:val="2"/>
          <w:sz w:val="20"/>
          <w:szCs w:val="20"/>
          <w:lang w:val="en-IN"/>
        </w:rPr>
        <w:t>(</w:t>
      </w:r>
      <w:r w:rsidR="00FE5D5E" w:rsidRPr="00FE5D5E">
        <w:rPr>
          <w:rFonts w:ascii="Arial" w:eastAsia="Aptos" w:hAnsi="Arial" w:cs="Arial"/>
          <w:kern w:val="2"/>
          <w:sz w:val="20"/>
          <w:szCs w:val="20"/>
        </w:rPr>
        <w:t xml:space="preserve">2022) </w:t>
      </w:r>
      <w:r w:rsidRPr="00FE5D5E">
        <w:rPr>
          <w:rFonts w:ascii="Arial" w:eastAsia="Aptos" w:hAnsi="Arial" w:cs="Arial"/>
          <w:kern w:val="2"/>
          <w:sz w:val="20"/>
          <w:szCs w:val="20"/>
          <w:lang w:val="en-IN"/>
        </w:rPr>
        <w:t>P</w:t>
      </w:r>
      <w:r w:rsidRPr="00EE44A1">
        <w:rPr>
          <w:rFonts w:ascii="Arial" w:eastAsia="Aptos" w:hAnsi="Arial" w:cs="Arial"/>
          <w:kern w:val="2"/>
          <w:sz w:val="20"/>
          <w:szCs w:val="20"/>
          <w:lang w:val="en-IN"/>
        </w:rPr>
        <w:t xml:space="preserve">rovides a summary of clinical evidence showing mild to moderate clinical improvement with the use of regenerative materials (bone grafts, membranes, blood derivatives) in furcation treatment compared to OFD alone. </w:t>
      </w:r>
    </w:p>
    <w:p w14:paraId="18A712D8"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5C8AA516" w14:textId="75894AB6"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Sharma</w:t>
      </w:r>
      <w:r w:rsidRPr="00EE44A1">
        <w:rPr>
          <w:rFonts w:ascii="Arial" w:eastAsia="Aptos" w:hAnsi="Arial" w:cs="Arial"/>
          <w:i/>
          <w:iCs/>
          <w:kern w:val="2"/>
          <w:sz w:val="20"/>
          <w:szCs w:val="20"/>
          <w:lang w:val="en-IN"/>
        </w:rPr>
        <w:t xml:space="preserve"> et al.</w:t>
      </w:r>
      <w:r w:rsidR="00FE5D5E">
        <w:rPr>
          <w:rFonts w:ascii="Arial" w:eastAsia="Aptos" w:hAnsi="Arial" w:cs="Arial"/>
          <w:kern w:val="2"/>
          <w:sz w:val="20"/>
          <w:szCs w:val="20"/>
          <w:lang w:val="en-IN"/>
        </w:rPr>
        <w:t xml:space="preserve"> (</w:t>
      </w:r>
      <w:r w:rsidR="00FE5D5E" w:rsidRPr="00FE5D5E">
        <w:rPr>
          <w:rFonts w:ascii="Arial" w:eastAsia="Aptos" w:hAnsi="Arial" w:cs="Arial"/>
          <w:kern w:val="2"/>
          <w:sz w:val="20"/>
          <w:szCs w:val="20"/>
        </w:rPr>
        <w:t>2011)</w:t>
      </w:r>
      <w:r w:rsidR="00FE5D5E">
        <w:rPr>
          <w:rFonts w:ascii="Arial" w:eastAsia="Aptos" w:hAnsi="Arial" w:cs="Arial"/>
          <w:kern w:val="2"/>
          <w:sz w:val="20"/>
          <w:szCs w:val="20"/>
        </w:rPr>
        <w:t xml:space="preserve"> </w:t>
      </w:r>
      <w:r w:rsidRPr="00EE44A1">
        <w:rPr>
          <w:rFonts w:ascii="Arial" w:eastAsia="Aptos" w:hAnsi="Arial" w:cs="Arial"/>
          <w:kern w:val="2"/>
          <w:sz w:val="20"/>
          <w:szCs w:val="20"/>
          <w:lang w:val="en-IN"/>
        </w:rPr>
        <w:t>Demonstrates enhanced periodontal healing and bone fill when PRF is used in Class II furcation defects as a grafting material or in combination with membranes. PRF acts as an autologous scaffold with growth factors that support wound healing and neovascularization.</w:t>
      </w:r>
    </w:p>
    <w:p w14:paraId="4DEC14CF"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74E71E8A"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Overall, these findings demonstrate that successful management of furcation-involved molars requires a comprehensive understanding of root trunk length, inter-root morphology, and surface characteristics to tailor periodontal treatment effectively.</w:t>
      </w:r>
    </w:p>
    <w:p w14:paraId="618B9010"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4222A070" w14:textId="1BE8C45F" w:rsidR="00EE44A1" w:rsidRPr="00EE44A1" w:rsidRDefault="00FE5D5E" w:rsidP="00EE44A1">
      <w:pPr>
        <w:spacing w:after="0" w:line="240" w:lineRule="auto"/>
        <w:contextualSpacing/>
        <w:jc w:val="both"/>
        <w:rPr>
          <w:rFonts w:ascii="Arial" w:eastAsia="Aptos" w:hAnsi="Arial" w:cs="Arial"/>
          <w:b/>
          <w:bCs/>
          <w:kern w:val="2"/>
          <w:lang w:val="en-IN"/>
        </w:rPr>
      </w:pPr>
      <w:r>
        <w:rPr>
          <w:rFonts w:ascii="Arial" w:eastAsia="Aptos" w:hAnsi="Arial" w:cs="Arial"/>
          <w:b/>
          <w:bCs/>
          <w:kern w:val="2"/>
          <w:lang w:val="en-IN"/>
        </w:rPr>
        <w:t xml:space="preserve">4. </w:t>
      </w:r>
      <w:r w:rsidR="00EE44A1" w:rsidRPr="00EE44A1">
        <w:rPr>
          <w:rFonts w:ascii="Arial" w:eastAsia="Aptos" w:hAnsi="Arial" w:cs="Arial"/>
          <w:b/>
          <w:bCs/>
          <w:kern w:val="2"/>
          <w:lang w:val="en-IN"/>
        </w:rPr>
        <w:t>Conclusion</w:t>
      </w:r>
    </w:p>
    <w:p w14:paraId="4571AE5F"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353B4981"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r w:rsidRPr="00EE44A1">
        <w:rPr>
          <w:rFonts w:ascii="Arial" w:eastAsia="Aptos" w:hAnsi="Arial" w:cs="Arial"/>
          <w:kern w:val="2"/>
          <w:sz w:val="20"/>
          <w:szCs w:val="20"/>
          <w:lang w:val="en-IN"/>
        </w:rPr>
        <w:t>Root morphology is a decisive determinant of periodontal disease progression, diagnostic accuracy, and therapeutic success. Anatomical variations such as root trunk length, furcation anatomy, and root surface characteristics profoundly influence plaque retention and accessibility for periodontal instrumentation. Comprehensive evaluation of root morphology should form an integral part of periodontal diagnosis and treatment planning. An individualized, morphology-based approach enhances treatment outcomes and contributes to long-term tooth presentation.</w:t>
      </w:r>
    </w:p>
    <w:p w14:paraId="3E7FAF48"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1DD5E228" w14:textId="3A49FEBD" w:rsidR="00EE44A1" w:rsidRPr="00EE44A1" w:rsidRDefault="00EE44A1" w:rsidP="00EE44A1">
      <w:pPr>
        <w:spacing w:after="0" w:line="240" w:lineRule="auto"/>
        <w:contextualSpacing/>
        <w:jc w:val="both"/>
        <w:rPr>
          <w:rFonts w:ascii="Arial" w:eastAsia="Aptos" w:hAnsi="Arial" w:cs="Arial"/>
          <w:bCs/>
          <w:kern w:val="2"/>
          <w:sz w:val="20"/>
          <w:szCs w:val="20"/>
        </w:rPr>
      </w:pPr>
      <w:r w:rsidRPr="00EE44A1">
        <w:rPr>
          <w:rFonts w:ascii="Arial" w:eastAsia="Aptos" w:hAnsi="Arial" w:cs="Arial"/>
          <w:bCs/>
          <w:kern w:val="2"/>
          <w:sz w:val="20"/>
          <w:szCs w:val="20"/>
        </w:rPr>
        <w:t>.</w:t>
      </w:r>
    </w:p>
    <w:p w14:paraId="3151CDE2" w14:textId="53DBA214" w:rsidR="00EE44A1" w:rsidRPr="00B04341" w:rsidRDefault="00B04341" w:rsidP="00EE44A1">
      <w:pPr>
        <w:spacing w:after="0" w:line="240" w:lineRule="auto"/>
        <w:contextualSpacing/>
        <w:jc w:val="both"/>
        <w:rPr>
          <w:rFonts w:ascii="Arial" w:eastAsia="Aptos" w:hAnsi="Arial" w:cs="Arial"/>
          <w:b/>
          <w:bCs/>
          <w:kern w:val="2"/>
          <w:sz w:val="20"/>
          <w:szCs w:val="20"/>
        </w:rPr>
      </w:pPr>
      <w:r w:rsidRPr="00B04341">
        <w:rPr>
          <w:rFonts w:ascii="Arial" w:eastAsia="Aptos" w:hAnsi="Arial" w:cs="Arial"/>
          <w:b/>
          <w:bCs/>
          <w:kern w:val="2"/>
          <w:sz w:val="20"/>
          <w:szCs w:val="20"/>
        </w:rPr>
        <w:t>Consent</w:t>
      </w:r>
    </w:p>
    <w:p w14:paraId="77098BB5" w14:textId="77777777" w:rsidR="00EE44A1" w:rsidRPr="00EE44A1" w:rsidRDefault="00EE44A1" w:rsidP="00EE44A1">
      <w:pPr>
        <w:spacing w:after="0" w:line="240" w:lineRule="auto"/>
        <w:contextualSpacing/>
        <w:jc w:val="both"/>
        <w:rPr>
          <w:rFonts w:ascii="Arial" w:eastAsia="Times New Roman" w:hAnsi="Arial" w:cs="Arial"/>
          <w:sz w:val="20"/>
          <w:szCs w:val="20"/>
          <w:lang w:val="en-IN" w:eastAsia="en-IN"/>
        </w:rPr>
      </w:pPr>
    </w:p>
    <w:p w14:paraId="10A0B9D1" w14:textId="77777777" w:rsidR="0031464D" w:rsidRDefault="00EE44A1" w:rsidP="00EE44A1">
      <w:pPr>
        <w:spacing w:after="0" w:line="240" w:lineRule="auto"/>
        <w:contextualSpacing/>
        <w:jc w:val="both"/>
        <w:rPr>
          <w:rFonts w:ascii="Arial" w:eastAsia="Times New Roman" w:hAnsi="Arial" w:cs="Arial"/>
          <w:sz w:val="20"/>
          <w:szCs w:val="20"/>
          <w:lang w:val="en-IN" w:eastAsia="en-IN"/>
        </w:rPr>
      </w:pPr>
      <w:r w:rsidRPr="00EE44A1">
        <w:rPr>
          <w:rFonts w:ascii="Arial" w:eastAsia="Times New Roman" w:hAnsi="Arial" w:cs="Arial"/>
          <w:sz w:val="20"/>
          <w:szCs w:val="20"/>
          <w:lang w:val="en-IN" w:eastAsia="en-IN"/>
        </w:rPr>
        <w:t xml:space="preserve">Written informed consent was obtained from all patients (and from the legal guardian in the case of the minor patient) prior to treatment and for the use of clinical data and photographs for publication purposes. </w:t>
      </w:r>
    </w:p>
    <w:p w14:paraId="3BBA62FE" w14:textId="77777777" w:rsidR="0031464D" w:rsidRDefault="0031464D" w:rsidP="00EE44A1">
      <w:pPr>
        <w:spacing w:after="0" w:line="240" w:lineRule="auto"/>
        <w:contextualSpacing/>
        <w:jc w:val="both"/>
        <w:rPr>
          <w:rFonts w:ascii="Arial" w:eastAsia="Times New Roman" w:hAnsi="Arial" w:cs="Arial"/>
          <w:sz w:val="20"/>
          <w:szCs w:val="20"/>
          <w:lang w:val="en-IN" w:eastAsia="en-IN"/>
        </w:rPr>
      </w:pPr>
    </w:p>
    <w:p w14:paraId="2750D17A" w14:textId="77777777" w:rsidR="0031464D" w:rsidRDefault="0031464D" w:rsidP="00EE44A1">
      <w:pPr>
        <w:spacing w:after="0" w:line="240" w:lineRule="auto"/>
        <w:contextualSpacing/>
        <w:jc w:val="both"/>
        <w:rPr>
          <w:rFonts w:ascii="Arial" w:eastAsia="Times New Roman" w:hAnsi="Arial" w:cs="Arial"/>
          <w:sz w:val="20"/>
          <w:szCs w:val="20"/>
          <w:lang w:val="en-IN" w:eastAsia="en-IN"/>
        </w:rPr>
      </w:pPr>
    </w:p>
    <w:p w14:paraId="0C29A9D4" w14:textId="5E088010" w:rsidR="0031464D" w:rsidRDefault="0031464D" w:rsidP="00EE44A1">
      <w:pPr>
        <w:spacing w:after="0" w:line="240" w:lineRule="auto"/>
        <w:contextualSpacing/>
        <w:jc w:val="both"/>
        <w:rPr>
          <w:rFonts w:ascii="Arial" w:eastAsia="Times New Roman" w:hAnsi="Arial" w:cs="Arial"/>
          <w:sz w:val="20"/>
          <w:szCs w:val="20"/>
          <w:lang w:val="en-IN" w:eastAsia="en-IN"/>
        </w:rPr>
      </w:pPr>
      <w:r w:rsidRPr="0031464D">
        <w:rPr>
          <w:rFonts w:ascii="Arial" w:eastAsia="Times New Roman" w:hAnsi="Arial" w:cs="Arial"/>
          <w:sz w:val="20"/>
          <w:szCs w:val="20"/>
          <w:lang w:val="en-IN" w:eastAsia="en-IN"/>
        </w:rPr>
        <w:t xml:space="preserve">Ethical </w:t>
      </w:r>
      <w:r>
        <w:rPr>
          <w:rFonts w:ascii="Arial" w:eastAsia="Times New Roman" w:hAnsi="Arial" w:cs="Arial"/>
          <w:sz w:val="20"/>
          <w:szCs w:val="20"/>
          <w:lang w:val="en-IN" w:eastAsia="en-IN"/>
        </w:rPr>
        <w:t>Approval</w:t>
      </w:r>
    </w:p>
    <w:p w14:paraId="2AC25EC6" w14:textId="77777777" w:rsidR="0031464D" w:rsidRDefault="0031464D" w:rsidP="00EE44A1">
      <w:pPr>
        <w:spacing w:after="0" w:line="240" w:lineRule="auto"/>
        <w:contextualSpacing/>
        <w:jc w:val="both"/>
        <w:rPr>
          <w:rFonts w:ascii="Arial" w:eastAsia="Times New Roman" w:hAnsi="Arial" w:cs="Arial"/>
          <w:sz w:val="20"/>
          <w:szCs w:val="20"/>
          <w:lang w:val="en-IN" w:eastAsia="en-IN"/>
        </w:rPr>
      </w:pPr>
    </w:p>
    <w:p w14:paraId="44419CB5" w14:textId="62810F02" w:rsidR="00EE44A1" w:rsidRPr="00EE44A1" w:rsidRDefault="00EE44A1" w:rsidP="00EE44A1">
      <w:pPr>
        <w:spacing w:after="0" w:line="240" w:lineRule="auto"/>
        <w:contextualSpacing/>
        <w:jc w:val="both"/>
        <w:rPr>
          <w:rFonts w:ascii="Arial" w:eastAsia="Times New Roman" w:hAnsi="Arial" w:cs="Arial"/>
          <w:sz w:val="20"/>
          <w:szCs w:val="20"/>
          <w:lang w:val="en-IN" w:eastAsia="en-IN"/>
        </w:rPr>
      </w:pPr>
      <w:r w:rsidRPr="00EE44A1">
        <w:rPr>
          <w:rFonts w:ascii="Arial" w:eastAsia="Times New Roman" w:hAnsi="Arial" w:cs="Arial"/>
          <w:sz w:val="20"/>
          <w:szCs w:val="20"/>
          <w:lang w:val="en-IN" w:eastAsia="en-IN"/>
        </w:rPr>
        <w:t>The study was conducted in accordance with the ethical principles outlined in the Declaration of Helsinki. This case series has been prepared in compliance with the CARE Guidelines for case reporting.</w:t>
      </w:r>
    </w:p>
    <w:p w14:paraId="2425B2A2" w14:textId="7330A840" w:rsidR="00EE44A1" w:rsidRDefault="00EE44A1" w:rsidP="00EE44A1">
      <w:pPr>
        <w:spacing w:after="0" w:line="240" w:lineRule="auto"/>
        <w:contextualSpacing/>
        <w:jc w:val="both"/>
        <w:rPr>
          <w:rFonts w:ascii="Arial" w:eastAsia="Aptos" w:hAnsi="Arial" w:cs="Arial"/>
          <w:kern w:val="2"/>
          <w:sz w:val="20"/>
          <w:szCs w:val="20"/>
          <w:lang w:val="en-IN"/>
        </w:rPr>
      </w:pPr>
    </w:p>
    <w:p w14:paraId="2CB3A1DA" w14:textId="0254F2C1" w:rsidR="00E36897" w:rsidRDefault="00E36897" w:rsidP="00EE44A1">
      <w:pPr>
        <w:spacing w:after="0" w:line="240" w:lineRule="auto"/>
        <w:contextualSpacing/>
        <w:jc w:val="both"/>
        <w:rPr>
          <w:rFonts w:ascii="Arial" w:eastAsia="Aptos" w:hAnsi="Arial" w:cs="Arial"/>
          <w:kern w:val="2"/>
          <w:sz w:val="20"/>
          <w:szCs w:val="20"/>
          <w:lang w:val="en-IN"/>
        </w:rPr>
      </w:pPr>
    </w:p>
    <w:p w14:paraId="0FF17F54" w14:textId="3EAE693F" w:rsidR="00E36897" w:rsidRDefault="00E36897" w:rsidP="00EE44A1">
      <w:pPr>
        <w:spacing w:after="0" w:line="240" w:lineRule="auto"/>
        <w:contextualSpacing/>
        <w:jc w:val="both"/>
        <w:rPr>
          <w:rFonts w:ascii="Arial" w:eastAsia="Aptos" w:hAnsi="Arial" w:cs="Arial"/>
          <w:kern w:val="2"/>
          <w:sz w:val="20"/>
          <w:szCs w:val="20"/>
          <w:lang w:val="en-IN"/>
        </w:rPr>
      </w:pPr>
    </w:p>
    <w:p w14:paraId="43FD9317" w14:textId="77777777" w:rsidR="00E36897" w:rsidRPr="00E36897" w:rsidRDefault="00E36897" w:rsidP="00E36897">
      <w:pPr>
        <w:spacing w:after="0" w:line="240" w:lineRule="auto"/>
        <w:contextualSpacing/>
        <w:jc w:val="both"/>
        <w:rPr>
          <w:rFonts w:ascii="Arial" w:eastAsia="Aptos" w:hAnsi="Arial" w:cs="Arial"/>
          <w:kern w:val="2"/>
          <w:sz w:val="20"/>
          <w:szCs w:val="20"/>
          <w:lang w:val="en-IN"/>
        </w:rPr>
      </w:pPr>
      <w:r w:rsidRPr="00E36897">
        <w:rPr>
          <w:rFonts w:ascii="Arial" w:eastAsia="Aptos" w:hAnsi="Arial" w:cs="Arial"/>
          <w:kern w:val="2"/>
          <w:sz w:val="20"/>
          <w:szCs w:val="20"/>
          <w:lang w:val="en-IN"/>
        </w:rPr>
        <w:t>Competing Interests</w:t>
      </w:r>
    </w:p>
    <w:p w14:paraId="7200A22F" w14:textId="77777777" w:rsidR="00E36897" w:rsidRPr="00E36897" w:rsidRDefault="00E36897" w:rsidP="00E36897">
      <w:pPr>
        <w:spacing w:after="0" w:line="240" w:lineRule="auto"/>
        <w:contextualSpacing/>
        <w:jc w:val="both"/>
        <w:rPr>
          <w:rFonts w:ascii="Arial" w:eastAsia="Aptos" w:hAnsi="Arial" w:cs="Arial"/>
          <w:kern w:val="2"/>
          <w:sz w:val="20"/>
          <w:szCs w:val="20"/>
          <w:lang w:val="en-IN"/>
        </w:rPr>
      </w:pPr>
    </w:p>
    <w:p w14:paraId="44087B6A" w14:textId="408B4407" w:rsidR="00E36897" w:rsidRDefault="00E36897" w:rsidP="00E36897">
      <w:pPr>
        <w:spacing w:after="0" w:line="240" w:lineRule="auto"/>
        <w:contextualSpacing/>
        <w:jc w:val="both"/>
        <w:rPr>
          <w:rFonts w:ascii="Arial" w:eastAsia="Aptos" w:hAnsi="Arial" w:cs="Arial"/>
          <w:kern w:val="2"/>
          <w:sz w:val="20"/>
          <w:szCs w:val="20"/>
          <w:lang w:val="en-IN"/>
        </w:rPr>
      </w:pPr>
      <w:r w:rsidRPr="00E36897">
        <w:rPr>
          <w:rFonts w:ascii="Arial" w:eastAsia="Aptos" w:hAnsi="Arial" w:cs="Arial"/>
          <w:kern w:val="2"/>
          <w:sz w:val="20"/>
          <w:szCs w:val="20"/>
          <w:lang w:val="en-IN"/>
        </w:rPr>
        <w:t>Authors have declared that no competing interests exist.</w:t>
      </w:r>
    </w:p>
    <w:p w14:paraId="39BD8D6C" w14:textId="77777777" w:rsidR="00E36897" w:rsidRPr="00EE44A1" w:rsidRDefault="00E36897" w:rsidP="00E36897">
      <w:pPr>
        <w:spacing w:after="0" w:line="240" w:lineRule="auto"/>
        <w:contextualSpacing/>
        <w:jc w:val="both"/>
        <w:rPr>
          <w:rFonts w:ascii="Arial" w:eastAsia="Aptos" w:hAnsi="Arial" w:cs="Arial"/>
          <w:kern w:val="2"/>
          <w:sz w:val="20"/>
          <w:szCs w:val="20"/>
          <w:lang w:val="en-IN"/>
        </w:rPr>
      </w:pPr>
    </w:p>
    <w:p w14:paraId="5542B363" w14:textId="77777777" w:rsidR="00EE44A1" w:rsidRPr="00EE44A1" w:rsidRDefault="00EE44A1" w:rsidP="00EE44A1">
      <w:pPr>
        <w:spacing w:after="0" w:line="240" w:lineRule="auto"/>
        <w:jc w:val="both"/>
        <w:rPr>
          <w:rFonts w:ascii="Arial" w:eastAsia="Calibri" w:hAnsi="Arial" w:cs="Arial"/>
          <w:b/>
          <w:bCs/>
          <w:kern w:val="2"/>
        </w:rPr>
      </w:pPr>
      <w:r w:rsidRPr="00EE44A1">
        <w:rPr>
          <w:rFonts w:ascii="Arial" w:eastAsia="Calibri" w:hAnsi="Arial" w:cs="Arial"/>
          <w:b/>
          <w:bCs/>
          <w:kern w:val="2"/>
        </w:rPr>
        <w:t>Disclaimer (Artificial Intelligence)</w:t>
      </w:r>
    </w:p>
    <w:p w14:paraId="7AE8C231" w14:textId="77777777" w:rsidR="00EE44A1" w:rsidRPr="00EE44A1" w:rsidRDefault="00EE44A1" w:rsidP="00EE44A1">
      <w:pPr>
        <w:spacing w:after="0" w:line="240" w:lineRule="auto"/>
        <w:jc w:val="both"/>
        <w:rPr>
          <w:rFonts w:ascii="Arial" w:eastAsia="Calibri" w:hAnsi="Arial" w:cs="Arial"/>
          <w:b/>
          <w:bCs/>
          <w:kern w:val="2"/>
          <w:sz w:val="20"/>
          <w:szCs w:val="20"/>
        </w:rPr>
      </w:pPr>
    </w:p>
    <w:p w14:paraId="4E6EBADA" w14:textId="77777777" w:rsidR="00EE44A1" w:rsidRPr="00EE44A1" w:rsidRDefault="00EE44A1" w:rsidP="00EE44A1">
      <w:pPr>
        <w:spacing w:after="0" w:line="240" w:lineRule="auto"/>
        <w:jc w:val="both"/>
        <w:rPr>
          <w:rFonts w:ascii="Arial" w:eastAsia="Calibri" w:hAnsi="Arial" w:cs="Arial"/>
          <w:kern w:val="2"/>
          <w:sz w:val="20"/>
          <w:szCs w:val="20"/>
        </w:rPr>
      </w:pPr>
      <w:r w:rsidRPr="00EE44A1">
        <w:rPr>
          <w:rFonts w:ascii="Arial" w:eastAsia="Calibri" w:hAnsi="Arial" w:cs="Arial"/>
          <w:kern w:val="2"/>
          <w:sz w:val="20"/>
          <w:szCs w:val="20"/>
        </w:rPr>
        <w:t>Author(s) hereby declare that NO generative AI technologies such as Large Language Models (</w:t>
      </w:r>
      <w:proofErr w:type="spellStart"/>
      <w:r w:rsidRPr="00EE44A1">
        <w:rPr>
          <w:rFonts w:ascii="Arial" w:eastAsia="Calibri" w:hAnsi="Arial" w:cs="Arial"/>
          <w:kern w:val="2"/>
          <w:sz w:val="20"/>
          <w:szCs w:val="20"/>
        </w:rPr>
        <w:t>ChatGPT</w:t>
      </w:r>
      <w:proofErr w:type="spellEnd"/>
      <w:r w:rsidRPr="00EE44A1">
        <w:rPr>
          <w:rFonts w:ascii="Arial" w:eastAsia="Calibri" w:hAnsi="Arial" w:cs="Arial"/>
          <w:kern w:val="2"/>
          <w:sz w:val="20"/>
          <w:szCs w:val="20"/>
        </w:rPr>
        <w:t xml:space="preserve">, COPILOT, </w:t>
      </w:r>
      <w:proofErr w:type="spellStart"/>
      <w:r w:rsidRPr="00EE44A1">
        <w:rPr>
          <w:rFonts w:ascii="Arial" w:eastAsia="Calibri" w:hAnsi="Arial" w:cs="Arial"/>
          <w:kern w:val="2"/>
          <w:sz w:val="20"/>
          <w:szCs w:val="20"/>
        </w:rPr>
        <w:t>etc</w:t>
      </w:r>
      <w:proofErr w:type="spellEnd"/>
      <w:r w:rsidRPr="00EE44A1">
        <w:rPr>
          <w:rFonts w:ascii="Arial" w:eastAsia="Calibri" w:hAnsi="Arial" w:cs="Arial"/>
          <w:kern w:val="2"/>
          <w:sz w:val="20"/>
          <w:szCs w:val="20"/>
        </w:rPr>
        <w:t xml:space="preserve">) and text-to-image generators have been used during writing or editing of this manuscript. </w:t>
      </w:r>
    </w:p>
    <w:p w14:paraId="09030A26" w14:textId="77777777" w:rsidR="00EE44A1" w:rsidRPr="00EE44A1" w:rsidRDefault="00EE44A1" w:rsidP="00EE44A1">
      <w:pPr>
        <w:spacing w:after="0" w:line="240" w:lineRule="auto"/>
        <w:jc w:val="both"/>
        <w:rPr>
          <w:rFonts w:ascii="Arial" w:eastAsia="Calibri" w:hAnsi="Arial" w:cs="Arial"/>
          <w:kern w:val="2"/>
          <w:sz w:val="20"/>
          <w:szCs w:val="20"/>
        </w:rPr>
      </w:pPr>
    </w:p>
    <w:p w14:paraId="03AE0895" w14:textId="77777777" w:rsidR="00EE44A1" w:rsidRPr="00EE44A1" w:rsidRDefault="00EE44A1" w:rsidP="00EE44A1">
      <w:pPr>
        <w:spacing w:after="0" w:line="240" w:lineRule="auto"/>
        <w:contextualSpacing/>
        <w:jc w:val="both"/>
        <w:rPr>
          <w:rFonts w:ascii="Arial" w:eastAsia="Aptos" w:hAnsi="Arial" w:cs="Arial"/>
          <w:kern w:val="2"/>
          <w:sz w:val="20"/>
          <w:szCs w:val="20"/>
        </w:rPr>
      </w:pPr>
    </w:p>
    <w:p w14:paraId="468BF06E" w14:textId="77777777" w:rsidR="00EE44A1" w:rsidRPr="00EE44A1" w:rsidRDefault="00EE44A1" w:rsidP="00EE44A1">
      <w:pPr>
        <w:spacing w:after="0" w:line="240" w:lineRule="auto"/>
        <w:contextualSpacing/>
        <w:jc w:val="both"/>
        <w:rPr>
          <w:rFonts w:ascii="Arial" w:eastAsia="Aptos" w:hAnsi="Arial" w:cs="Arial"/>
          <w:b/>
          <w:bCs/>
          <w:kern w:val="2"/>
          <w:lang w:val="en-IN"/>
        </w:rPr>
      </w:pPr>
      <w:r w:rsidRPr="00EE44A1">
        <w:rPr>
          <w:rFonts w:ascii="Arial" w:eastAsia="Aptos" w:hAnsi="Arial" w:cs="Arial"/>
          <w:b/>
          <w:bCs/>
          <w:kern w:val="2"/>
          <w:lang w:val="en-IN"/>
        </w:rPr>
        <w:t>References</w:t>
      </w:r>
    </w:p>
    <w:p w14:paraId="01937D90"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1244A960" w14:textId="7955FA24"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Al-Shammari, K. F., Kazor, C. E., &amp; Wang, H. L. (2001). Molar root anatomy and management of furcation defects. </w:t>
      </w:r>
      <w:r w:rsidRPr="00EE44A1">
        <w:rPr>
          <w:rFonts w:ascii="Arial" w:eastAsia="Aptos" w:hAnsi="Arial" w:cs="Arial"/>
          <w:i/>
          <w:iCs/>
          <w:kern w:val="2"/>
          <w:sz w:val="20"/>
          <w:szCs w:val="20"/>
          <w:lang w:val="en-IN"/>
        </w:rPr>
        <w:t>Journal of Clinical Periodontology</w:t>
      </w:r>
      <w:r w:rsidRPr="00EE44A1">
        <w:rPr>
          <w:rFonts w:ascii="Arial" w:eastAsia="Aptos" w:hAnsi="Arial" w:cs="Arial"/>
          <w:kern w:val="2"/>
          <w:sz w:val="20"/>
          <w:szCs w:val="20"/>
          <w:lang w:val="en-IN"/>
        </w:rPr>
        <w:t>, 28(8), 730–</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740.</w:t>
      </w:r>
    </w:p>
    <w:p w14:paraId="6F2273DB"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Bowers, G. M., Chadroff, B., Carnevale, R., et al. (1989). Histologic evaluation of new attachment apparatus formation in humans.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 60(12), 683–693.</w:t>
      </w:r>
    </w:p>
    <w:p w14:paraId="17C395CE"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Bowers, G. M., Schallhorn, R. G., McClain, P. K., Morrison, G. M., &amp; Morgan, R. (2003). Factors influencing the outcome of regenerative therapy in furcation defects.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 74(9), 1257–1268.</w:t>
      </w:r>
    </w:p>
    <w:p w14:paraId="4556B7A8"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Carranza, F. A., Newman, M. G., Takei, H. H., &amp; </w:t>
      </w:r>
      <w:proofErr w:type="spellStart"/>
      <w:r w:rsidRPr="00EE44A1">
        <w:rPr>
          <w:rFonts w:ascii="Arial" w:eastAsia="Aptos" w:hAnsi="Arial" w:cs="Arial"/>
          <w:kern w:val="2"/>
          <w:sz w:val="20"/>
          <w:szCs w:val="20"/>
          <w:lang w:val="en-IN"/>
        </w:rPr>
        <w:t>Klokkevold</w:t>
      </w:r>
      <w:proofErr w:type="spellEnd"/>
      <w:r w:rsidRPr="00EE44A1">
        <w:rPr>
          <w:rFonts w:ascii="Arial" w:eastAsia="Aptos" w:hAnsi="Arial" w:cs="Arial"/>
          <w:kern w:val="2"/>
          <w:sz w:val="20"/>
          <w:szCs w:val="20"/>
          <w:lang w:val="en-IN"/>
        </w:rPr>
        <w:t xml:space="preserve">, P. R. (2019). </w:t>
      </w:r>
      <w:r w:rsidRPr="00EE44A1">
        <w:rPr>
          <w:rFonts w:ascii="Arial" w:eastAsia="Aptos" w:hAnsi="Arial" w:cs="Arial"/>
          <w:i/>
          <w:iCs/>
          <w:kern w:val="2"/>
          <w:sz w:val="20"/>
          <w:szCs w:val="20"/>
          <w:lang w:val="en-IN"/>
        </w:rPr>
        <w:t>Carranza’s clinical periodontology</w:t>
      </w:r>
      <w:r w:rsidRPr="00EE44A1">
        <w:rPr>
          <w:rFonts w:ascii="Arial" w:eastAsia="Aptos" w:hAnsi="Arial" w:cs="Arial"/>
          <w:kern w:val="2"/>
          <w:sz w:val="20"/>
          <w:szCs w:val="20"/>
          <w:lang w:val="en-IN"/>
        </w:rPr>
        <w:t xml:space="preserve"> (13th ed.). Elsevier.</w:t>
      </w:r>
    </w:p>
    <w:p w14:paraId="2AD08E3C"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Chen, F., Liu, Q., Liu, X., Fang, Q., Zhou, B., Li, R., et al. (2024). Periodontitis was associated with mesial concavity of the maxillary first premolar: A cross-sectional study. </w:t>
      </w:r>
      <w:r w:rsidRPr="00EE44A1">
        <w:rPr>
          <w:rFonts w:ascii="Arial" w:eastAsia="Aptos" w:hAnsi="Arial" w:cs="Arial"/>
          <w:i/>
          <w:iCs/>
          <w:kern w:val="2"/>
          <w:sz w:val="20"/>
          <w:szCs w:val="20"/>
          <w:lang w:val="en-IN"/>
        </w:rPr>
        <w:t>Scientific Reports</w:t>
      </w:r>
      <w:r w:rsidRPr="00EE44A1">
        <w:rPr>
          <w:rFonts w:ascii="Arial" w:eastAsia="Aptos" w:hAnsi="Arial" w:cs="Arial"/>
          <w:kern w:val="2"/>
          <w:sz w:val="20"/>
          <w:szCs w:val="20"/>
          <w:lang w:val="en-IN"/>
        </w:rPr>
        <w:t>.</w:t>
      </w:r>
    </w:p>
    <w:p w14:paraId="1DED6459"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lastRenderedPageBreak/>
        <w:t xml:space="preserve">Dababneh, R., et al. (2011). Root trunk: Types and dimension and their influence on the diagnosis and treatment of periodontally involved first molars. </w:t>
      </w:r>
      <w:r w:rsidRPr="00EE44A1">
        <w:rPr>
          <w:rFonts w:ascii="Arial" w:eastAsia="Aptos" w:hAnsi="Arial" w:cs="Arial"/>
          <w:i/>
          <w:iCs/>
          <w:kern w:val="2"/>
          <w:sz w:val="20"/>
          <w:szCs w:val="20"/>
          <w:lang w:val="en-IN"/>
        </w:rPr>
        <w:t>Journal of the Royal Medical Services</w:t>
      </w:r>
      <w:r w:rsidRPr="00EE44A1">
        <w:rPr>
          <w:rFonts w:ascii="Arial" w:eastAsia="Aptos" w:hAnsi="Arial" w:cs="Arial"/>
          <w:kern w:val="2"/>
          <w:sz w:val="20"/>
          <w:szCs w:val="20"/>
          <w:lang w:val="en-IN"/>
        </w:rPr>
        <w:t>.</w:t>
      </w:r>
    </w:p>
    <w:p w14:paraId="372F67ED"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Georgiou, O. A., et al. (2022). Regenerative materials in the treatment of Class II furcation defects: An overview. </w:t>
      </w:r>
      <w:r w:rsidRPr="00EE44A1">
        <w:rPr>
          <w:rFonts w:ascii="Arial" w:eastAsia="Aptos" w:hAnsi="Arial" w:cs="Arial"/>
          <w:i/>
          <w:iCs/>
          <w:kern w:val="2"/>
          <w:sz w:val="20"/>
          <w:szCs w:val="20"/>
          <w:lang w:val="en-IN"/>
        </w:rPr>
        <w:t>Dentistry Journal</w:t>
      </w:r>
      <w:r w:rsidRPr="00EE44A1">
        <w:rPr>
          <w:rFonts w:ascii="Arial" w:eastAsia="Aptos" w:hAnsi="Arial" w:cs="Arial"/>
          <w:kern w:val="2"/>
          <w:sz w:val="20"/>
          <w:szCs w:val="20"/>
          <w:lang w:val="en-IN"/>
        </w:rPr>
        <w:t>.</w:t>
      </w:r>
    </w:p>
    <w:p w14:paraId="30B2AE6A"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Gher, M. E., &amp; </w:t>
      </w:r>
      <w:proofErr w:type="spellStart"/>
      <w:r w:rsidRPr="00EE44A1">
        <w:rPr>
          <w:rFonts w:ascii="Arial" w:eastAsia="Aptos" w:hAnsi="Arial" w:cs="Arial"/>
          <w:kern w:val="2"/>
          <w:sz w:val="20"/>
          <w:szCs w:val="20"/>
          <w:lang w:val="en-IN"/>
        </w:rPr>
        <w:t>Vernino</w:t>
      </w:r>
      <w:proofErr w:type="spellEnd"/>
      <w:r w:rsidRPr="00EE44A1">
        <w:rPr>
          <w:rFonts w:ascii="Arial" w:eastAsia="Aptos" w:hAnsi="Arial" w:cs="Arial"/>
          <w:kern w:val="2"/>
          <w:sz w:val="20"/>
          <w:szCs w:val="20"/>
          <w:lang w:val="en-IN"/>
        </w:rPr>
        <w:t xml:space="preserve">, A. R. (1980). Root morphology—clinical significance in periodontal disease. </w:t>
      </w:r>
      <w:r w:rsidRPr="00EE44A1">
        <w:rPr>
          <w:rFonts w:ascii="Arial" w:eastAsia="Aptos" w:hAnsi="Arial" w:cs="Arial"/>
          <w:i/>
          <w:iCs/>
          <w:kern w:val="2"/>
          <w:sz w:val="20"/>
          <w:szCs w:val="20"/>
          <w:lang w:val="en-IN"/>
        </w:rPr>
        <w:t>Journal of the American Dental Association</w:t>
      </w:r>
      <w:r w:rsidRPr="00EE44A1">
        <w:rPr>
          <w:rFonts w:ascii="Arial" w:eastAsia="Aptos" w:hAnsi="Arial" w:cs="Arial"/>
          <w:kern w:val="2"/>
          <w:sz w:val="20"/>
          <w:szCs w:val="20"/>
          <w:lang w:val="en-IN"/>
        </w:rPr>
        <w:t>, 101(4), 627–633.</w:t>
      </w:r>
    </w:p>
    <w:p w14:paraId="51D9DEA4"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Goldman, H. M., &amp; Cohen, D. W. (1980). </w:t>
      </w:r>
      <w:r w:rsidRPr="00EE44A1">
        <w:rPr>
          <w:rFonts w:ascii="Arial" w:eastAsia="Aptos" w:hAnsi="Arial" w:cs="Arial"/>
          <w:i/>
          <w:iCs/>
          <w:kern w:val="2"/>
          <w:sz w:val="20"/>
          <w:szCs w:val="20"/>
          <w:lang w:val="en-IN"/>
        </w:rPr>
        <w:t>Periodontal therapy</w:t>
      </w:r>
      <w:r w:rsidRPr="00EE44A1">
        <w:rPr>
          <w:rFonts w:ascii="Arial" w:eastAsia="Aptos" w:hAnsi="Arial" w:cs="Arial"/>
          <w:kern w:val="2"/>
          <w:sz w:val="20"/>
          <w:szCs w:val="20"/>
          <w:lang w:val="en-IN"/>
        </w:rPr>
        <w:t xml:space="preserve"> (6th ed.). Mosby.</w:t>
      </w:r>
    </w:p>
    <w:p w14:paraId="2E3F1405"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Horwitz, J., </w:t>
      </w:r>
      <w:proofErr w:type="spellStart"/>
      <w:r w:rsidRPr="00EE44A1">
        <w:rPr>
          <w:rFonts w:ascii="Arial" w:eastAsia="Aptos" w:hAnsi="Arial" w:cs="Arial"/>
          <w:kern w:val="2"/>
          <w:sz w:val="20"/>
          <w:szCs w:val="20"/>
          <w:lang w:val="en-IN"/>
        </w:rPr>
        <w:t>Machtei</w:t>
      </w:r>
      <w:proofErr w:type="spellEnd"/>
      <w:r w:rsidRPr="00EE44A1">
        <w:rPr>
          <w:rFonts w:ascii="Arial" w:eastAsia="Aptos" w:hAnsi="Arial" w:cs="Arial"/>
          <w:kern w:val="2"/>
          <w:sz w:val="20"/>
          <w:szCs w:val="20"/>
          <w:lang w:val="en-IN"/>
        </w:rPr>
        <w:t xml:space="preserve">, E. E., </w:t>
      </w:r>
      <w:proofErr w:type="spellStart"/>
      <w:r w:rsidRPr="00EE44A1">
        <w:rPr>
          <w:rFonts w:ascii="Arial" w:eastAsia="Aptos" w:hAnsi="Arial" w:cs="Arial"/>
          <w:kern w:val="2"/>
          <w:sz w:val="20"/>
          <w:szCs w:val="20"/>
          <w:lang w:val="en-IN"/>
        </w:rPr>
        <w:t>Reitmeir</w:t>
      </w:r>
      <w:proofErr w:type="spellEnd"/>
      <w:r w:rsidRPr="00EE44A1">
        <w:rPr>
          <w:rFonts w:ascii="Arial" w:eastAsia="Aptos" w:hAnsi="Arial" w:cs="Arial"/>
          <w:kern w:val="2"/>
          <w:sz w:val="20"/>
          <w:szCs w:val="20"/>
          <w:lang w:val="en-IN"/>
        </w:rPr>
        <w:t xml:space="preserve">, P., Holle, R., Kim, T. S., &amp; </w:t>
      </w:r>
      <w:proofErr w:type="spellStart"/>
      <w:r w:rsidRPr="00EE44A1">
        <w:rPr>
          <w:rFonts w:ascii="Arial" w:eastAsia="Aptos" w:hAnsi="Arial" w:cs="Arial"/>
          <w:kern w:val="2"/>
          <w:sz w:val="20"/>
          <w:szCs w:val="20"/>
          <w:lang w:val="en-IN"/>
        </w:rPr>
        <w:t>Eickholz</w:t>
      </w:r>
      <w:proofErr w:type="spellEnd"/>
      <w:r w:rsidRPr="00EE44A1">
        <w:rPr>
          <w:rFonts w:ascii="Arial" w:eastAsia="Aptos" w:hAnsi="Arial" w:cs="Arial"/>
          <w:kern w:val="2"/>
          <w:sz w:val="20"/>
          <w:szCs w:val="20"/>
          <w:lang w:val="en-IN"/>
        </w:rPr>
        <w:t xml:space="preserve">, P. (2004). Radiographic parameters as prognostic indicators for healing of class II furcation defects. </w:t>
      </w:r>
      <w:r w:rsidRPr="00EE44A1">
        <w:rPr>
          <w:rFonts w:ascii="Arial" w:eastAsia="Aptos" w:hAnsi="Arial" w:cs="Arial"/>
          <w:i/>
          <w:iCs/>
          <w:kern w:val="2"/>
          <w:sz w:val="20"/>
          <w:szCs w:val="20"/>
          <w:lang w:val="en-IN"/>
        </w:rPr>
        <w:t>Journal of Clinical Periodontology</w:t>
      </w:r>
      <w:r w:rsidRPr="00EE44A1">
        <w:rPr>
          <w:rFonts w:ascii="Arial" w:eastAsia="Aptos" w:hAnsi="Arial" w:cs="Arial"/>
          <w:kern w:val="2"/>
          <w:sz w:val="20"/>
          <w:szCs w:val="20"/>
          <w:lang w:val="en-IN"/>
        </w:rPr>
        <w:t>, 31, 105–111.</w:t>
      </w:r>
    </w:p>
    <w:p w14:paraId="44EFC082"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Hou, G. L., &amp; Tsai, C. C. (1997). Relationship between periodontal furcation involvement and root trunk length.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 68(4), 356–362.</w:t>
      </w:r>
    </w:p>
    <w:p w14:paraId="3CB91A03"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Jepsen, S., et al. (2020). Regenerative surgical treatment of furcation defects: A systematic review and Bayesian network meta-analysis. </w:t>
      </w:r>
      <w:r w:rsidRPr="00EE44A1">
        <w:rPr>
          <w:rFonts w:ascii="Arial" w:eastAsia="Aptos" w:hAnsi="Arial" w:cs="Arial"/>
          <w:i/>
          <w:iCs/>
          <w:kern w:val="2"/>
          <w:sz w:val="20"/>
          <w:szCs w:val="20"/>
          <w:lang w:val="en-IN"/>
        </w:rPr>
        <w:t>Journal of Clinical Periodontology</w:t>
      </w:r>
      <w:r w:rsidRPr="00EE44A1">
        <w:rPr>
          <w:rFonts w:ascii="Arial" w:eastAsia="Aptos" w:hAnsi="Arial" w:cs="Arial"/>
          <w:kern w:val="2"/>
          <w:sz w:val="20"/>
          <w:szCs w:val="20"/>
          <w:lang w:val="en-IN"/>
        </w:rPr>
        <w:t>.</w:t>
      </w:r>
    </w:p>
    <w:p w14:paraId="2427B650"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Joseph, I., et al. (1996). Clinical significance of furcation anatomy of the maxillary first premolar: A biometric study on extracted teeth.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w:t>
      </w:r>
    </w:p>
    <w:p w14:paraId="2289F102"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Lu, H. K. J. (1992). Topographical characteristics of root trunk length related to guided tissue regeneration.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 63, 215–219.</w:t>
      </w:r>
    </w:p>
    <w:p w14:paraId="20EF9A51"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McClain, P. K., &amp; Schallhorn, R. G. (2000). Focus on furcation defects – guided tissue </w:t>
      </w:r>
      <w:r w:rsidRPr="00EE44A1">
        <w:rPr>
          <w:rFonts w:ascii="Arial" w:eastAsia="Aptos" w:hAnsi="Arial" w:cs="Arial"/>
          <w:kern w:val="2"/>
          <w:sz w:val="20"/>
          <w:szCs w:val="20"/>
          <w:lang w:val="en-IN"/>
        </w:rPr>
        <w:t xml:space="preserve">regeneration in combination with bone grafting. </w:t>
      </w:r>
      <w:r w:rsidRPr="00EE44A1">
        <w:rPr>
          <w:rFonts w:ascii="Arial" w:eastAsia="Aptos" w:hAnsi="Arial" w:cs="Arial"/>
          <w:i/>
          <w:iCs/>
          <w:kern w:val="2"/>
          <w:sz w:val="20"/>
          <w:szCs w:val="20"/>
          <w:lang w:val="en-IN"/>
        </w:rPr>
        <w:t>Periodontology 2000</w:t>
      </w:r>
      <w:r w:rsidRPr="00EE44A1">
        <w:rPr>
          <w:rFonts w:ascii="Arial" w:eastAsia="Aptos" w:hAnsi="Arial" w:cs="Arial"/>
          <w:kern w:val="2"/>
          <w:sz w:val="20"/>
          <w:szCs w:val="20"/>
          <w:lang w:val="en-IN"/>
        </w:rPr>
        <w:t>, 22, 190–212.</w:t>
      </w:r>
    </w:p>
    <w:p w14:paraId="22FFDEEF"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Miron, R. J., et al. (2024). Use of platelet-rich fibrin in periodontal furcation defects: A systematic review and meta-analysis.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w:t>
      </w:r>
    </w:p>
    <w:p w14:paraId="4D183191"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Nabers, C. L. (1954). The anatomy of the furcation area in maxillary and mandibular molars.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 25(2), 123–128.</w:t>
      </w:r>
    </w:p>
    <w:p w14:paraId="3432711A"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Newell, D. H., et al. (1998). The role of the furcation in periodontal disease. </w:t>
      </w:r>
      <w:r w:rsidRPr="00EE44A1">
        <w:rPr>
          <w:rFonts w:ascii="Arial" w:eastAsia="Aptos" w:hAnsi="Arial" w:cs="Arial"/>
          <w:i/>
          <w:iCs/>
          <w:kern w:val="2"/>
          <w:sz w:val="20"/>
          <w:szCs w:val="20"/>
          <w:lang w:val="en-IN"/>
        </w:rPr>
        <w:t>Periodontology 2000</w:t>
      </w:r>
      <w:r w:rsidRPr="00EE44A1">
        <w:rPr>
          <w:rFonts w:ascii="Arial" w:eastAsia="Aptos" w:hAnsi="Arial" w:cs="Arial"/>
          <w:kern w:val="2"/>
          <w:sz w:val="20"/>
          <w:szCs w:val="20"/>
          <w:lang w:val="en-IN"/>
        </w:rPr>
        <w:t>.</w:t>
      </w:r>
    </w:p>
    <w:p w14:paraId="0E29BBBB" w14:textId="37352E4E"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Ochsenbein, C., &amp; Ross, S. (1969). A </w:t>
      </w:r>
      <w:proofErr w:type="spellStart"/>
      <w:r w:rsidRPr="00EE44A1">
        <w:rPr>
          <w:rFonts w:ascii="Arial" w:eastAsia="Aptos" w:hAnsi="Arial" w:cs="Arial"/>
          <w:kern w:val="2"/>
          <w:sz w:val="20"/>
          <w:szCs w:val="20"/>
          <w:lang w:val="en-IN"/>
        </w:rPr>
        <w:t>reevaluation</w:t>
      </w:r>
      <w:proofErr w:type="spellEnd"/>
      <w:r w:rsidRPr="00EE44A1">
        <w:rPr>
          <w:rFonts w:ascii="Arial" w:eastAsia="Aptos" w:hAnsi="Arial" w:cs="Arial"/>
          <w:kern w:val="2"/>
          <w:sz w:val="20"/>
          <w:szCs w:val="20"/>
          <w:lang w:val="en-IN"/>
        </w:rPr>
        <w:t xml:space="preserve"> of osseous surgery. </w:t>
      </w:r>
      <w:r w:rsidRPr="00EE44A1">
        <w:rPr>
          <w:rFonts w:ascii="Arial" w:eastAsia="Aptos" w:hAnsi="Arial" w:cs="Arial"/>
          <w:i/>
          <w:iCs/>
          <w:kern w:val="2"/>
          <w:sz w:val="20"/>
          <w:szCs w:val="20"/>
          <w:lang w:val="en-IN"/>
        </w:rPr>
        <w:t>Dental Clinics of North America</w:t>
      </w:r>
      <w:r w:rsidRPr="00EE44A1">
        <w:rPr>
          <w:rFonts w:ascii="Arial" w:eastAsia="Aptos" w:hAnsi="Arial" w:cs="Arial"/>
          <w:kern w:val="2"/>
          <w:sz w:val="20"/>
          <w:szCs w:val="20"/>
          <w:lang w:val="en-IN"/>
        </w:rPr>
        <w:t>, 13(1), 87–</w:t>
      </w:r>
      <w:r w:rsidR="00FE5D5E">
        <w:rPr>
          <w:rFonts w:ascii="Arial" w:eastAsia="Aptos" w:hAnsi="Arial" w:cs="Arial"/>
          <w:kern w:val="2"/>
          <w:sz w:val="20"/>
          <w:szCs w:val="20"/>
          <w:lang w:val="en-IN"/>
        </w:rPr>
        <w:t xml:space="preserve">            </w:t>
      </w:r>
      <w:r w:rsidRPr="00EE44A1">
        <w:rPr>
          <w:rFonts w:ascii="Arial" w:eastAsia="Aptos" w:hAnsi="Arial" w:cs="Arial"/>
          <w:kern w:val="2"/>
          <w:sz w:val="20"/>
          <w:szCs w:val="20"/>
          <w:lang w:val="en-IN"/>
        </w:rPr>
        <w:t>102.</w:t>
      </w:r>
    </w:p>
    <w:p w14:paraId="72139AC5"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Sharma, A., et al. (2011). Treatment of mandibular Class II furcation defects using platelet-rich fibrin.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w:t>
      </w:r>
    </w:p>
    <w:p w14:paraId="75256D5A" w14:textId="6285BA3E"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FE5D5E">
        <w:rPr>
          <w:rFonts w:ascii="Arial" w:eastAsia="Aptos" w:hAnsi="Arial" w:cs="Arial"/>
          <w:kern w:val="2"/>
          <w:sz w:val="20"/>
          <w:szCs w:val="20"/>
          <w:lang w:val="sv-SE"/>
        </w:rPr>
        <w:t xml:space="preserve">Svärdström, G., &amp; Wennström, J. L. </w:t>
      </w:r>
      <w:r w:rsidR="00FE5D5E" w:rsidRPr="00FE5D5E">
        <w:rPr>
          <w:rFonts w:ascii="Arial" w:eastAsia="Aptos" w:hAnsi="Arial" w:cs="Arial"/>
          <w:kern w:val="2"/>
          <w:sz w:val="20"/>
          <w:szCs w:val="20"/>
          <w:lang w:val="sv-SE"/>
        </w:rPr>
        <w:t xml:space="preserve"> </w:t>
      </w:r>
      <w:r w:rsidR="00FE5D5E">
        <w:rPr>
          <w:rFonts w:ascii="Arial" w:eastAsia="Aptos" w:hAnsi="Arial" w:cs="Arial"/>
          <w:kern w:val="2"/>
          <w:sz w:val="20"/>
          <w:szCs w:val="20"/>
          <w:lang w:val="sv-SE"/>
        </w:rPr>
        <w:t xml:space="preserve">            </w:t>
      </w:r>
      <w:r w:rsidRPr="00EE44A1">
        <w:rPr>
          <w:rFonts w:ascii="Arial" w:eastAsia="Aptos" w:hAnsi="Arial" w:cs="Arial"/>
          <w:kern w:val="2"/>
          <w:sz w:val="20"/>
          <w:szCs w:val="20"/>
          <w:lang w:val="en-IN"/>
        </w:rPr>
        <w:t xml:space="preserve">(1988). Furcation topography of the maxillary and mandibular first molars. </w:t>
      </w:r>
      <w:r w:rsidRPr="00EE44A1">
        <w:rPr>
          <w:rFonts w:ascii="Arial" w:eastAsia="Aptos" w:hAnsi="Arial" w:cs="Arial"/>
          <w:i/>
          <w:iCs/>
          <w:kern w:val="2"/>
          <w:sz w:val="20"/>
          <w:szCs w:val="20"/>
          <w:lang w:val="en-IN"/>
        </w:rPr>
        <w:t>Journal of Clinical Periodontology</w:t>
      </w:r>
      <w:r w:rsidRPr="00EE44A1">
        <w:rPr>
          <w:rFonts w:ascii="Arial" w:eastAsia="Aptos" w:hAnsi="Arial" w:cs="Arial"/>
          <w:kern w:val="2"/>
          <w:sz w:val="20"/>
          <w:szCs w:val="20"/>
          <w:lang w:val="en-IN"/>
        </w:rPr>
        <w:t>, 15(5), 271–275.</w:t>
      </w:r>
    </w:p>
    <w:p w14:paraId="37E10437"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proofErr w:type="spellStart"/>
      <w:r w:rsidRPr="00EE44A1">
        <w:rPr>
          <w:rFonts w:ascii="Arial" w:eastAsia="Aptos" w:hAnsi="Arial" w:cs="Arial"/>
          <w:kern w:val="2"/>
          <w:sz w:val="20"/>
          <w:szCs w:val="20"/>
          <w:lang w:val="en-IN"/>
        </w:rPr>
        <w:t>Svärdström</w:t>
      </w:r>
      <w:proofErr w:type="spellEnd"/>
      <w:r w:rsidRPr="00EE44A1">
        <w:rPr>
          <w:rFonts w:ascii="Arial" w:eastAsia="Aptos" w:hAnsi="Arial" w:cs="Arial"/>
          <w:kern w:val="2"/>
          <w:sz w:val="20"/>
          <w:szCs w:val="20"/>
          <w:lang w:val="en-IN"/>
        </w:rPr>
        <w:t xml:space="preserve">, G., &amp; </w:t>
      </w:r>
      <w:proofErr w:type="spellStart"/>
      <w:r w:rsidRPr="00EE44A1">
        <w:rPr>
          <w:rFonts w:ascii="Arial" w:eastAsia="Aptos" w:hAnsi="Arial" w:cs="Arial"/>
          <w:kern w:val="2"/>
          <w:sz w:val="20"/>
          <w:szCs w:val="20"/>
          <w:lang w:val="en-IN"/>
        </w:rPr>
        <w:t>Wennström</w:t>
      </w:r>
      <w:proofErr w:type="spellEnd"/>
      <w:r w:rsidRPr="00EE44A1">
        <w:rPr>
          <w:rFonts w:ascii="Arial" w:eastAsia="Aptos" w:hAnsi="Arial" w:cs="Arial"/>
          <w:kern w:val="2"/>
          <w:sz w:val="20"/>
          <w:szCs w:val="20"/>
          <w:lang w:val="en-IN"/>
        </w:rPr>
        <w:t xml:space="preserve">, J. L. (1988). Furcation topography of the maxillary and mandibular first molars. </w:t>
      </w:r>
      <w:r w:rsidRPr="00EE44A1">
        <w:rPr>
          <w:rFonts w:ascii="Arial" w:eastAsia="Aptos" w:hAnsi="Arial" w:cs="Arial"/>
          <w:i/>
          <w:iCs/>
          <w:kern w:val="2"/>
          <w:sz w:val="20"/>
          <w:szCs w:val="20"/>
          <w:lang w:val="en-IN"/>
        </w:rPr>
        <w:t>Journal of Clinical Periodontology</w:t>
      </w:r>
      <w:r w:rsidRPr="00EE44A1">
        <w:rPr>
          <w:rFonts w:ascii="Arial" w:eastAsia="Aptos" w:hAnsi="Arial" w:cs="Arial"/>
          <w:kern w:val="2"/>
          <w:sz w:val="20"/>
          <w:szCs w:val="20"/>
          <w:lang w:val="en-IN"/>
        </w:rPr>
        <w:t>.</w:t>
      </w:r>
    </w:p>
    <w:p w14:paraId="4E6B88D2"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r w:rsidRPr="00EE44A1">
        <w:rPr>
          <w:rFonts w:ascii="Arial" w:eastAsia="Aptos" w:hAnsi="Arial" w:cs="Arial"/>
          <w:kern w:val="2"/>
          <w:sz w:val="20"/>
          <w:szCs w:val="20"/>
          <w:lang w:val="en-IN"/>
        </w:rPr>
        <w:t xml:space="preserve">Takei, H. H., Han, T. J., Carranza, F. A., et al. (1996). The furcation problem: </w:t>
      </w:r>
      <w:proofErr w:type="spellStart"/>
      <w:r w:rsidRPr="00EE44A1">
        <w:rPr>
          <w:rFonts w:ascii="Arial" w:eastAsia="Aptos" w:hAnsi="Arial" w:cs="Arial"/>
          <w:kern w:val="2"/>
          <w:sz w:val="20"/>
          <w:szCs w:val="20"/>
          <w:lang w:val="en-IN"/>
        </w:rPr>
        <w:t>Etiology</w:t>
      </w:r>
      <w:proofErr w:type="spellEnd"/>
      <w:r w:rsidRPr="00EE44A1">
        <w:rPr>
          <w:rFonts w:ascii="Arial" w:eastAsia="Aptos" w:hAnsi="Arial" w:cs="Arial"/>
          <w:kern w:val="2"/>
          <w:sz w:val="20"/>
          <w:szCs w:val="20"/>
          <w:lang w:val="en-IN"/>
        </w:rPr>
        <w:t xml:space="preserve">, diagnosis, and treatment considerations. </w:t>
      </w:r>
      <w:r w:rsidRPr="00EE44A1">
        <w:rPr>
          <w:rFonts w:ascii="Arial" w:eastAsia="Aptos" w:hAnsi="Arial" w:cs="Arial"/>
          <w:i/>
          <w:iCs/>
          <w:kern w:val="2"/>
          <w:sz w:val="20"/>
          <w:szCs w:val="20"/>
          <w:lang w:val="en-IN"/>
        </w:rPr>
        <w:t>Periodontology 2000</w:t>
      </w:r>
      <w:r w:rsidRPr="00EE44A1">
        <w:rPr>
          <w:rFonts w:ascii="Arial" w:eastAsia="Aptos" w:hAnsi="Arial" w:cs="Arial"/>
          <w:kern w:val="2"/>
          <w:sz w:val="20"/>
          <w:szCs w:val="20"/>
          <w:lang w:val="en-IN"/>
        </w:rPr>
        <w:t>.</w:t>
      </w:r>
    </w:p>
    <w:p w14:paraId="0E6CCE23" w14:textId="77777777" w:rsidR="00EE44A1" w:rsidRPr="00EE44A1" w:rsidRDefault="00EE44A1" w:rsidP="00EE44A1">
      <w:pPr>
        <w:spacing w:after="0" w:line="240" w:lineRule="auto"/>
        <w:ind w:left="540" w:hanging="540"/>
        <w:jc w:val="both"/>
        <w:rPr>
          <w:rFonts w:ascii="Arial" w:eastAsia="Aptos" w:hAnsi="Arial" w:cs="Arial"/>
          <w:kern w:val="2"/>
          <w:sz w:val="20"/>
          <w:szCs w:val="20"/>
          <w:lang w:val="en-IN"/>
        </w:rPr>
      </w:pPr>
      <w:proofErr w:type="spellStart"/>
      <w:r w:rsidRPr="00EE44A1">
        <w:rPr>
          <w:rFonts w:ascii="Arial" w:eastAsia="Aptos" w:hAnsi="Arial" w:cs="Arial"/>
          <w:kern w:val="2"/>
          <w:sz w:val="20"/>
          <w:szCs w:val="20"/>
          <w:lang w:val="en-IN"/>
        </w:rPr>
        <w:t>Waerhaug</w:t>
      </w:r>
      <w:proofErr w:type="spellEnd"/>
      <w:r w:rsidRPr="00EE44A1">
        <w:rPr>
          <w:rFonts w:ascii="Arial" w:eastAsia="Aptos" w:hAnsi="Arial" w:cs="Arial"/>
          <w:kern w:val="2"/>
          <w:sz w:val="20"/>
          <w:szCs w:val="20"/>
          <w:lang w:val="en-IN"/>
        </w:rPr>
        <w:t xml:space="preserve">, J. (1978). Healing of the </w:t>
      </w:r>
      <w:proofErr w:type="spellStart"/>
      <w:r w:rsidRPr="00EE44A1">
        <w:rPr>
          <w:rFonts w:ascii="Arial" w:eastAsia="Aptos" w:hAnsi="Arial" w:cs="Arial"/>
          <w:kern w:val="2"/>
          <w:sz w:val="20"/>
          <w:szCs w:val="20"/>
          <w:lang w:val="en-IN"/>
        </w:rPr>
        <w:t>dento</w:t>
      </w:r>
      <w:proofErr w:type="spellEnd"/>
      <w:r w:rsidRPr="00EE44A1">
        <w:rPr>
          <w:rFonts w:ascii="Arial" w:eastAsia="Aptos" w:hAnsi="Arial" w:cs="Arial"/>
          <w:kern w:val="2"/>
          <w:sz w:val="20"/>
          <w:szCs w:val="20"/>
          <w:lang w:val="en-IN"/>
        </w:rPr>
        <w:t xml:space="preserve">-epithelial junction following subgingival plaque control. </w:t>
      </w:r>
      <w:r w:rsidRPr="00EE44A1">
        <w:rPr>
          <w:rFonts w:ascii="Arial" w:eastAsia="Aptos" w:hAnsi="Arial" w:cs="Arial"/>
          <w:i/>
          <w:iCs/>
          <w:kern w:val="2"/>
          <w:sz w:val="20"/>
          <w:szCs w:val="20"/>
          <w:lang w:val="en-IN"/>
        </w:rPr>
        <w:t>Journal of Periodontology</w:t>
      </w:r>
      <w:r w:rsidRPr="00EE44A1">
        <w:rPr>
          <w:rFonts w:ascii="Arial" w:eastAsia="Aptos" w:hAnsi="Arial" w:cs="Arial"/>
          <w:kern w:val="2"/>
          <w:sz w:val="20"/>
          <w:szCs w:val="20"/>
          <w:lang w:val="en-IN"/>
        </w:rPr>
        <w:t>, 49(3), 119–134.</w:t>
      </w:r>
    </w:p>
    <w:p w14:paraId="0F7E3F7B" w14:textId="77777777" w:rsidR="00FE5D5E" w:rsidRDefault="00FE5D5E" w:rsidP="00EE44A1">
      <w:pPr>
        <w:spacing w:after="0" w:line="240" w:lineRule="auto"/>
        <w:contextualSpacing/>
        <w:jc w:val="both"/>
        <w:rPr>
          <w:rFonts w:ascii="Arial" w:eastAsia="Aptos" w:hAnsi="Arial" w:cs="Arial"/>
          <w:kern w:val="2"/>
          <w:sz w:val="20"/>
          <w:szCs w:val="20"/>
          <w:lang w:val="en-IN"/>
        </w:rPr>
        <w:sectPr w:rsidR="00FE5D5E" w:rsidSect="00FE5D5E">
          <w:type w:val="continuous"/>
          <w:pgSz w:w="11909" w:h="16834" w:code="9"/>
          <w:pgMar w:top="1440" w:right="1440" w:bottom="1440" w:left="1440" w:header="720" w:footer="864" w:gutter="0"/>
          <w:pgNumType w:start="1"/>
          <w:cols w:num="2" w:space="288"/>
          <w:titlePg/>
          <w:docGrid w:linePitch="360"/>
        </w:sectPr>
      </w:pPr>
    </w:p>
    <w:p w14:paraId="7F2CD320" w14:textId="77777777" w:rsidR="00EE44A1" w:rsidRPr="00EE44A1" w:rsidRDefault="00EE44A1" w:rsidP="00EE44A1">
      <w:pPr>
        <w:spacing w:after="0" w:line="240" w:lineRule="auto"/>
        <w:contextualSpacing/>
        <w:jc w:val="both"/>
        <w:rPr>
          <w:rFonts w:ascii="Arial" w:eastAsia="Aptos" w:hAnsi="Arial" w:cs="Arial"/>
          <w:kern w:val="2"/>
          <w:sz w:val="20"/>
          <w:szCs w:val="20"/>
          <w:lang w:val="en-IN"/>
        </w:rPr>
      </w:pPr>
    </w:p>
    <w:p w14:paraId="230D5DB0" w14:textId="68434058" w:rsidR="00D851AD" w:rsidRPr="00CA4203" w:rsidRDefault="00C35E00" w:rsidP="00BD060A">
      <w:pPr>
        <w:keepNext/>
        <w:spacing w:after="0" w:line="240" w:lineRule="auto"/>
        <w:contextualSpacing/>
        <w:jc w:val="both"/>
        <w:rPr>
          <w:rFonts w:ascii="Arial" w:eastAsia="Times New Roman" w:hAnsi="Arial" w:cs="Arial"/>
          <w:b/>
          <w:sz w:val="15"/>
          <w:szCs w:val="15"/>
        </w:rPr>
      </w:pPr>
      <w:r w:rsidRPr="00CA4203">
        <w:rPr>
          <w:rFonts w:ascii="Arial" w:eastAsia="Calibri" w:hAnsi="Arial" w:cs="Arial"/>
          <w:b/>
          <w:bCs/>
          <w:kern w:val="2"/>
          <w:sz w:val="15"/>
          <w:szCs w:val="15"/>
          <w:lang w:val="en-GB"/>
        </w:rPr>
        <w:t xml:space="preserve">Disclaimer/Publisher’s Note: </w:t>
      </w:r>
      <w:r w:rsidRPr="00CA4203">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52CFEDA5" w14:textId="77777777" w:rsidR="00D851AD" w:rsidRDefault="00D851AD" w:rsidP="00BD060A">
      <w:pPr>
        <w:keepNext/>
        <w:spacing w:after="0" w:line="240" w:lineRule="auto"/>
        <w:contextualSpacing/>
        <w:jc w:val="both"/>
        <w:rPr>
          <w:rFonts w:ascii="Arial" w:eastAsia="Times New Roman" w:hAnsi="Arial" w:cs="Arial"/>
          <w:b/>
          <w:szCs w:val="20"/>
        </w:rPr>
        <w:sectPr w:rsidR="00D851AD" w:rsidSect="00FE5D5E">
          <w:type w:val="continuous"/>
          <w:pgSz w:w="11909" w:h="16834" w:code="9"/>
          <w:pgMar w:top="1440" w:right="1440" w:bottom="1440" w:left="1440" w:header="720" w:footer="864" w:gutter="0"/>
          <w:pgNumType w:start="1"/>
          <w:cols w:space="720"/>
          <w:titlePg/>
          <w:docGrid w:linePitch="360"/>
        </w:sectPr>
      </w:pPr>
    </w:p>
    <w:p w14:paraId="0DDCC270" w14:textId="77777777" w:rsidR="00BD060A" w:rsidRPr="00BD060A" w:rsidRDefault="00BD060A" w:rsidP="00E702F4">
      <w:pPr>
        <w:spacing w:after="0" w:line="240" w:lineRule="auto"/>
        <w:ind w:left="540" w:hanging="540"/>
        <w:jc w:val="center"/>
        <w:rPr>
          <w:rFonts w:ascii="Arial" w:eastAsia="Times New Roman" w:hAnsi="Arial" w:cs="Arial"/>
          <w:i/>
          <w:sz w:val="16"/>
          <w:szCs w:val="20"/>
        </w:rPr>
      </w:pPr>
    </w:p>
    <w:p w14:paraId="691C00F3" w14:textId="0EF4541C" w:rsidR="00CD3A89" w:rsidRDefault="0091478B" w:rsidP="00380ACB">
      <w:pPr>
        <w:pBdr>
          <w:top w:val="single" w:sz="4" w:space="1" w:color="auto"/>
        </w:pBdr>
        <w:spacing w:after="0" w:line="240" w:lineRule="auto"/>
        <w:jc w:val="both"/>
        <w:rPr>
          <w:rFonts w:ascii="Arial" w:hAnsi="Arial" w:cs="Arial"/>
        </w:rPr>
      </w:pPr>
      <w:r w:rsidRPr="0091478B">
        <w:rPr>
          <w:rFonts w:ascii="Arial" w:eastAsia="Calibri" w:hAnsi="Arial" w:cs="Arial"/>
          <w:i/>
          <w:iCs/>
          <w:kern w:val="2"/>
          <w:sz w:val="16"/>
          <w:szCs w:val="16"/>
          <w:lang w:val="en-GB"/>
        </w:rPr>
        <w:t>© Copyright (202</w:t>
      </w:r>
      <w:r w:rsidR="00DD7A07">
        <w:rPr>
          <w:rFonts w:ascii="Arial" w:eastAsia="Calibri" w:hAnsi="Arial" w:cs="Arial"/>
          <w:i/>
          <w:iCs/>
          <w:kern w:val="2"/>
          <w:sz w:val="16"/>
          <w:szCs w:val="16"/>
          <w:lang w:val="en-GB"/>
        </w:rPr>
        <w:t>6</w:t>
      </w:r>
      <w:r w:rsidRPr="0091478B">
        <w:rPr>
          <w:rFonts w:ascii="Arial" w:eastAsia="Calibri" w:hAnsi="Arial" w:cs="Arial"/>
          <w:i/>
          <w:iCs/>
          <w:kern w:val="2"/>
          <w:sz w:val="16"/>
          <w:szCs w:val="16"/>
          <w:lang w:val="en-GB"/>
        </w:rPr>
        <w:t>): Author(s). The licensee is the journal publisher. This is an Open Access article distributed under the terms of the Creative Commons Attribution License (</w:t>
      </w:r>
      <w:r w:rsidRPr="0091478B">
        <w:rPr>
          <w:rFonts w:ascii="Arial" w:eastAsia="Calibri" w:hAnsi="Arial" w:cs="Arial"/>
          <w:i/>
          <w:iCs/>
          <w:color w:val="0000FF"/>
          <w:kern w:val="2"/>
          <w:sz w:val="16"/>
          <w:szCs w:val="16"/>
          <w:lang w:val="en-GB"/>
        </w:rPr>
        <w:t>http://creativecommons.org/licenses/by/4.0</w:t>
      </w:r>
      <w:r w:rsidRPr="0091478B">
        <w:rPr>
          <w:rFonts w:ascii="Arial" w:eastAsia="Calibri" w:hAnsi="Arial" w:cs="Arial"/>
          <w:i/>
          <w:iCs/>
          <w:kern w:val="2"/>
          <w:sz w:val="16"/>
          <w:szCs w:val="16"/>
          <w:lang w:val="en-GB"/>
        </w:rPr>
        <w:t>), which permits unrestricted use, distribution, and reproduction in any medium, provided the original work is properly cited.</w:t>
      </w:r>
      <w:r w:rsidR="00BD060A" w:rsidRPr="000A2031">
        <w:rPr>
          <w:rFonts w:ascii="Arial" w:hAnsi="Arial" w:cs="Arial"/>
        </w:rPr>
        <w:t xml:space="preserve"> </w:t>
      </w:r>
    </w:p>
    <w:sectPr w:rsidR="00CD3A89" w:rsidSect="0035695E">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E4D39" w14:textId="77777777" w:rsidR="0019447A" w:rsidRDefault="0019447A" w:rsidP="00CD3A89">
      <w:pPr>
        <w:spacing w:after="0" w:line="240" w:lineRule="auto"/>
      </w:pPr>
      <w:r>
        <w:separator/>
      </w:r>
    </w:p>
  </w:endnote>
  <w:endnote w:type="continuationSeparator" w:id="0">
    <w:p w14:paraId="437C2380" w14:textId="77777777" w:rsidR="0019447A" w:rsidRDefault="0019447A"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3113"/>
      <w:docPartObj>
        <w:docPartGallery w:val="Page Numbers (Bottom of Page)"/>
        <w:docPartUnique/>
      </w:docPartObj>
    </w:sdtPr>
    <w:sdtEndPr/>
    <w:sdtContent>
      <w:p w14:paraId="754B4558" w14:textId="77777777" w:rsidR="00F6450F" w:rsidRPr="00263AE4" w:rsidRDefault="00F6450F">
        <w:pPr>
          <w:pStyle w:val="Footer"/>
          <w:jc w:val="center"/>
          <w:rPr>
            <w:rFonts w:ascii="Arial" w:hAnsi="Arial" w:cs="Arial"/>
            <w:sz w:val="28"/>
          </w:rPr>
        </w:pPr>
      </w:p>
      <w:p w14:paraId="63B03ABA" w14:textId="77777777" w:rsidR="00263AE4" w:rsidRDefault="006D1770">
        <w:pPr>
          <w:pStyle w:val="Footer"/>
          <w:jc w:val="center"/>
          <w:rPr>
            <w:rFonts w:ascii="Arial" w:hAnsi="Arial" w:cs="Arial"/>
            <w:sz w:val="20"/>
          </w:rPr>
        </w:pPr>
        <w:r w:rsidRPr="00945900">
          <w:rPr>
            <w:rFonts w:ascii="Arial" w:hAnsi="Arial" w:cs="Arial"/>
            <w:sz w:val="20"/>
          </w:rPr>
          <w:fldChar w:fldCharType="begin"/>
        </w:r>
        <w:r w:rsidR="00A22248" w:rsidRPr="00945900">
          <w:rPr>
            <w:rFonts w:ascii="Arial" w:hAnsi="Arial" w:cs="Arial"/>
            <w:sz w:val="20"/>
          </w:rPr>
          <w:instrText xml:space="preserve"> PAGE   \* MERGEFORMAT </w:instrText>
        </w:r>
        <w:r w:rsidRPr="00945900">
          <w:rPr>
            <w:rFonts w:ascii="Arial" w:hAnsi="Arial" w:cs="Arial"/>
            <w:sz w:val="20"/>
          </w:rPr>
          <w:fldChar w:fldCharType="separate"/>
        </w:r>
        <w:r w:rsidR="004719C4">
          <w:rPr>
            <w:rFonts w:ascii="Arial" w:hAnsi="Arial" w:cs="Arial"/>
            <w:noProof/>
            <w:sz w:val="20"/>
          </w:rPr>
          <w:t>10</w:t>
        </w:r>
        <w:r w:rsidRPr="00945900">
          <w:rPr>
            <w:rFonts w:ascii="Arial" w:hAnsi="Arial" w:cs="Arial"/>
            <w:sz w:val="20"/>
          </w:rPr>
          <w:fldChar w:fldCharType="end"/>
        </w:r>
      </w:p>
      <w:p w14:paraId="7AC9D1DA" w14:textId="77777777" w:rsidR="00485F13" w:rsidRPr="00263AE4" w:rsidRDefault="0019447A">
        <w:pPr>
          <w:pStyle w:val="Footer"/>
          <w:jc w:val="center"/>
          <w:rPr>
            <w:rFonts w:ascii="Arial" w:hAnsi="Arial" w:cs="Arial"/>
            <w:sz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059EA" w14:textId="77777777" w:rsidR="00E72385" w:rsidRPr="00E72385" w:rsidRDefault="00E72385"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12362E18" w14:textId="77777777" w:rsidR="00E72385" w:rsidRPr="00E72385" w:rsidRDefault="00E72385" w:rsidP="00E72385">
    <w:pPr>
      <w:spacing w:after="0" w:line="240" w:lineRule="auto"/>
      <w:jc w:val="both"/>
      <w:rPr>
        <w:rFonts w:ascii="Arial" w:eastAsia="Times New Roman" w:hAnsi="Arial" w:cs="Arial"/>
        <w:i/>
        <w:sz w:val="16"/>
        <w:szCs w:val="20"/>
      </w:rPr>
    </w:pPr>
  </w:p>
  <w:p w14:paraId="4392F827" w14:textId="77777777" w:rsidR="00E72385" w:rsidRDefault="00E72385" w:rsidP="00E72385">
    <w:pPr>
      <w:spacing w:after="0" w:line="240" w:lineRule="auto"/>
      <w:jc w:val="both"/>
      <w:rPr>
        <w:rFonts w:ascii="Arial" w:eastAsia="Times New Roman" w:hAnsi="Arial" w:cs="Arial"/>
        <w:i/>
        <w:sz w:val="16"/>
        <w:szCs w:val="20"/>
      </w:rPr>
    </w:pPr>
    <w:r w:rsidRPr="00E72385">
      <w:rPr>
        <w:rFonts w:ascii="Arial" w:eastAsia="Times New Roman" w:hAnsi="Arial" w:cs="Arial"/>
        <w:i/>
        <w:sz w:val="16"/>
        <w:szCs w:val="20"/>
      </w:rPr>
      <w:t>*Corresponding author: Email: ………………………….;</w:t>
    </w:r>
  </w:p>
  <w:p w14:paraId="7846DB2A" w14:textId="77777777" w:rsidR="00C165F9" w:rsidRDefault="00C165F9" w:rsidP="00E72385">
    <w:pPr>
      <w:spacing w:after="0" w:line="240" w:lineRule="auto"/>
      <w:jc w:val="both"/>
      <w:rPr>
        <w:rFonts w:ascii="Arial" w:eastAsia="Times New Roman" w:hAnsi="Arial" w:cs="Arial"/>
        <w:i/>
        <w:sz w:val="16"/>
        <w:szCs w:val="20"/>
      </w:rPr>
    </w:pPr>
  </w:p>
  <w:p w14:paraId="0A71F06C" w14:textId="77777777" w:rsidR="0005012B" w:rsidRDefault="0005012B" w:rsidP="0005012B">
    <w:pPr>
      <w:pStyle w:val="Footer"/>
      <w:jc w:val="both"/>
      <w:rPr>
        <w:rFonts w:ascii="Arial" w:hAnsi="Arial" w:cs="Arial"/>
        <w:b/>
        <w:bCs/>
        <w:i/>
        <w:sz w:val="16"/>
      </w:rPr>
    </w:pPr>
    <w:r w:rsidRPr="00932C11">
      <w:rPr>
        <w:rFonts w:ascii="Arial" w:hAnsi="Arial" w:cs="Arial"/>
        <w:b/>
        <w:bCs/>
        <w:i/>
        <w:sz w:val="16"/>
      </w:rPr>
      <w:t>Cite as:</w:t>
    </w:r>
  </w:p>
  <w:p w14:paraId="50210FCA" w14:textId="77777777" w:rsidR="0005012B" w:rsidRDefault="0005012B" w:rsidP="0005012B">
    <w:pPr>
      <w:pStyle w:val="Footer"/>
      <w:jc w:val="both"/>
      <w:rPr>
        <w:rFonts w:ascii="Arial" w:hAnsi="Arial" w:cs="Arial"/>
        <w:i/>
        <w:sz w:val="16"/>
      </w:rPr>
    </w:pPr>
  </w:p>
  <w:p w14:paraId="7FE9780E" w14:textId="77777777" w:rsidR="00C35E00" w:rsidRDefault="00C35E00" w:rsidP="0005012B">
    <w:pPr>
      <w:pStyle w:val="Footer"/>
      <w:jc w:val="both"/>
      <w:rPr>
        <w:rFonts w:ascii="Arial" w:hAnsi="Arial" w:cs="Arial"/>
        <w:i/>
        <w:sz w:val="16"/>
      </w:rPr>
    </w:pPr>
  </w:p>
  <w:p w14:paraId="1F6786D6" w14:textId="77777777" w:rsidR="0005012B" w:rsidRPr="00932C11" w:rsidRDefault="0005012B" w:rsidP="0005012B">
    <w:pPr>
      <w:pStyle w:val="Footer"/>
      <w:jc w:val="both"/>
      <w:rPr>
        <w:rFonts w:ascii="Arial" w:hAnsi="Arial" w:cs="Arial"/>
        <w:i/>
        <w:sz w:val="16"/>
      </w:rPr>
    </w:pPr>
  </w:p>
  <w:p w14:paraId="6F075B7A" w14:textId="77777777" w:rsidR="00CD3A89" w:rsidRDefault="00CD3A89">
    <w:pPr>
      <w:pStyle w:val="Footer"/>
      <w:rPr>
        <w:rFonts w:ascii="Arial" w:hAnsi="Arial" w:cs="Arial"/>
        <w:sz w:val="20"/>
      </w:rPr>
    </w:pPr>
  </w:p>
  <w:p w14:paraId="084D5BF2" w14:textId="77777777" w:rsidR="00490A64" w:rsidRPr="00490A64" w:rsidRDefault="00490A64">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B1D5C" w14:textId="77777777" w:rsidR="0019447A" w:rsidRDefault="0019447A" w:rsidP="00CD3A89">
      <w:pPr>
        <w:spacing w:after="0" w:line="240" w:lineRule="auto"/>
      </w:pPr>
      <w:r>
        <w:separator/>
      </w:r>
    </w:p>
  </w:footnote>
  <w:footnote w:type="continuationSeparator" w:id="0">
    <w:p w14:paraId="07CEEEC7" w14:textId="77777777" w:rsidR="0019447A" w:rsidRDefault="0019447A"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47858"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2B598171"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23C78BBE"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3948BAA3"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362CC50D" w14:textId="42F79E17" w:rsidR="00171FBC" w:rsidRDefault="00974577" w:rsidP="00171FBC">
    <w:pPr>
      <w:tabs>
        <w:tab w:val="center" w:pos="4320"/>
        <w:tab w:val="right" w:pos="8640"/>
      </w:tabs>
      <w:spacing w:after="0" w:line="240" w:lineRule="auto"/>
      <w:jc w:val="right"/>
      <w:rPr>
        <w:rFonts w:ascii="Arial" w:eastAsia="Times New Roman" w:hAnsi="Arial" w:cs="Arial"/>
        <w:i/>
        <w:sz w:val="16"/>
        <w:szCs w:val="20"/>
      </w:rPr>
    </w:pPr>
    <w:r w:rsidRPr="0024108F">
      <w:rPr>
        <w:rFonts w:ascii="Arial" w:eastAsia="Times New Roman" w:hAnsi="Arial" w:cs="Arial"/>
        <w:i/>
        <w:sz w:val="16"/>
        <w:szCs w:val="20"/>
      </w:rPr>
      <w:t xml:space="preserve">Author name; </w:t>
    </w:r>
    <w:r w:rsidR="00C165F9" w:rsidRPr="0024108F">
      <w:rPr>
        <w:rFonts w:ascii="Arial" w:eastAsia="Times New Roman" w:hAnsi="Arial" w:cs="Arial"/>
        <w:i/>
        <w:sz w:val="16"/>
        <w:szCs w:val="20"/>
      </w:rPr>
      <w:t>Int. J. Res. Rep. Dent., vol. xx, no. xx, pp. xx-xx, 20YY</w:t>
    </w:r>
    <w:r w:rsidR="00D851AD" w:rsidRPr="0024108F">
      <w:rPr>
        <w:rFonts w:ascii="Arial" w:eastAsia="Times New Roman" w:hAnsi="Arial" w:cs="Arial"/>
        <w:i/>
        <w:sz w:val="16"/>
        <w:szCs w:val="20"/>
      </w:rPr>
      <w:t xml:space="preserve">; Article </w:t>
    </w:r>
    <w:proofErr w:type="gramStart"/>
    <w:r w:rsidR="00D851AD" w:rsidRPr="0024108F">
      <w:rPr>
        <w:rFonts w:ascii="Arial" w:eastAsia="Times New Roman" w:hAnsi="Arial" w:cs="Arial"/>
        <w:i/>
        <w:sz w:val="16"/>
        <w:szCs w:val="20"/>
      </w:rPr>
      <w:t>no.</w:t>
    </w:r>
    <w:r w:rsidR="00412C6C" w:rsidRPr="0024108F">
      <w:rPr>
        <w:rFonts w:ascii="Arial" w:eastAsia="Times New Roman" w:hAnsi="Arial" w:cs="Arial"/>
        <w:i/>
        <w:sz w:val="16"/>
        <w:szCs w:val="20"/>
      </w:rPr>
      <w:t>IJRRD</w:t>
    </w:r>
    <w:proofErr w:type="gramEnd"/>
    <w:r w:rsidR="0024108F" w:rsidRPr="0024108F">
      <w:rPr>
        <w:rFonts w:ascii="Arial" w:eastAsia="Times New Roman" w:hAnsi="Arial" w:cs="Arial"/>
        <w:i/>
        <w:sz w:val="16"/>
        <w:szCs w:val="20"/>
      </w:rPr>
      <w:t>.152351</w:t>
    </w:r>
  </w:p>
  <w:p w14:paraId="6E904249" w14:textId="77777777" w:rsidR="00974577" w:rsidRPr="00171FBC" w:rsidRDefault="00974577" w:rsidP="00171FBC">
    <w:pPr>
      <w:tabs>
        <w:tab w:val="center" w:pos="4320"/>
        <w:tab w:val="right" w:pos="8640"/>
      </w:tabs>
      <w:spacing w:after="0" w:line="240" w:lineRule="auto"/>
      <w:jc w:val="right"/>
      <w:rPr>
        <w:rFonts w:ascii="Arial" w:eastAsia="Times New Roman" w:hAnsi="Arial" w:cs="Arial"/>
        <w:i/>
        <w:sz w:val="16"/>
        <w:szCs w:val="20"/>
      </w:rPr>
    </w:pPr>
  </w:p>
  <w:p w14:paraId="2F4BDE0F" w14:textId="77777777" w:rsidR="00171FBC" w:rsidRPr="00171FBC" w:rsidRDefault="00171FBC" w:rsidP="00171FBC">
    <w:pPr>
      <w:tabs>
        <w:tab w:val="center" w:pos="4320"/>
        <w:tab w:val="right" w:pos="8640"/>
      </w:tabs>
      <w:spacing w:after="0" w:line="240" w:lineRule="auto"/>
      <w:jc w:val="right"/>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B1AC3"/>
    <w:multiLevelType w:val="hybridMultilevel"/>
    <w:tmpl w:val="B32C2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5AE6DE7"/>
    <w:multiLevelType w:val="multilevel"/>
    <w:tmpl w:val="261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3266"/>
    <w:rsid w:val="000140EA"/>
    <w:rsid w:val="000372DB"/>
    <w:rsid w:val="00041716"/>
    <w:rsid w:val="0005012B"/>
    <w:rsid w:val="00095EBC"/>
    <w:rsid w:val="00096D6F"/>
    <w:rsid w:val="000A2031"/>
    <w:rsid w:val="000C2408"/>
    <w:rsid w:val="000D1EC1"/>
    <w:rsid w:val="000D4EAD"/>
    <w:rsid w:val="001004BF"/>
    <w:rsid w:val="00100B40"/>
    <w:rsid w:val="0010611F"/>
    <w:rsid w:val="00117484"/>
    <w:rsid w:val="00124A37"/>
    <w:rsid w:val="0013012E"/>
    <w:rsid w:val="001458EB"/>
    <w:rsid w:val="0015014F"/>
    <w:rsid w:val="00150CE4"/>
    <w:rsid w:val="00155B5E"/>
    <w:rsid w:val="00171FBC"/>
    <w:rsid w:val="00190C2D"/>
    <w:rsid w:val="0019447A"/>
    <w:rsid w:val="001A4A55"/>
    <w:rsid w:val="001A69A3"/>
    <w:rsid w:val="001A74B7"/>
    <w:rsid w:val="001B111C"/>
    <w:rsid w:val="001D00F5"/>
    <w:rsid w:val="00205B59"/>
    <w:rsid w:val="002159E6"/>
    <w:rsid w:val="00220A21"/>
    <w:rsid w:val="002367E7"/>
    <w:rsid w:val="0024108F"/>
    <w:rsid w:val="00246401"/>
    <w:rsid w:val="00250135"/>
    <w:rsid w:val="002573C9"/>
    <w:rsid w:val="00260707"/>
    <w:rsid w:val="00263AE4"/>
    <w:rsid w:val="002645E2"/>
    <w:rsid w:val="0028695F"/>
    <w:rsid w:val="00297CC0"/>
    <w:rsid w:val="002A041A"/>
    <w:rsid w:val="002A078A"/>
    <w:rsid w:val="002A635B"/>
    <w:rsid w:val="002B02E7"/>
    <w:rsid w:val="002C7DF4"/>
    <w:rsid w:val="002D6E70"/>
    <w:rsid w:val="002E6D92"/>
    <w:rsid w:val="003067D7"/>
    <w:rsid w:val="0031464D"/>
    <w:rsid w:val="0031517D"/>
    <w:rsid w:val="00332601"/>
    <w:rsid w:val="003349BB"/>
    <w:rsid w:val="00335947"/>
    <w:rsid w:val="003403D2"/>
    <w:rsid w:val="00344140"/>
    <w:rsid w:val="0035241B"/>
    <w:rsid w:val="0035695E"/>
    <w:rsid w:val="0036357D"/>
    <w:rsid w:val="00370C0D"/>
    <w:rsid w:val="00376494"/>
    <w:rsid w:val="00380ACB"/>
    <w:rsid w:val="003A1163"/>
    <w:rsid w:val="003B2B85"/>
    <w:rsid w:val="003B4704"/>
    <w:rsid w:val="003D0DD7"/>
    <w:rsid w:val="003F07E8"/>
    <w:rsid w:val="003F47A0"/>
    <w:rsid w:val="00400222"/>
    <w:rsid w:val="00412C6C"/>
    <w:rsid w:val="00414D54"/>
    <w:rsid w:val="004205C3"/>
    <w:rsid w:val="00424421"/>
    <w:rsid w:val="0043007E"/>
    <w:rsid w:val="0043035E"/>
    <w:rsid w:val="00435091"/>
    <w:rsid w:val="00454377"/>
    <w:rsid w:val="00455B14"/>
    <w:rsid w:val="004573F9"/>
    <w:rsid w:val="00464EB5"/>
    <w:rsid w:val="004703DB"/>
    <w:rsid w:val="004719C4"/>
    <w:rsid w:val="004743E7"/>
    <w:rsid w:val="00485F13"/>
    <w:rsid w:val="0048681C"/>
    <w:rsid w:val="00490A64"/>
    <w:rsid w:val="00495B61"/>
    <w:rsid w:val="004B3EA4"/>
    <w:rsid w:val="004B60EC"/>
    <w:rsid w:val="004C3267"/>
    <w:rsid w:val="004C5D40"/>
    <w:rsid w:val="004D35A0"/>
    <w:rsid w:val="004D6091"/>
    <w:rsid w:val="004E094F"/>
    <w:rsid w:val="004F2706"/>
    <w:rsid w:val="00506C67"/>
    <w:rsid w:val="0051528E"/>
    <w:rsid w:val="0053192C"/>
    <w:rsid w:val="005347C4"/>
    <w:rsid w:val="00536BCB"/>
    <w:rsid w:val="00562C90"/>
    <w:rsid w:val="00563B10"/>
    <w:rsid w:val="005722FD"/>
    <w:rsid w:val="005734C1"/>
    <w:rsid w:val="0058198B"/>
    <w:rsid w:val="005946F1"/>
    <w:rsid w:val="005A1751"/>
    <w:rsid w:val="005C26C6"/>
    <w:rsid w:val="005C60BB"/>
    <w:rsid w:val="005C63EE"/>
    <w:rsid w:val="00604FB0"/>
    <w:rsid w:val="006163D9"/>
    <w:rsid w:val="00640DE5"/>
    <w:rsid w:val="00647361"/>
    <w:rsid w:val="006642C2"/>
    <w:rsid w:val="00670C2D"/>
    <w:rsid w:val="00682F1A"/>
    <w:rsid w:val="006853A4"/>
    <w:rsid w:val="0068719D"/>
    <w:rsid w:val="006A2F45"/>
    <w:rsid w:val="006A3FCB"/>
    <w:rsid w:val="006C31D2"/>
    <w:rsid w:val="006C667C"/>
    <w:rsid w:val="006C7C39"/>
    <w:rsid w:val="006D1770"/>
    <w:rsid w:val="006D658B"/>
    <w:rsid w:val="00703125"/>
    <w:rsid w:val="007046D7"/>
    <w:rsid w:val="00714458"/>
    <w:rsid w:val="007147B7"/>
    <w:rsid w:val="00716F22"/>
    <w:rsid w:val="00721737"/>
    <w:rsid w:val="007240A8"/>
    <w:rsid w:val="007323FC"/>
    <w:rsid w:val="00734B36"/>
    <w:rsid w:val="00743471"/>
    <w:rsid w:val="00747D62"/>
    <w:rsid w:val="007622EE"/>
    <w:rsid w:val="00785993"/>
    <w:rsid w:val="00793272"/>
    <w:rsid w:val="007B2D63"/>
    <w:rsid w:val="007B380F"/>
    <w:rsid w:val="007B63EC"/>
    <w:rsid w:val="007B7919"/>
    <w:rsid w:val="007C49C7"/>
    <w:rsid w:val="007C4CE5"/>
    <w:rsid w:val="007E02F8"/>
    <w:rsid w:val="007E148E"/>
    <w:rsid w:val="007E4345"/>
    <w:rsid w:val="007F504C"/>
    <w:rsid w:val="00805031"/>
    <w:rsid w:val="00807ED0"/>
    <w:rsid w:val="00812548"/>
    <w:rsid w:val="008227C4"/>
    <w:rsid w:val="00825F35"/>
    <w:rsid w:val="0083063E"/>
    <w:rsid w:val="0084277D"/>
    <w:rsid w:val="00843678"/>
    <w:rsid w:val="00843CD9"/>
    <w:rsid w:val="00853333"/>
    <w:rsid w:val="00853DC1"/>
    <w:rsid w:val="00871E98"/>
    <w:rsid w:val="00873867"/>
    <w:rsid w:val="00873A5C"/>
    <w:rsid w:val="008776D1"/>
    <w:rsid w:val="008808B4"/>
    <w:rsid w:val="008836A0"/>
    <w:rsid w:val="008A686F"/>
    <w:rsid w:val="008C3188"/>
    <w:rsid w:val="008C3497"/>
    <w:rsid w:val="008E7EDF"/>
    <w:rsid w:val="008F67E8"/>
    <w:rsid w:val="008F6FC2"/>
    <w:rsid w:val="0091478B"/>
    <w:rsid w:val="00924279"/>
    <w:rsid w:val="00941123"/>
    <w:rsid w:val="009431AE"/>
    <w:rsid w:val="00945900"/>
    <w:rsid w:val="00951D84"/>
    <w:rsid w:val="00953210"/>
    <w:rsid w:val="00962251"/>
    <w:rsid w:val="00974577"/>
    <w:rsid w:val="0098174A"/>
    <w:rsid w:val="00982102"/>
    <w:rsid w:val="00982184"/>
    <w:rsid w:val="00984737"/>
    <w:rsid w:val="009B0B88"/>
    <w:rsid w:val="009B4FEB"/>
    <w:rsid w:val="009D5065"/>
    <w:rsid w:val="009D5136"/>
    <w:rsid w:val="009E1EFB"/>
    <w:rsid w:val="009F76E2"/>
    <w:rsid w:val="00A0172A"/>
    <w:rsid w:val="00A0275B"/>
    <w:rsid w:val="00A21828"/>
    <w:rsid w:val="00A22248"/>
    <w:rsid w:val="00A22FB8"/>
    <w:rsid w:val="00A30A6F"/>
    <w:rsid w:val="00A324F0"/>
    <w:rsid w:val="00A5393A"/>
    <w:rsid w:val="00A5640A"/>
    <w:rsid w:val="00A61B2E"/>
    <w:rsid w:val="00A63C54"/>
    <w:rsid w:val="00A6662D"/>
    <w:rsid w:val="00A669B6"/>
    <w:rsid w:val="00A706F7"/>
    <w:rsid w:val="00A72DD6"/>
    <w:rsid w:val="00A90597"/>
    <w:rsid w:val="00A90DA5"/>
    <w:rsid w:val="00A97738"/>
    <w:rsid w:val="00AA0D41"/>
    <w:rsid w:val="00AA26CB"/>
    <w:rsid w:val="00AB7D38"/>
    <w:rsid w:val="00AC3409"/>
    <w:rsid w:val="00AE1C1D"/>
    <w:rsid w:val="00AE7C5C"/>
    <w:rsid w:val="00AF47AA"/>
    <w:rsid w:val="00B00B01"/>
    <w:rsid w:val="00B04341"/>
    <w:rsid w:val="00B13922"/>
    <w:rsid w:val="00B15404"/>
    <w:rsid w:val="00B2423D"/>
    <w:rsid w:val="00B414F6"/>
    <w:rsid w:val="00B41CCB"/>
    <w:rsid w:val="00B605C2"/>
    <w:rsid w:val="00B635EC"/>
    <w:rsid w:val="00B75F26"/>
    <w:rsid w:val="00B7605E"/>
    <w:rsid w:val="00B8786D"/>
    <w:rsid w:val="00B950C8"/>
    <w:rsid w:val="00B976CC"/>
    <w:rsid w:val="00BA1088"/>
    <w:rsid w:val="00BB1435"/>
    <w:rsid w:val="00BB2885"/>
    <w:rsid w:val="00BB5B02"/>
    <w:rsid w:val="00BB5B87"/>
    <w:rsid w:val="00BD060A"/>
    <w:rsid w:val="00BD18E7"/>
    <w:rsid w:val="00BD4C69"/>
    <w:rsid w:val="00BE4FB2"/>
    <w:rsid w:val="00BF2053"/>
    <w:rsid w:val="00BF7A47"/>
    <w:rsid w:val="00C11417"/>
    <w:rsid w:val="00C13266"/>
    <w:rsid w:val="00C14909"/>
    <w:rsid w:val="00C165F9"/>
    <w:rsid w:val="00C32323"/>
    <w:rsid w:val="00C333AF"/>
    <w:rsid w:val="00C35E00"/>
    <w:rsid w:val="00C47C47"/>
    <w:rsid w:val="00C56D42"/>
    <w:rsid w:val="00C82501"/>
    <w:rsid w:val="00C972F4"/>
    <w:rsid w:val="00CA4203"/>
    <w:rsid w:val="00CB0A4D"/>
    <w:rsid w:val="00CB3E6C"/>
    <w:rsid w:val="00CB60C5"/>
    <w:rsid w:val="00CD3A89"/>
    <w:rsid w:val="00CD4AFC"/>
    <w:rsid w:val="00CD5E65"/>
    <w:rsid w:val="00CE3E7D"/>
    <w:rsid w:val="00CF0348"/>
    <w:rsid w:val="00CF722D"/>
    <w:rsid w:val="00D00FD9"/>
    <w:rsid w:val="00D02E2D"/>
    <w:rsid w:val="00D20C8C"/>
    <w:rsid w:val="00D210BB"/>
    <w:rsid w:val="00D332C0"/>
    <w:rsid w:val="00D51808"/>
    <w:rsid w:val="00D576DD"/>
    <w:rsid w:val="00D61E1D"/>
    <w:rsid w:val="00D638F3"/>
    <w:rsid w:val="00D720CF"/>
    <w:rsid w:val="00D76E4A"/>
    <w:rsid w:val="00D851AD"/>
    <w:rsid w:val="00D931D5"/>
    <w:rsid w:val="00D93460"/>
    <w:rsid w:val="00DC0ABA"/>
    <w:rsid w:val="00DD238B"/>
    <w:rsid w:val="00DD7A07"/>
    <w:rsid w:val="00DE5E5F"/>
    <w:rsid w:val="00E214BA"/>
    <w:rsid w:val="00E2233D"/>
    <w:rsid w:val="00E24690"/>
    <w:rsid w:val="00E36897"/>
    <w:rsid w:val="00E448E0"/>
    <w:rsid w:val="00E46D35"/>
    <w:rsid w:val="00E51A67"/>
    <w:rsid w:val="00E531CD"/>
    <w:rsid w:val="00E702F4"/>
    <w:rsid w:val="00E7093B"/>
    <w:rsid w:val="00E72385"/>
    <w:rsid w:val="00E73D8F"/>
    <w:rsid w:val="00E743C6"/>
    <w:rsid w:val="00E8718E"/>
    <w:rsid w:val="00E93818"/>
    <w:rsid w:val="00EB1005"/>
    <w:rsid w:val="00EB740E"/>
    <w:rsid w:val="00EB7881"/>
    <w:rsid w:val="00EC09B7"/>
    <w:rsid w:val="00ED402E"/>
    <w:rsid w:val="00ED56A4"/>
    <w:rsid w:val="00ED6468"/>
    <w:rsid w:val="00ED7CD5"/>
    <w:rsid w:val="00EE44A1"/>
    <w:rsid w:val="00EF3322"/>
    <w:rsid w:val="00F0322C"/>
    <w:rsid w:val="00F17801"/>
    <w:rsid w:val="00F260FA"/>
    <w:rsid w:val="00F42B26"/>
    <w:rsid w:val="00F44E90"/>
    <w:rsid w:val="00F50851"/>
    <w:rsid w:val="00F55591"/>
    <w:rsid w:val="00F562AA"/>
    <w:rsid w:val="00F57A05"/>
    <w:rsid w:val="00F62C79"/>
    <w:rsid w:val="00F6450F"/>
    <w:rsid w:val="00F656D4"/>
    <w:rsid w:val="00F83CEA"/>
    <w:rsid w:val="00FA6E5A"/>
    <w:rsid w:val="00FE419C"/>
    <w:rsid w:val="00FE5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5"/>
        <o:r id="V:Rule2" type="connector" idref="#_x0000_s1054"/>
      </o:rules>
    </o:shapelayout>
  </w:shapeDefaults>
  <w:decimalSymbol w:val="."/>
  <w:listSeparator w:val=","/>
  <w14:docId w14:val="6211102B"/>
  <w15:docId w15:val="{DF1C5C4E-6708-40ED-B7A0-489AFECB1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8808B4"/>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8808B4"/>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8808B4"/>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8808B4"/>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8808B4"/>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8808B4"/>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8808B4"/>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8808B4"/>
    <w:rPr>
      <w:rFonts w:ascii="Arial" w:eastAsiaTheme="majorEastAsia" w:hAnsi="Arial" w:cstheme="majorBidi"/>
      <w:b/>
      <w:bCs/>
      <w:i/>
      <w:iCs/>
      <w:sz w:val="20"/>
    </w:rPr>
  </w:style>
  <w:style w:type="paragraph" w:styleId="ListParagraph">
    <w:name w:val="List Paragraph"/>
    <w:basedOn w:val="Normal"/>
    <w:uiPriority w:val="34"/>
    <w:qFormat/>
    <w:rsid w:val="00F44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9276">
      <w:bodyDiv w:val="1"/>
      <w:marLeft w:val="0"/>
      <w:marRight w:val="0"/>
      <w:marTop w:val="0"/>
      <w:marBottom w:val="0"/>
      <w:divBdr>
        <w:top w:val="none" w:sz="0" w:space="0" w:color="auto"/>
        <w:left w:val="none" w:sz="0" w:space="0" w:color="auto"/>
        <w:bottom w:val="none" w:sz="0" w:space="0" w:color="auto"/>
        <w:right w:val="none" w:sz="0" w:space="0" w:color="auto"/>
      </w:divBdr>
    </w:div>
    <w:div w:id="85200090">
      <w:bodyDiv w:val="1"/>
      <w:marLeft w:val="0"/>
      <w:marRight w:val="0"/>
      <w:marTop w:val="0"/>
      <w:marBottom w:val="0"/>
      <w:divBdr>
        <w:top w:val="none" w:sz="0" w:space="0" w:color="auto"/>
        <w:left w:val="none" w:sz="0" w:space="0" w:color="auto"/>
        <w:bottom w:val="none" w:sz="0" w:space="0" w:color="auto"/>
        <w:right w:val="none" w:sz="0" w:space="0" w:color="auto"/>
      </w:divBdr>
    </w:div>
    <w:div w:id="176189185">
      <w:bodyDiv w:val="1"/>
      <w:marLeft w:val="0"/>
      <w:marRight w:val="0"/>
      <w:marTop w:val="0"/>
      <w:marBottom w:val="0"/>
      <w:divBdr>
        <w:top w:val="none" w:sz="0" w:space="0" w:color="auto"/>
        <w:left w:val="none" w:sz="0" w:space="0" w:color="auto"/>
        <w:bottom w:val="none" w:sz="0" w:space="0" w:color="auto"/>
        <w:right w:val="none" w:sz="0" w:space="0" w:color="auto"/>
      </w:divBdr>
    </w:div>
    <w:div w:id="565188061">
      <w:bodyDiv w:val="1"/>
      <w:marLeft w:val="0"/>
      <w:marRight w:val="0"/>
      <w:marTop w:val="0"/>
      <w:marBottom w:val="0"/>
      <w:divBdr>
        <w:top w:val="none" w:sz="0" w:space="0" w:color="auto"/>
        <w:left w:val="none" w:sz="0" w:space="0" w:color="auto"/>
        <w:bottom w:val="none" w:sz="0" w:space="0" w:color="auto"/>
        <w:right w:val="none" w:sz="0" w:space="0" w:color="auto"/>
      </w:divBdr>
    </w:div>
    <w:div w:id="1003627440">
      <w:bodyDiv w:val="1"/>
      <w:marLeft w:val="0"/>
      <w:marRight w:val="0"/>
      <w:marTop w:val="0"/>
      <w:marBottom w:val="0"/>
      <w:divBdr>
        <w:top w:val="none" w:sz="0" w:space="0" w:color="auto"/>
        <w:left w:val="none" w:sz="0" w:space="0" w:color="auto"/>
        <w:bottom w:val="none" w:sz="0" w:space="0" w:color="auto"/>
        <w:right w:val="none" w:sz="0" w:space="0" w:color="auto"/>
      </w:divBdr>
    </w:div>
    <w:div w:id="198229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6F58C7-4BE6-42ED-9773-5600ED474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9</Pages>
  <Words>3540</Words>
  <Characters>20183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1158</cp:lastModifiedBy>
  <cp:revision>193</cp:revision>
  <dcterms:created xsi:type="dcterms:W3CDTF">2014-09-20T11:25:00Z</dcterms:created>
  <dcterms:modified xsi:type="dcterms:W3CDTF">2026-03-31T12:47:00Z</dcterms:modified>
</cp:coreProperties>
</file>