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B5658" w14:paraId="0FC3DC1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56FBAA5F" w14:textId="77777777" w:rsidR="003B5658" w:rsidRDefault="003B565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3B5658" w14:paraId="551C6F7F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67DF7FE6" w14:textId="77777777" w:rsidR="003B5658" w:rsidRDefault="003B6D7F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8C13" w14:textId="77777777" w:rsidR="003B5658" w:rsidRDefault="003B6D7F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Microbiology and Biotechnology Research: An Overview</w:t>
              </w:r>
            </w:hyperlink>
          </w:p>
        </w:tc>
      </w:tr>
      <w:tr w:rsidR="003B5658" w14:paraId="7E8BD0C1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3EEE36A0" w14:textId="77777777" w:rsidR="003B5658" w:rsidRDefault="003B6D7F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69A5" w14:textId="77777777" w:rsidR="003B5658" w:rsidRDefault="003B6D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Ms_BPR_7394</w:t>
            </w:r>
          </w:p>
        </w:tc>
      </w:tr>
      <w:tr w:rsidR="003B5658" w14:paraId="43861822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54D478F1" w14:textId="77777777" w:rsidR="003B5658" w:rsidRDefault="003B6D7F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A710" w14:textId="77777777" w:rsidR="003B5658" w:rsidRDefault="003B6D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An Assessment of the Role of Entamoeba gingivalis and Trichomonas tenax in Periodontal Disease</w:t>
            </w:r>
          </w:p>
        </w:tc>
      </w:tr>
      <w:tr w:rsidR="003B5658" w14:paraId="314147B9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0A58ABFE" w14:textId="77777777" w:rsidR="003B5658" w:rsidRDefault="003B6D7F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E85F" w14:textId="77777777" w:rsidR="003B5658" w:rsidRDefault="003B6D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30695B6D" w14:textId="77777777" w:rsidR="003B5658" w:rsidRDefault="003B5658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4E5288F" w14:textId="77777777" w:rsidR="003B5658" w:rsidRDefault="003B6D7F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7651C61F" w14:textId="77777777" w:rsidR="003B5658" w:rsidRDefault="003B5658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3A2A7ABD" w14:textId="77777777" w:rsidR="003B5658" w:rsidRDefault="003B6D7F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0AB378A9" w14:textId="77777777" w:rsidR="003B5658" w:rsidRDefault="003B6D7F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1809" wp14:editId="5D1EF7E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2F84BA" w14:textId="77777777" w:rsidR="003B5658" w:rsidRDefault="003B6D7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4303A697" w14:textId="77777777" w:rsidR="003B5658" w:rsidRDefault="003B5658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1AD295" w14:textId="77777777" w:rsidR="003B5658" w:rsidRDefault="003B6D7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60D9543" w14:textId="77777777" w:rsidR="003B5658" w:rsidRDefault="003B565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224245A" w14:textId="77777777" w:rsidR="003B5658" w:rsidRDefault="003B6D7F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Microbiology Research Journal International, 31(3): 61-72, 2021.</w:t>
                            </w:r>
                          </w:p>
                          <w:p w14:paraId="2F935196" w14:textId="77777777" w:rsidR="003B5658" w:rsidRDefault="003B6D7F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mrji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/2021/v31i330307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81809" id="Rectangle 2" o:spid="_x0000_s1026" style="position:absolute;left:0;text-align:left;margin-left:-9.6pt;margin-top:14.25pt;width:1071.35pt;height:1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">
                <v:textbox>
                  <w:txbxContent>
                    <w:p w14:paraId="1D2F84BA" w14:textId="77777777" w:rsidR="003B5658" w:rsidRDefault="003B6D7F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4303A697" w14:textId="77777777" w:rsidR="003B5658" w:rsidRDefault="003B5658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1AD295" w14:textId="77777777" w:rsidR="003B5658" w:rsidRDefault="003B6D7F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60D9543" w14:textId="77777777" w:rsidR="003B5658" w:rsidRDefault="003B565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3224245A" w14:textId="77777777" w:rsidR="003B5658" w:rsidRDefault="003B6D7F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Microbiology Research Journal International, 31(3): 61-72, 2021.</w:t>
                      </w:r>
                    </w:p>
                    <w:p w14:paraId="2F935196" w14:textId="77777777" w:rsidR="003B5658" w:rsidRDefault="003B6D7F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mrji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/2021/v31i330307</w:t>
                      </w:r>
                    </w:p>
                  </w:txbxContent>
                </v:textbox>
              </v:rect>
            </w:pict>
          </mc:Fallback>
        </mc:AlternateContent>
      </w:r>
    </w:p>
    <w:p w14:paraId="22289043" w14:textId="77777777" w:rsidR="003B5658" w:rsidRDefault="003B6D7F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09331BE8" w14:textId="77777777" w:rsidR="003B5658" w:rsidRDefault="003B56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B5658" w14:paraId="0245AEC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8C2444A" w14:textId="77777777" w:rsidR="003B5658" w:rsidRDefault="003B6D7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FC2766B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</w:tr>
      <w:tr w:rsidR="003B5658" w14:paraId="0A218B4B" w14:textId="77777777">
        <w:tc>
          <w:tcPr>
            <w:tcW w:w="1265" w:type="pct"/>
            <w:noWrap/>
          </w:tcPr>
          <w:p w14:paraId="464FD6B3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FEC5DE7" w14:textId="77777777" w:rsidR="003B5658" w:rsidRDefault="003B6D7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29DB65B3" w14:textId="77777777" w:rsidR="003B5658" w:rsidRDefault="003B5658" w:rsidP="00E20F91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0D94464" w14:textId="77777777" w:rsidR="003B5658" w:rsidRDefault="003B6D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B5658" w14:paraId="6A0B3A0E" w14:textId="77777777">
        <w:trPr>
          <w:trHeight w:val="1264"/>
        </w:trPr>
        <w:tc>
          <w:tcPr>
            <w:tcW w:w="1265" w:type="pct"/>
            <w:noWrap/>
          </w:tcPr>
          <w:p w14:paraId="43E9835A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060FBFE" w14:textId="77777777" w:rsidR="003B5658" w:rsidRDefault="003B565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B0397B" w14:textId="77777777" w:rsidR="003B5658" w:rsidRDefault="003B6D7F">
            <w:pPr>
              <w:autoSpaceDN w:val="0"/>
              <w:spacing w:after="160" w:line="276" w:lineRule="auto"/>
              <w:rPr>
                <w:rFonts w:ascii="Calibri" w:eastAsia="Calibri" w:hAnsi="Calibri"/>
                <w:b/>
                <w:bCs/>
                <w:kern w:val="2"/>
              </w:rPr>
            </w:pPr>
            <w:r>
              <w:rPr>
                <w:rFonts w:ascii="Calibri" w:eastAsia="Calibri" w:hAnsi="Calibri"/>
                <w:b/>
                <w:bCs/>
                <w:kern w:val="2"/>
              </w:rPr>
              <w:t>Abstract:</w:t>
            </w:r>
          </w:p>
          <w:p w14:paraId="2A9A076A" w14:textId="77777777" w:rsidR="003B5658" w:rsidRDefault="003B6D7F">
            <w:pPr>
              <w:spacing w:after="160" w:line="276" w:lineRule="auto"/>
              <w:rPr>
                <w:rFonts w:ascii="Calibri" w:eastAsia="Calibri" w:hAnsi="Calibri"/>
                <w:kern w:val="2"/>
              </w:rPr>
            </w:pPr>
            <w:r>
              <w:rPr>
                <w:rFonts w:ascii="Calibri" w:eastAsia="Calibri" w:hAnsi="Calibri"/>
                <w:kern w:val="2"/>
              </w:rPr>
              <w:t xml:space="preserve"> Gingivitis and periodontitis </w:t>
            </w:r>
            <w:proofErr w:type="gramStart"/>
            <w:r>
              <w:rPr>
                <w:rFonts w:ascii="Calibri" w:eastAsia="Calibri" w:hAnsi="Calibri"/>
                <w:kern w:val="2"/>
              </w:rPr>
              <w:t>is</w:t>
            </w:r>
            <w:proofErr w:type="gramEnd"/>
            <w:r>
              <w:rPr>
                <w:rFonts w:ascii="Calibri" w:eastAsia="Calibri" w:hAnsi="Calibri"/>
                <w:kern w:val="2"/>
              </w:rPr>
              <w:t xml:space="preserve">   still a common problem in the developing </w:t>
            </w:r>
            <w:proofErr w:type="spellStart"/>
            <w:proofErr w:type="gramStart"/>
            <w:r>
              <w:rPr>
                <w:rFonts w:ascii="Calibri" w:eastAsia="Calibri" w:hAnsi="Calibri"/>
                <w:kern w:val="2"/>
              </w:rPr>
              <w:t>countries,understanding</w:t>
            </w:r>
            <w:proofErr w:type="spellEnd"/>
            <w:proofErr w:type="gramEnd"/>
            <w:r>
              <w:rPr>
                <w:rFonts w:ascii="Calibri" w:eastAsia="Calibri" w:hAnsi="Calibri"/>
                <w:kern w:val="2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kern w:val="2"/>
              </w:rPr>
              <w:t>the  role</w:t>
            </w:r>
            <w:proofErr w:type="gramEnd"/>
            <w:r>
              <w:rPr>
                <w:rFonts w:ascii="Calibri" w:eastAsia="Calibri" w:hAnsi="Calibri"/>
                <w:kern w:val="2"/>
              </w:rPr>
              <w:t xml:space="preserve"> of Entamoeba gingivalis and Trichomonas </w:t>
            </w:r>
            <w:proofErr w:type="gramStart"/>
            <w:r>
              <w:rPr>
                <w:rFonts w:ascii="Calibri" w:eastAsia="Calibri" w:hAnsi="Calibri"/>
                <w:kern w:val="2"/>
              </w:rPr>
              <w:t>tenax  as</w:t>
            </w:r>
            <w:proofErr w:type="gramEnd"/>
            <w:r>
              <w:rPr>
                <w:rFonts w:ascii="Calibri" w:eastAsia="Calibri" w:hAnsi="Calibri"/>
                <w:kern w:val="2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kern w:val="2"/>
              </w:rPr>
              <w:t xml:space="preserve">an  </w:t>
            </w:r>
            <w:proofErr w:type="spellStart"/>
            <w:r>
              <w:rPr>
                <w:rFonts w:ascii="Calibri" w:eastAsia="Calibri" w:hAnsi="Calibri"/>
                <w:kern w:val="2"/>
              </w:rPr>
              <w:t>aetiology</w:t>
            </w:r>
            <w:proofErr w:type="spellEnd"/>
            <w:proofErr w:type="gramEnd"/>
            <w:r>
              <w:rPr>
                <w:rFonts w:ascii="Calibri" w:eastAsia="Calibri" w:hAnsi="Calibri"/>
                <w:kern w:val="2"/>
              </w:rPr>
              <w:t xml:space="preserve"> can prevent disease caused by these parasites can be prevented and periodontal health can </w:t>
            </w:r>
            <w:proofErr w:type="gramStart"/>
            <w:r>
              <w:rPr>
                <w:rFonts w:ascii="Calibri" w:eastAsia="Calibri" w:hAnsi="Calibri"/>
                <w:kern w:val="2"/>
              </w:rPr>
              <w:t>be  restored</w:t>
            </w:r>
            <w:proofErr w:type="gramEnd"/>
            <w:r>
              <w:rPr>
                <w:rFonts w:ascii="Calibri" w:eastAsia="Calibri" w:hAnsi="Calibri"/>
                <w:kern w:val="2"/>
              </w:rPr>
              <w:t>.</w:t>
            </w:r>
          </w:p>
          <w:p w14:paraId="721B3E47" w14:textId="77777777" w:rsidR="003B5658" w:rsidRDefault="003B565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3122A8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658" w14:paraId="2C0ADC56" w14:textId="77777777">
        <w:trPr>
          <w:trHeight w:val="1262"/>
        </w:trPr>
        <w:tc>
          <w:tcPr>
            <w:tcW w:w="1265" w:type="pct"/>
            <w:noWrap/>
          </w:tcPr>
          <w:p w14:paraId="4BBF1FAD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2EFB99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B770EEC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8454C4" w14:textId="77777777" w:rsidR="003B5658" w:rsidRDefault="003B6D7F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is okay.</w:t>
            </w:r>
          </w:p>
          <w:p w14:paraId="5CB4C5BB" w14:textId="77777777" w:rsidR="003B5658" w:rsidRDefault="003B6D7F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Other option could be</w:t>
            </w:r>
          </w:p>
          <w:p w14:paraId="1E1291AB" w14:textId="77777777" w:rsidR="003B5658" w:rsidRDefault="003B6D7F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 review on the role of Entamoeba gingivalis and Trichomonas tenax in Periodontal Disease.</w:t>
            </w:r>
          </w:p>
        </w:tc>
        <w:tc>
          <w:tcPr>
            <w:tcW w:w="1523" w:type="pct"/>
          </w:tcPr>
          <w:p w14:paraId="496B14D4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658" w14:paraId="60614A7D" w14:textId="77777777">
        <w:trPr>
          <w:trHeight w:val="1262"/>
        </w:trPr>
        <w:tc>
          <w:tcPr>
            <w:tcW w:w="1265" w:type="pct"/>
            <w:noWrap/>
          </w:tcPr>
          <w:p w14:paraId="37B3A87C" w14:textId="77777777" w:rsidR="003B5658" w:rsidRDefault="003B6D7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2535D57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30803C" w14:textId="77777777" w:rsidR="003B5658" w:rsidRDefault="003B56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6B46F65" w14:textId="77777777" w:rsidR="003B5658" w:rsidRDefault="003B6D7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2227E4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658" w14:paraId="06923AD3" w14:textId="77777777">
        <w:trPr>
          <w:trHeight w:val="859"/>
        </w:trPr>
        <w:tc>
          <w:tcPr>
            <w:tcW w:w="1265" w:type="pct"/>
            <w:noWrap/>
          </w:tcPr>
          <w:p w14:paraId="0F73967F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0614DFE" w14:textId="77777777" w:rsidR="003B5658" w:rsidRDefault="003B565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0FF9EA89" w14:textId="77777777" w:rsidR="003B5658" w:rsidRDefault="003B6D7F">
            <w:pPr>
              <w:rPr>
                <w:lang w:val="en-GB"/>
              </w:rPr>
            </w:pPr>
            <w:r>
              <w:rPr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01A73468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658" w14:paraId="3E7A0F3C" w14:textId="77777777">
        <w:trPr>
          <w:trHeight w:val="703"/>
        </w:trPr>
        <w:tc>
          <w:tcPr>
            <w:tcW w:w="1265" w:type="pct"/>
            <w:noWrap/>
          </w:tcPr>
          <w:p w14:paraId="32E7573E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00AB966" w14:textId="77777777" w:rsidR="003B5658" w:rsidRDefault="003B6D7F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67770BB" w14:textId="77777777" w:rsidR="003B5658" w:rsidRDefault="003B6D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2CA31B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658" w14:paraId="3FB2BAAB" w14:textId="77777777">
        <w:trPr>
          <w:trHeight w:val="386"/>
        </w:trPr>
        <w:tc>
          <w:tcPr>
            <w:tcW w:w="1265" w:type="pct"/>
            <w:noWrap/>
          </w:tcPr>
          <w:p w14:paraId="6BA75520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0D798EC9" w14:textId="77777777" w:rsidR="003B5658" w:rsidRDefault="003B6D7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0B6766B3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DBA4EA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3D526E37" w14:textId="77777777" w:rsidR="003B5658" w:rsidRDefault="003B6D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yes</w:t>
            </w:r>
          </w:p>
          <w:p w14:paraId="1E5AF937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23178687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5890B0D3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DC68F1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</w:tr>
      <w:tr w:rsidR="003B5658" w14:paraId="7C79CC6B" w14:textId="77777777">
        <w:trPr>
          <w:trHeight w:val="1178"/>
        </w:trPr>
        <w:tc>
          <w:tcPr>
            <w:tcW w:w="1265" w:type="pct"/>
            <w:noWrap/>
          </w:tcPr>
          <w:p w14:paraId="46B01926" w14:textId="77777777" w:rsidR="003B5658" w:rsidRDefault="003B6D7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CC19746" w14:textId="77777777" w:rsidR="003B5658" w:rsidRDefault="003B565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9D55BC7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692ECB2A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4334FD59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  <w:p w14:paraId="62E8192B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1A7EA7" w14:textId="77777777" w:rsidR="003B5658" w:rsidRDefault="003B565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7A41988" w14:textId="77777777" w:rsidR="003B5658" w:rsidRDefault="003B56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746F91" w14:textId="77777777" w:rsidR="003B5658" w:rsidRDefault="003B56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D87ECB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0E74BC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9D72A6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B2ED8F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694BF0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1C48C9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10486F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8191B9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4C2AB5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A527F7" w14:textId="77777777" w:rsidR="00163826" w:rsidRDefault="001638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E8DC81" w14:textId="77777777" w:rsidR="003B5658" w:rsidRDefault="003B56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E75BA" w:rsidRPr="00DE75BA" w14:paraId="5A92D385" w14:textId="77777777" w:rsidTr="00DE75B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F7A2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E75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5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ABF996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75BA" w:rsidRPr="00DE75BA" w14:paraId="6634500B" w14:textId="77777777" w:rsidTr="00DE75B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1F6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A2BE" w14:textId="77777777" w:rsidR="00DE75BA" w:rsidRPr="00DE75BA" w:rsidRDefault="00DE75BA" w:rsidP="00DE75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5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DD5" w14:textId="77777777" w:rsidR="00DE75BA" w:rsidRPr="00DE75BA" w:rsidRDefault="00DE75BA" w:rsidP="00DE75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75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75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BE4A46" w14:textId="77777777" w:rsidR="00DE75BA" w:rsidRPr="00DE75BA" w:rsidRDefault="00DE75BA" w:rsidP="00DE75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75BA" w:rsidRPr="00DE75BA" w14:paraId="535F1618" w14:textId="77777777" w:rsidTr="00DE75B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B67F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75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A3913AF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E9A1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5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75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75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973A326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498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F0C240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58F295" w14:textId="77777777" w:rsidR="00DE75BA" w:rsidRPr="00DE75BA" w:rsidRDefault="00DE75BA" w:rsidP="00DE75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1DF7A01" w14:textId="77777777" w:rsidR="00DE75BA" w:rsidRPr="00DE75BA" w:rsidRDefault="00DE75BA" w:rsidP="00DE75BA"/>
    <w:p w14:paraId="75581F53" w14:textId="77777777" w:rsidR="00DE75BA" w:rsidRPr="00DE75BA" w:rsidRDefault="00DE75BA" w:rsidP="00DE75BA"/>
    <w:p w14:paraId="45ED7A48" w14:textId="77777777" w:rsidR="00163826" w:rsidRDefault="00163826" w:rsidP="0016382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278F000" w14:textId="77777777" w:rsidR="00163826" w:rsidRPr="005F4EDD" w:rsidRDefault="00163826" w:rsidP="0016382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49C13A8" w14:textId="77777777" w:rsidR="00163826" w:rsidRDefault="00163826" w:rsidP="0016382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2AADDD5" w14:textId="77777777" w:rsidR="00163826" w:rsidRDefault="00163826" w:rsidP="00163826">
      <w:proofErr w:type="spellStart"/>
      <w:r>
        <w:rPr>
          <w:rFonts w:ascii="Calibri" w:hAnsi="Calibri" w:cs="Calibri"/>
          <w:color w:val="000000"/>
        </w:rPr>
        <w:t>Naorem</w:t>
      </w:r>
      <w:proofErr w:type="spellEnd"/>
      <w:r>
        <w:rPr>
          <w:rFonts w:ascii="Calibri" w:hAnsi="Calibri" w:cs="Calibri"/>
          <w:color w:val="000000"/>
        </w:rPr>
        <w:t xml:space="preserve"> Jenny, Dental Clinic </w:t>
      </w:r>
      <w:proofErr w:type="gramStart"/>
      <w:r>
        <w:rPr>
          <w:rFonts w:ascii="Calibri" w:hAnsi="Calibri" w:cs="Calibri"/>
          <w:color w:val="000000"/>
        </w:rPr>
        <w:t>And</w:t>
      </w:r>
      <w:proofErr w:type="gramEnd"/>
      <w:r>
        <w:rPr>
          <w:rFonts w:ascii="Calibri" w:hAnsi="Calibri" w:cs="Calibri"/>
          <w:color w:val="000000"/>
        </w:rPr>
        <w:t xml:space="preserve"> Research Centre, India</w:t>
      </w:r>
      <w:r>
        <w:rPr>
          <w:rFonts w:ascii="Calibri" w:hAnsi="Calibri" w:cs="Calibri"/>
          <w:color w:val="000000"/>
        </w:rPr>
        <w:br/>
      </w:r>
    </w:p>
    <w:p w14:paraId="50B69E60" w14:textId="72627348" w:rsidR="00DE75BA" w:rsidRPr="00163826" w:rsidRDefault="00DE75BA" w:rsidP="00DE75BA">
      <w:pPr>
        <w:rPr>
          <w:bCs/>
          <w:u w:val="single"/>
        </w:rPr>
      </w:pPr>
    </w:p>
    <w:bookmarkEnd w:id="1"/>
    <w:p w14:paraId="08E6B6F3" w14:textId="77777777" w:rsidR="00DE75BA" w:rsidRPr="00DE75BA" w:rsidRDefault="00DE75BA" w:rsidP="00DE75BA"/>
    <w:p w14:paraId="1605353D" w14:textId="77777777" w:rsidR="003B5658" w:rsidRDefault="003B56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B5658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72F1" w14:textId="77777777" w:rsidR="00CE0D63" w:rsidRDefault="00CE0D63">
      <w:r>
        <w:separator/>
      </w:r>
    </w:p>
  </w:endnote>
  <w:endnote w:type="continuationSeparator" w:id="0">
    <w:p w14:paraId="7E155491" w14:textId="77777777" w:rsidR="00CE0D63" w:rsidRDefault="00C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8468" w14:textId="77777777" w:rsidR="003B5658" w:rsidRDefault="003B6D7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C5F8" w14:textId="77777777" w:rsidR="00CE0D63" w:rsidRDefault="00CE0D63">
      <w:r>
        <w:separator/>
      </w:r>
    </w:p>
  </w:footnote>
  <w:footnote w:type="continuationSeparator" w:id="0">
    <w:p w14:paraId="4E382C72" w14:textId="77777777" w:rsidR="00CE0D63" w:rsidRDefault="00CE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C172" w14:textId="77777777" w:rsidR="003B5658" w:rsidRDefault="003B56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2F1385" w14:textId="77777777" w:rsidR="003B5658" w:rsidRDefault="003B56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0CBEBD" w14:textId="77777777" w:rsidR="003B5658" w:rsidRDefault="003B6D7F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583C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826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AA1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5658"/>
    <w:rsid w:val="003B6D7F"/>
    <w:rsid w:val="003D1BDE"/>
    <w:rsid w:val="003E746A"/>
    <w:rsid w:val="0040136F"/>
    <w:rsid w:val="00401C12"/>
    <w:rsid w:val="00421DBF"/>
    <w:rsid w:val="0042465A"/>
    <w:rsid w:val="00435B36"/>
    <w:rsid w:val="00441778"/>
    <w:rsid w:val="00442B24"/>
    <w:rsid w:val="004430CD"/>
    <w:rsid w:val="0044519B"/>
    <w:rsid w:val="00452F40"/>
    <w:rsid w:val="00453A1F"/>
    <w:rsid w:val="00457AB1"/>
    <w:rsid w:val="00457BC0"/>
    <w:rsid w:val="00461309"/>
    <w:rsid w:val="00462996"/>
    <w:rsid w:val="00474129"/>
    <w:rsid w:val="00477844"/>
    <w:rsid w:val="004847FF"/>
    <w:rsid w:val="00495DBB"/>
    <w:rsid w:val="004969D2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28B"/>
    <w:rsid w:val="005C25A0"/>
    <w:rsid w:val="005D230D"/>
    <w:rsid w:val="005D593C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C3A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639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099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E28"/>
    <w:rsid w:val="009F29EB"/>
    <w:rsid w:val="009F7A71"/>
    <w:rsid w:val="00A001A0"/>
    <w:rsid w:val="00A12C83"/>
    <w:rsid w:val="00A15F2F"/>
    <w:rsid w:val="00A17184"/>
    <w:rsid w:val="00A24F52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137"/>
    <w:rsid w:val="00AD6C51"/>
    <w:rsid w:val="00AE0E9B"/>
    <w:rsid w:val="00AE54CD"/>
    <w:rsid w:val="00AF3016"/>
    <w:rsid w:val="00B03A45"/>
    <w:rsid w:val="00B2236C"/>
    <w:rsid w:val="00B22FE6"/>
    <w:rsid w:val="00B278B9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6C09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0D63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5BA"/>
    <w:rsid w:val="00DE7D30"/>
    <w:rsid w:val="00DF04E3"/>
    <w:rsid w:val="00E03C32"/>
    <w:rsid w:val="00E20F9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16F3"/>
    <w:rsid w:val="00EF326D"/>
    <w:rsid w:val="00EF53FE"/>
    <w:rsid w:val="00F0483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2EF"/>
    <w:rsid w:val="00FF09A0"/>
    <w:rsid w:val="2F71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F341AC"/>
  <w15:docId w15:val="{328E0AE3-2586-430D-94F8-595680F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F9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38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1899</Characters>
  <Application>Microsoft Office Word</Application>
  <DocSecurity>0</DocSecurity>
  <Lines>15</Lines>
  <Paragraphs>4</Paragraphs>
  <ScaleCrop>false</ScaleCrop>
  <Company>HP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2026-03-19T10:54:00Z</dcterms:created>
  <dcterms:modified xsi:type="dcterms:W3CDTF">2026-03-26T10:42:00Z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1033-12.2.0.23196</vt:lpwstr>
  </property>
  <property fmtid="{D5CDD505-2E9C-101B-9397-08002B2CF9AE}" pid="4" name="ICV">
    <vt:lpwstr>18C1F49C5CEA40BD801C7B7B9565CFA5_12</vt:lpwstr>
  </property>
</Properties>
</file>