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84CD184" w:rsidR="0000007A" w:rsidRPr="00DE7D30" w:rsidRDefault="00D14B12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D14B12">
              <w:rPr>
                <w:rFonts w:ascii="Arial" w:hAnsi="Arial" w:cs="Arial"/>
                <w:b/>
                <w:bCs/>
                <w:szCs w:val="28"/>
                <w:u w:val="single"/>
              </w:rPr>
              <w:t>Tips and Tricks in Neonatal POCUS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5A05E4F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91209A" w:rsidRPr="0091209A">
              <w:rPr>
                <w:rFonts w:ascii="Arial" w:hAnsi="Arial" w:cs="Arial"/>
                <w:b/>
                <w:bCs/>
                <w:szCs w:val="28"/>
                <w:lang w:val="en-GB"/>
              </w:rPr>
              <w:t>7510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6B36184" w:rsidR="0000007A" w:rsidRPr="00DE7D30" w:rsidRDefault="000970A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0970AA">
              <w:rPr>
                <w:rFonts w:ascii="Arial" w:hAnsi="Arial" w:cs="Arial"/>
                <w:b/>
                <w:szCs w:val="28"/>
                <w:lang w:val="en-GB"/>
              </w:rPr>
              <w:t>Tips and Tricks in Neonatal POCUS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1E943EB" w:rsidR="00CF0BBB" w:rsidRPr="00DE7D30" w:rsidRDefault="00FA1F7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 xml:space="preserve">Complete </w:t>
            </w:r>
            <w:r w:rsidR="006438DF">
              <w:rPr>
                <w:rFonts w:ascii="Arial" w:hAnsi="Arial" w:cs="Arial"/>
                <w:b/>
                <w:szCs w:val="28"/>
                <w:lang w:val="en-GB"/>
              </w:rPr>
              <w:t>Book</w:t>
            </w:r>
          </w:p>
        </w:tc>
      </w:tr>
    </w:tbl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5A743ECE" w14:textId="77777777" w:rsidR="00D27A79" w:rsidRPr="00DE7D30" w:rsidRDefault="00D27A79" w:rsidP="00FA1F74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9"/>
        <w:gridCol w:w="8219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EA2AF8">
        <w:tc>
          <w:tcPr>
            <w:tcW w:w="1534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43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EA2AF8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EA2AF8">
        <w:trPr>
          <w:trHeight w:val="1264"/>
        </w:trPr>
        <w:tc>
          <w:tcPr>
            <w:tcW w:w="1534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943" w:type="pct"/>
          </w:tcPr>
          <w:p w14:paraId="10C2BAB4" w14:textId="0A412299" w:rsidR="00E01AF0" w:rsidRPr="00E01AF0" w:rsidRDefault="00E01AF0" w:rsidP="00E01AF0">
            <w:pPr>
              <w:jc w:val="both"/>
              <w:rPr>
                <w:sz w:val="20"/>
                <w:szCs w:val="20"/>
                <w:lang w:val="en-GB"/>
              </w:rPr>
            </w:pPr>
            <w:r w:rsidRPr="00E01AF0">
              <w:rPr>
                <w:sz w:val="20"/>
                <w:szCs w:val="20"/>
                <w:lang w:val="en-GB"/>
              </w:rPr>
              <w:t>This manuscript provides a highly practical and clinically relevant guide to neonatal point-of-care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E01AF0">
              <w:rPr>
                <w:sz w:val="20"/>
                <w:szCs w:val="20"/>
                <w:lang w:val="en-GB"/>
              </w:rPr>
              <w:t>ultrasound (POCUS), an area of rapidly growing importance in neonatal intensive care. The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E01AF0">
              <w:rPr>
                <w:sz w:val="20"/>
                <w:szCs w:val="20"/>
                <w:lang w:val="en-GB"/>
              </w:rPr>
              <w:t>structured, system-based approach combined with practical bedside insights makes it particularly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E01AF0">
              <w:rPr>
                <w:sz w:val="20"/>
                <w:szCs w:val="20"/>
                <w:lang w:val="en-GB"/>
              </w:rPr>
              <w:t>valuable for clinicians. It bridges the gap between theory and real-world application, improving</w:t>
            </w:r>
          </w:p>
          <w:p w14:paraId="7DBC9196" w14:textId="19813EA5" w:rsidR="00F1171E" w:rsidRPr="00900E9B" w:rsidRDefault="00E01AF0" w:rsidP="00E01AF0">
            <w:pPr>
              <w:pStyle w:val="ListParagraph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E01AF0">
              <w:rPr>
                <w:sz w:val="20"/>
                <w:szCs w:val="20"/>
                <w:lang w:val="en-GB"/>
              </w:rPr>
              <w:t>diagnostic accuracy, procedural safety, and clinical decision-making.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EA2AF8">
        <w:trPr>
          <w:trHeight w:val="1262"/>
        </w:trPr>
        <w:tc>
          <w:tcPr>
            <w:tcW w:w="1534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1943" w:type="pct"/>
          </w:tcPr>
          <w:p w14:paraId="794AA9A7" w14:textId="678D537A" w:rsidR="00F1171E" w:rsidRPr="00E01AF0" w:rsidRDefault="00E01AF0" w:rsidP="00E01AF0">
            <w:pPr>
              <w:rPr>
                <w:sz w:val="20"/>
                <w:szCs w:val="20"/>
                <w:lang w:val="en-GB"/>
              </w:rPr>
            </w:pPr>
            <w:r w:rsidRPr="00E01AF0">
              <w:rPr>
                <w:sz w:val="20"/>
                <w:szCs w:val="20"/>
                <w:lang w:val="en-GB"/>
              </w:rPr>
              <w:t>The title is appropriate and reflects the practical nature of the content. An alternative could be: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E01AF0">
              <w:rPr>
                <w:sz w:val="20"/>
                <w:szCs w:val="20"/>
                <w:lang w:val="en-GB"/>
              </w:rPr>
              <w:t>'Practical Tips and Clinical Applications of Neonatal POCUS'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EA2AF8">
        <w:trPr>
          <w:trHeight w:val="1262"/>
        </w:trPr>
        <w:tc>
          <w:tcPr>
            <w:tcW w:w="1534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1943" w:type="pct"/>
          </w:tcPr>
          <w:p w14:paraId="0FB7E83A" w14:textId="724715DE" w:rsidR="00F1171E" w:rsidRPr="002736FC" w:rsidRDefault="002736FC" w:rsidP="002736FC">
            <w:pPr>
              <w:rPr>
                <w:sz w:val="20"/>
                <w:szCs w:val="20"/>
              </w:rPr>
            </w:pPr>
            <w:r w:rsidRPr="002736FC">
              <w:rPr>
                <w:sz w:val="20"/>
                <w:szCs w:val="20"/>
              </w:rPr>
              <w:t>The manuscript lacks a clearly structured abstract. It is recommended to include a concise abstract covering background, objectives, key content areas, and clinical relevance.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EA2AF8">
        <w:trPr>
          <w:trHeight w:val="859"/>
        </w:trPr>
        <w:tc>
          <w:tcPr>
            <w:tcW w:w="1534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43" w:type="pct"/>
          </w:tcPr>
          <w:p w14:paraId="2B5A7721" w14:textId="50FC9504" w:rsidR="00F1171E" w:rsidRPr="002736FC" w:rsidRDefault="002736FC" w:rsidP="002736FC">
            <w:pPr>
              <w:rPr>
                <w:sz w:val="20"/>
                <w:szCs w:val="20"/>
              </w:rPr>
            </w:pPr>
            <w:r w:rsidRPr="002736FC">
              <w:rPr>
                <w:sz w:val="20"/>
                <w:szCs w:val="20"/>
              </w:rPr>
              <w:t>The manuscript is scientifically sound and aligns with current neonatal POCUS principles. Minor reinforcement with additional references is recommended.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EA2AF8">
        <w:trPr>
          <w:trHeight w:val="703"/>
        </w:trPr>
        <w:tc>
          <w:tcPr>
            <w:tcW w:w="1534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1943" w:type="pct"/>
          </w:tcPr>
          <w:p w14:paraId="24FE0567" w14:textId="19011D3E" w:rsidR="00F1171E" w:rsidRPr="00AB224D" w:rsidRDefault="00AB224D" w:rsidP="00AB224D">
            <w:pPr>
              <w:rPr>
                <w:sz w:val="20"/>
                <w:szCs w:val="20"/>
              </w:rPr>
            </w:pPr>
            <w:r w:rsidRPr="00AB224D">
              <w:rPr>
                <w:sz w:val="20"/>
                <w:szCs w:val="20"/>
              </w:rPr>
              <w:t>References are generally adequate but should include more recent literature (2022–2025), including guidelines and consensus statements.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EA2AF8">
        <w:trPr>
          <w:trHeight w:val="386"/>
        </w:trPr>
        <w:tc>
          <w:tcPr>
            <w:tcW w:w="1534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43" w:type="pct"/>
          </w:tcPr>
          <w:p w14:paraId="41E28118" w14:textId="4BF176D7" w:rsidR="00F1171E" w:rsidRPr="00AB224D" w:rsidRDefault="00AB224D" w:rsidP="00AB224D">
            <w:pPr>
              <w:rPr>
                <w:sz w:val="20"/>
                <w:szCs w:val="20"/>
              </w:rPr>
            </w:pPr>
            <w:r w:rsidRPr="00AB224D">
              <w:rPr>
                <w:sz w:val="20"/>
                <w:szCs w:val="20"/>
              </w:rPr>
              <w:t>The language is generally clear and readable. Minor editing is recommended to improve</w:t>
            </w:r>
            <w:r>
              <w:rPr>
                <w:sz w:val="20"/>
                <w:szCs w:val="20"/>
              </w:rPr>
              <w:t xml:space="preserve"> </w:t>
            </w:r>
            <w:r w:rsidRPr="00AB224D">
              <w:rPr>
                <w:sz w:val="20"/>
                <w:szCs w:val="20"/>
              </w:rPr>
              <w:t>consistency and maintain an academic tone.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EA2AF8">
        <w:trPr>
          <w:trHeight w:val="1178"/>
        </w:trPr>
        <w:tc>
          <w:tcPr>
            <w:tcW w:w="1534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1943" w:type="pct"/>
          </w:tcPr>
          <w:p w14:paraId="5E946A0E" w14:textId="6AF23F1E" w:rsidR="00F1171E" w:rsidRPr="00B4001F" w:rsidRDefault="00B4001F" w:rsidP="00B4001F">
            <w:pPr>
              <w:rPr>
                <w:sz w:val="20"/>
                <w:szCs w:val="20"/>
              </w:rPr>
            </w:pPr>
            <w:r w:rsidRPr="00B4001F">
              <w:rPr>
                <w:sz w:val="20"/>
                <w:szCs w:val="20"/>
              </w:rPr>
              <w:t>The 'tips and tricks' approach is a major strength. Inclusion of more figures, tables, and flowcharts</w:t>
            </w:r>
            <w:r>
              <w:rPr>
                <w:sz w:val="20"/>
                <w:szCs w:val="20"/>
              </w:rPr>
              <w:t xml:space="preserve"> </w:t>
            </w:r>
            <w:r w:rsidRPr="00B4001F">
              <w:rPr>
                <w:sz w:val="20"/>
                <w:szCs w:val="20"/>
              </w:rPr>
              <w:t>would further enhance clarity and usability.</w:t>
            </w:r>
          </w:p>
          <w:p w14:paraId="7EB58C99" w14:textId="681048FE" w:rsidR="00F1171E" w:rsidRPr="00900E9B" w:rsidRDefault="00442302" w:rsidP="007222C8">
            <w:pPr>
              <w:rPr>
                <w:sz w:val="20"/>
                <w:szCs w:val="20"/>
                <w:lang w:val="en-GB"/>
              </w:rPr>
            </w:pPr>
            <w:r w:rsidRPr="00442302">
              <w:rPr>
                <w:sz w:val="20"/>
                <w:szCs w:val="20"/>
                <w:lang w:val="en-GB"/>
              </w:rPr>
              <w:t>This is a strong and clinically valuable manuscript. Minor revisions focusing on abstract inclusion, language refinement, and updated references will enhance its quality and impact</w:t>
            </w:r>
            <w:r>
              <w:rPr>
                <w:sz w:val="20"/>
                <w:szCs w:val="20"/>
                <w:lang w:val="en-GB"/>
              </w:rPr>
              <w:t>.</w:t>
            </w: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07515B16" w:rsidR="00F1171E" w:rsidRPr="00E903D3" w:rsidRDefault="00E903D3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903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 major ethical issues identified.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67D6A495" w14:textId="77777777" w:rsidR="00382D56" w:rsidRDefault="00382D56" w:rsidP="00382D5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074CEDB" w14:textId="77777777" w:rsidR="00382D56" w:rsidRPr="005F4EDD" w:rsidRDefault="00382D56" w:rsidP="00382D5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C308286" w14:textId="77777777" w:rsidR="00382D56" w:rsidRDefault="00382D56" w:rsidP="00382D5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C0C15CA" w14:textId="77777777" w:rsidR="00382D56" w:rsidRDefault="00382D56" w:rsidP="00382D56">
      <w:r>
        <w:rPr>
          <w:rFonts w:ascii="Calibri" w:hAnsi="Calibri" w:cs="Calibri"/>
          <w:color w:val="000000"/>
        </w:rPr>
        <w:t>Adnan Walid, Apollo Imperial Hospitals, Chattogram, Bangladesh</w:t>
      </w:r>
      <w:r>
        <w:rPr>
          <w:rFonts w:ascii="Calibri" w:hAnsi="Calibri" w:cs="Calibri"/>
          <w:color w:val="000000"/>
        </w:rPr>
        <w:br/>
      </w:r>
    </w:p>
    <w:p w14:paraId="67EE2106" w14:textId="77777777" w:rsidR="004F1517" w:rsidRPr="004F1517" w:rsidRDefault="004F1517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</w:p>
    <w:sectPr w:rsidR="004F1517" w:rsidRPr="004F1517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894B4" w14:textId="77777777" w:rsidR="006C3AE9" w:rsidRPr="0000007A" w:rsidRDefault="006C3AE9" w:rsidP="0099583E">
      <w:r>
        <w:separator/>
      </w:r>
    </w:p>
  </w:endnote>
  <w:endnote w:type="continuationSeparator" w:id="0">
    <w:p w14:paraId="2D31DD32" w14:textId="77777777" w:rsidR="006C3AE9" w:rsidRPr="0000007A" w:rsidRDefault="006C3AE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2844" w14:textId="77777777" w:rsidR="006C3AE9" w:rsidRPr="0000007A" w:rsidRDefault="006C3AE9" w:rsidP="0099583E">
      <w:r>
        <w:separator/>
      </w:r>
    </w:p>
  </w:footnote>
  <w:footnote w:type="continuationSeparator" w:id="0">
    <w:p w14:paraId="57AC9630" w14:textId="77777777" w:rsidR="006C3AE9" w:rsidRPr="0000007A" w:rsidRDefault="006C3AE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4130234">
    <w:abstractNumId w:val="3"/>
  </w:num>
  <w:num w:numId="2" w16cid:durableId="713239708">
    <w:abstractNumId w:val="6"/>
  </w:num>
  <w:num w:numId="3" w16cid:durableId="1006515196">
    <w:abstractNumId w:val="5"/>
  </w:num>
  <w:num w:numId="4" w16cid:durableId="599459043">
    <w:abstractNumId w:val="7"/>
  </w:num>
  <w:num w:numId="5" w16cid:durableId="774398090">
    <w:abstractNumId w:val="4"/>
  </w:num>
  <w:num w:numId="6" w16cid:durableId="1194229086">
    <w:abstractNumId w:val="0"/>
  </w:num>
  <w:num w:numId="7" w16cid:durableId="457332725">
    <w:abstractNumId w:val="1"/>
  </w:num>
  <w:num w:numId="8" w16cid:durableId="1632175367">
    <w:abstractNumId w:val="9"/>
  </w:num>
  <w:num w:numId="9" w16cid:durableId="1399551678">
    <w:abstractNumId w:val="8"/>
  </w:num>
  <w:num w:numId="10" w16cid:durableId="1385251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970AA"/>
    <w:rsid w:val="000A2134"/>
    <w:rsid w:val="000A2D36"/>
    <w:rsid w:val="000A6F41"/>
    <w:rsid w:val="000B4EE5"/>
    <w:rsid w:val="000B6F73"/>
    <w:rsid w:val="000B74A1"/>
    <w:rsid w:val="000B757E"/>
    <w:rsid w:val="000C0837"/>
    <w:rsid w:val="000C0B04"/>
    <w:rsid w:val="000C3B7E"/>
    <w:rsid w:val="000C3C71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7995"/>
    <w:rsid w:val="001E4B3D"/>
    <w:rsid w:val="001F0B7F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4747E"/>
    <w:rsid w:val="0025366D"/>
    <w:rsid w:val="0025366F"/>
    <w:rsid w:val="00256735"/>
    <w:rsid w:val="00257F9E"/>
    <w:rsid w:val="00262634"/>
    <w:rsid w:val="002650C5"/>
    <w:rsid w:val="002736FC"/>
    <w:rsid w:val="00275984"/>
    <w:rsid w:val="00280EC9"/>
    <w:rsid w:val="00282BEE"/>
    <w:rsid w:val="002859CC"/>
    <w:rsid w:val="00291784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224F"/>
    <w:rsid w:val="00374F93"/>
    <w:rsid w:val="00377F1D"/>
    <w:rsid w:val="00382D56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302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1517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45B"/>
    <w:rsid w:val="00560D3C"/>
    <w:rsid w:val="00565D90"/>
    <w:rsid w:val="00567DE0"/>
    <w:rsid w:val="005735A5"/>
    <w:rsid w:val="0057476A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38DF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3AE9"/>
    <w:rsid w:val="006D467C"/>
    <w:rsid w:val="006E01EE"/>
    <w:rsid w:val="006E6014"/>
    <w:rsid w:val="006E7D6E"/>
    <w:rsid w:val="00700A1D"/>
    <w:rsid w:val="00700EF2"/>
    <w:rsid w:val="00701186"/>
    <w:rsid w:val="00707BE1"/>
    <w:rsid w:val="007207C8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2A87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209A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004F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224D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4188"/>
    <w:rsid w:val="00B2236C"/>
    <w:rsid w:val="00B22FE6"/>
    <w:rsid w:val="00B3033D"/>
    <w:rsid w:val="00B334D9"/>
    <w:rsid w:val="00B4001F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1F19"/>
    <w:rsid w:val="00D1283A"/>
    <w:rsid w:val="00D12970"/>
    <w:rsid w:val="00D14B12"/>
    <w:rsid w:val="00D17979"/>
    <w:rsid w:val="00D2075F"/>
    <w:rsid w:val="00D214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1AF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76AD"/>
    <w:rsid w:val="00E903D3"/>
    <w:rsid w:val="00E9533D"/>
    <w:rsid w:val="00E972A7"/>
    <w:rsid w:val="00EA2839"/>
    <w:rsid w:val="00EA2AF8"/>
    <w:rsid w:val="00EB3E91"/>
    <w:rsid w:val="00EB6E15"/>
    <w:rsid w:val="00EC6894"/>
    <w:rsid w:val="00EC77E3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1F74"/>
    <w:rsid w:val="00FA6528"/>
    <w:rsid w:val="00FB0D50"/>
    <w:rsid w:val="00FB3DE3"/>
    <w:rsid w:val="00FB5BBE"/>
    <w:rsid w:val="00FC2E17"/>
    <w:rsid w:val="00FC432A"/>
    <w:rsid w:val="00FC6387"/>
    <w:rsid w:val="00FC6802"/>
    <w:rsid w:val="00FD438A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82D5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123</cp:revision>
  <dcterms:created xsi:type="dcterms:W3CDTF">2023-08-30T09:21:00Z</dcterms:created>
  <dcterms:modified xsi:type="dcterms:W3CDTF">2026-04-16T12:14:00Z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