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B3217D" w:rsidRPr="00DC05EA" w14:paraId="4C8BA300" w14:textId="77777777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EBFFFF"/>
          </w:tcPr>
          <w:p w14:paraId="782207A1" w14:textId="77777777" w:rsidR="00B3217D" w:rsidRPr="00DC05EA" w:rsidRDefault="00B3217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B3217D" w:rsidRPr="00DC05EA" w14:paraId="319EF06E" w14:textId="77777777">
        <w:trPr>
          <w:trHeight w:val="413"/>
        </w:trPr>
        <w:tc>
          <w:tcPr>
            <w:tcW w:w="1234" w:type="pct"/>
            <w:shd w:val="clear" w:color="auto" w:fill="EBFFFF"/>
          </w:tcPr>
          <w:p w14:paraId="23F9060D" w14:textId="77777777" w:rsidR="00B3217D" w:rsidRPr="00DC05EA" w:rsidRDefault="0008098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05EA">
              <w:rPr>
                <w:rFonts w:ascii="Arial" w:hAnsi="Arial" w:cs="Arial"/>
                <w:bCs/>
                <w:sz w:val="20"/>
                <w:szCs w:val="20"/>
                <w:lang w:val="en-GB"/>
              </w:rPr>
              <w:t>Book Name:</w:t>
            </w:r>
          </w:p>
        </w:tc>
        <w:bookmarkStart w:id="0" w:name="_Hlk211611925"/>
        <w:tc>
          <w:tcPr>
            <w:tcW w:w="3766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9EC67" w14:textId="77777777" w:rsidR="00B3217D" w:rsidRPr="00DC05EA" w:rsidRDefault="00080989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C05E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/>
            </w:r>
            <w:r w:rsidRPr="00DC05E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>HYPERLINK "https://www.bookpi.org/bookstore/product/microbiology-and-biotechnology-research-an-overview-vol-1/"</w:instrText>
            </w:r>
            <w:r w:rsidRPr="00DC05E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Pr="00DC05E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DC05EA">
              <w:rPr>
                <w:rStyle w:val="Hyperlink"/>
                <w:rFonts w:ascii="Arial" w:hAnsi="Arial" w:cs="Arial"/>
                <w:b/>
                <w:bCs/>
                <w:sz w:val="20"/>
                <w:szCs w:val="20"/>
              </w:rPr>
              <w:t>Microbiology and Biotechnology Research: An Overview</w:t>
            </w:r>
            <w:r w:rsidRPr="00DC05E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  <w:bookmarkEnd w:id="0"/>
          </w:p>
        </w:tc>
      </w:tr>
      <w:tr w:rsidR="00B3217D" w:rsidRPr="00DC05EA" w14:paraId="62EACD85" w14:textId="77777777">
        <w:trPr>
          <w:trHeight w:val="290"/>
        </w:trPr>
        <w:tc>
          <w:tcPr>
            <w:tcW w:w="1234" w:type="pct"/>
            <w:shd w:val="clear" w:color="auto" w:fill="EBFFFF"/>
          </w:tcPr>
          <w:p w14:paraId="397A6A9A" w14:textId="77777777" w:rsidR="00B3217D" w:rsidRPr="00DC05EA" w:rsidRDefault="0008098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05E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86A17" w14:textId="77777777" w:rsidR="00B3217D" w:rsidRPr="00DC05EA" w:rsidRDefault="000809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DC05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Ms_BPR_6607</w:t>
            </w:r>
          </w:p>
        </w:tc>
      </w:tr>
      <w:tr w:rsidR="00B3217D" w:rsidRPr="00DC05EA" w14:paraId="636180C0" w14:textId="77777777">
        <w:trPr>
          <w:trHeight w:val="331"/>
        </w:trPr>
        <w:tc>
          <w:tcPr>
            <w:tcW w:w="1234" w:type="pct"/>
            <w:shd w:val="clear" w:color="auto" w:fill="EBFFFF"/>
          </w:tcPr>
          <w:p w14:paraId="64DB46FF" w14:textId="77777777" w:rsidR="00B3217D" w:rsidRPr="00DC05EA" w:rsidRDefault="0008098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05E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FA31E" w14:textId="77777777" w:rsidR="00B3217D" w:rsidRPr="00DC05EA" w:rsidRDefault="000809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DC05EA">
              <w:rPr>
                <w:rFonts w:ascii="Arial" w:hAnsi="Arial" w:cs="Arial"/>
                <w:b/>
                <w:sz w:val="20"/>
                <w:szCs w:val="20"/>
                <w:lang w:val="en-GB"/>
              </w:rPr>
              <w:t>Efficiency of Pseudomonas putida in bioremediation of chlorpyrifos toxicity</w:t>
            </w:r>
          </w:p>
        </w:tc>
      </w:tr>
      <w:tr w:rsidR="00B3217D" w:rsidRPr="00DC05EA" w14:paraId="408909BD" w14:textId="77777777">
        <w:trPr>
          <w:trHeight w:val="332"/>
        </w:trPr>
        <w:tc>
          <w:tcPr>
            <w:tcW w:w="1234" w:type="pct"/>
            <w:shd w:val="clear" w:color="auto" w:fill="EBFFFF"/>
          </w:tcPr>
          <w:p w14:paraId="2E953133" w14:textId="77777777" w:rsidR="00B3217D" w:rsidRPr="00DC05EA" w:rsidRDefault="0008098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05E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D3723" w14:textId="77777777" w:rsidR="00B3217D" w:rsidRPr="00DC05EA" w:rsidRDefault="000809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05EA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64477133" w14:textId="77777777" w:rsidR="00B3217D" w:rsidRPr="00DC05EA" w:rsidRDefault="00B3217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3CE8DB1" w14:textId="77777777" w:rsidR="00B3217D" w:rsidRPr="00DC05EA" w:rsidRDefault="00B3217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521DCB" w14:textId="77777777" w:rsidR="00B3217D" w:rsidRPr="00DC05EA" w:rsidRDefault="00080989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DC05EA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B4DE178" w14:textId="77777777" w:rsidR="00B3217D" w:rsidRPr="00DC05EA" w:rsidRDefault="00B3217D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15CF8194" w14:textId="77777777" w:rsidR="00B3217D" w:rsidRPr="00DC05EA" w:rsidRDefault="00080989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DC05EA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4AABB18" w14:textId="77777777" w:rsidR="00B3217D" w:rsidRPr="00DC05EA" w:rsidRDefault="00080989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DC05EA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DC19D7" wp14:editId="18D84E6F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5080" t="4445" r="15875" b="11430"/>
                <wp:wrapNone/>
                <wp:docPr id="1" name="Rectangl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B11F8C1" w14:textId="77777777" w:rsidR="00B3217D" w:rsidRDefault="00080989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B80FF5E" w14:textId="77777777" w:rsidR="00B3217D" w:rsidRDefault="00B3217D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1ED1B1B6" w14:textId="77777777" w:rsidR="00B3217D" w:rsidRDefault="00080989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9B50A2" w14:textId="77777777" w:rsidR="00B3217D" w:rsidRDefault="00B3217D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A71358F" w14:textId="77777777" w:rsidR="00B3217D" w:rsidRDefault="00080989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IOP Conf. Series: Earth and Environmental Science, 722 (2021) 012040.</w:t>
                            </w:r>
                          </w:p>
                          <w:p w14:paraId="64209F91" w14:textId="77777777" w:rsidR="00B3217D" w:rsidRDefault="00080989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Doi:10.1088/1755-1315/722/1/012040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6ADC19D7" id="Rectangles 2" o:spid="_x0000_s1026" style="position:absolute;left:0;text-align:left;margin-left:-9.6pt;margin-top:14.25pt;width:1071.35pt;height:12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">
                <v:textbox>
                  <w:txbxContent>
                    <w:p w14:paraId="7B11F8C1" w14:textId="77777777" w:rsidR="00B3217D" w:rsidRDefault="00080989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B80FF5E" w14:textId="77777777" w:rsidR="00B3217D" w:rsidRDefault="00B3217D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1ED1B1B6" w14:textId="77777777" w:rsidR="00B3217D" w:rsidRDefault="00080989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9B50A2" w14:textId="77777777" w:rsidR="00B3217D" w:rsidRDefault="00B3217D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7A71358F" w14:textId="77777777" w:rsidR="00B3217D" w:rsidRDefault="00080989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IOP Conf. Series: Earth and Environmental Science, 722 (2021) 012040.</w:t>
                      </w:r>
                    </w:p>
                    <w:p w14:paraId="64209F91" w14:textId="77777777" w:rsidR="00B3217D" w:rsidRDefault="00080989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Doi:10.1088/1755-1315/722/1/012040</w:t>
                      </w:r>
                    </w:p>
                  </w:txbxContent>
                </v:textbox>
              </v:rect>
            </w:pict>
          </mc:Fallback>
        </mc:AlternateContent>
      </w:r>
    </w:p>
    <w:p w14:paraId="34D867A1" w14:textId="77777777" w:rsidR="00B3217D" w:rsidRPr="00DC05EA" w:rsidRDefault="0008098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DC05EA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6D0C5225" w14:textId="77777777" w:rsidR="00B3217D" w:rsidRPr="00DC05EA" w:rsidRDefault="00B3217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B3217D" w:rsidRPr="00DC05EA" w14:paraId="4E866213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CB83A4C" w14:textId="77777777" w:rsidR="00B3217D" w:rsidRPr="00DC05EA" w:rsidRDefault="0008098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05E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C05EA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A13BF8" w14:textId="77777777" w:rsidR="00B3217D" w:rsidRPr="00DC05EA" w:rsidRDefault="00B321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3217D" w:rsidRPr="00DC05EA" w14:paraId="114A4E94" w14:textId="77777777">
        <w:tc>
          <w:tcPr>
            <w:tcW w:w="1265" w:type="pct"/>
            <w:noWrap/>
          </w:tcPr>
          <w:p w14:paraId="146D4999" w14:textId="77777777" w:rsidR="00B3217D" w:rsidRPr="00DC05EA" w:rsidRDefault="00B3217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3FAD2C21" w14:textId="77777777" w:rsidR="00B3217D" w:rsidRPr="00DC05EA" w:rsidRDefault="0008098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05EA">
              <w:rPr>
                <w:rFonts w:ascii="Arial" w:hAnsi="Arial" w:cs="Arial"/>
                <w:lang w:val="en-GB"/>
              </w:rPr>
              <w:t>Reviewer’s comment</w:t>
            </w:r>
          </w:p>
          <w:p w14:paraId="7182B4A5" w14:textId="77777777" w:rsidR="00B3217D" w:rsidRPr="00DC05EA" w:rsidRDefault="000809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05E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3E5902CC" w14:textId="77777777" w:rsidR="00B3217D" w:rsidRPr="00DC05EA" w:rsidRDefault="00B321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2" w:type="pct"/>
          </w:tcPr>
          <w:p w14:paraId="77CD1277" w14:textId="77777777" w:rsidR="00B3217D" w:rsidRPr="00DC05EA" w:rsidRDefault="0008098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C05EA">
              <w:rPr>
                <w:rFonts w:ascii="Arial" w:hAnsi="Arial" w:cs="Arial"/>
                <w:lang w:val="en-GB"/>
              </w:rPr>
              <w:t>Author’s Feedback</w:t>
            </w:r>
            <w:r w:rsidRPr="00DC05E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C05EA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B3217D" w:rsidRPr="00DC05EA" w14:paraId="751EB38D" w14:textId="77777777">
        <w:trPr>
          <w:trHeight w:val="1264"/>
        </w:trPr>
        <w:tc>
          <w:tcPr>
            <w:tcW w:w="1265" w:type="pct"/>
            <w:noWrap/>
          </w:tcPr>
          <w:p w14:paraId="6AB5343E" w14:textId="77777777" w:rsidR="00B3217D" w:rsidRPr="00DC05EA" w:rsidRDefault="000809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05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44A21C5E" w14:textId="77777777" w:rsidR="00B3217D" w:rsidRPr="00DC05EA" w:rsidRDefault="00B3217D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A2726EE" w14:textId="77777777" w:rsidR="00B3217D" w:rsidRPr="00DC05EA" w:rsidRDefault="0008098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05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</w:t>
            </w:r>
            <w:r w:rsidRPr="00DC05E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is </w:t>
            </w:r>
            <w:proofErr w:type="gramStart"/>
            <w:r w:rsidRPr="00DC05EA">
              <w:rPr>
                <w:rFonts w:ascii="Arial" w:hAnsi="Arial" w:cs="Arial"/>
                <w:bCs/>
                <w:sz w:val="20"/>
                <w:szCs w:val="20"/>
                <w:lang w:val="en-GB"/>
              </w:rPr>
              <w:t>a re</w:t>
            </w:r>
            <w:r w:rsidRPr="00DC05EA">
              <w:rPr>
                <w:rFonts w:ascii="Arial" w:hAnsi="Arial" w:cs="Arial"/>
                <w:bCs/>
                <w:sz w:val="20"/>
                <w:szCs w:val="20"/>
              </w:rPr>
              <w:t>search</w:t>
            </w:r>
            <w:proofErr w:type="gramEnd"/>
            <w:r w:rsidRPr="00DC05E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of great importance to science, especially in</w:t>
            </w:r>
            <w:r w:rsidRPr="00DC05EA">
              <w:rPr>
                <w:rFonts w:ascii="Arial" w:hAnsi="Arial" w:cs="Arial"/>
                <w:bCs/>
                <w:sz w:val="20"/>
                <w:szCs w:val="20"/>
              </w:rPr>
              <w:t xml:space="preserve"> BIOREMEDIATION and </w:t>
            </w:r>
            <w:r w:rsidRPr="00DC05EA">
              <w:rPr>
                <w:rFonts w:ascii="Arial" w:hAnsi="Arial" w:cs="Arial"/>
                <w:sz w:val="20"/>
                <w:szCs w:val="20"/>
              </w:rPr>
              <w:t>Organophosphorus pesticide TOXICITY</w:t>
            </w:r>
            <w:r w:rsidRPr="00DC05EA">
              <w:rPr>
                <w:rFonts w:ascii="Arial" w:hAnsi="Arial" w:cs="Arial"/>
                <w:bCs/>
                <w:sz w:val="20"/>
                <w:szCs w:val="20"/>
                <w:lang w:val="en-GB"/>
              </w:rPr>
              <w:t>. It will have a lot to contribute to the scientific society at large</w:t>
            </w:r>
            <w:r w:rsidRPr="00DC05EA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522" w:type="pct"/>
          </w:tcPr>
          <w:p w14:paraId="6B0D37B3" w14:textId="77777777" w:rsidR="00B3217D" w:rsidRPr="00DC05EA" w:rsidRDefault="00B3217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3217D" w:rsidRPr="00DC05EA" w14:paraId="7237FF4B" w14:textId="77777777">
        <w:trPr>
          <w:trHeight w:val="1262"/>
        </w:trPr>
        <w:tc>
          <w:tcPr>
            <w:tcW w:w="1265" w:type="pct"/>
            <w:noWrap/>
          </w:tcPr>
          <w:p w14:paraId="35DB2D39" w14:textId="77777777" w:rsidR="00B3217D" w:rsidRPr="00DC05EA" w:rsidRDefault="000809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05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462A712" w14:textId="77777777" w:rsidR="00B3217D" w:rsidRPr="00DC05EA" w:rsidRDefault="000809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05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47B01C54" w14:textId="77777777" w:rsidR="00B3217D" w:rsidRPr="00DC05EA" w:rsidRDefault="00B3217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A3BA499" w14:textId="77777777" w:rsidR="00B3217D" w:rsidRPr="00DC05EA" w:rsidRDefault="00080989" w:rsidP="004B337F">
            <w:p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DC05EA">
              <w:rPr>
                <w:rFonts w:ascii="Arial" w:hAnsi="Arial" w:cs="Arial"/>
                <w:bCs/>
                <w:sz w:val="20"/>
                <w:szCs w:val="20"/>
                <w:lang w:val="en-GB"/>
              </w:rPr>
              <w:t>I am ok with the title; it expresses what it wants or attempts to portray.</w:t>
            </w:r>
            <w:r w:rsidRPr="00DC05EA">
              <w:rPr>
                <w:rFonts w:ascii="Arial" w:hAnsi="Arial" w:cs="Arial"/>
                <w:bCs/>
                <w:sz w:val="20"/>
                <w:szCs w:val="20"/>
              </w:rPr>
              <w:t xml:space="preserve"> I will only need the author to sort out the biological name.</w:t>
            </w:r>
          </w:p>
        </w:tc>
        <w:tc>
          <w:tcPr>
            <w:tcW w:w="1522" w:type="pct"/>
          </w:tcPr>
          <w:p w14:paraId="6D265281" w14:textId="77777777" w:rsidR="00B3217D" w:rsidRPr="00DC05EA" w:rsidRDefault="00B3217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3217D" w:rsidRPr="00DC05EA" w14:paraId="613D8AFB" w14:textId="77777777">
        <w:trPr>
          <w:trHeight w:val="1262"/>
        </w:trPr>
        <w:tc>
          <w:tcPr>
            <w:tcW w:w="1265" w:type="pct"/>
            <w:noWrap/>
          </w:tcPr>
          <w:p w14:paraId="6949D7C1" w14:textId="77777777" w:rsidR="00B3217D" w:rsidRPr="00DC05EA" w:rsidRDefault="00080989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C05E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50E6FC86" w14:textId="77777777" w:rsidR="00B3217D" w:rsidRPr="00DC05EA" w:rsidRDefault="00B3217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87292B8" w14:textId="77777777" w:rsidR="00B3217D" w:rsidRPr="00DC05EA" w:rsidRDefault="00080989">
            <w:p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DC05EA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abstract is concise, encompasses all segments, and is acceptable</w:t>
            </w:r>
            <w:r w:rsidRPr="00DC05EA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522" w:type="pct"/>
          </w:tcPr>
          <w:p w14:paraId="6E738837" w14:textId="77777777" w:rsidR="00B3217D" w:rsidRPr="00DC05EA" w:rsidRDefault="00B3217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3217D" w:rsidRPr="00DC05EA" w14:paraId="30D48120" w14:textId="77777777">
        <w:trPr>
          <w:trHeight w:val="859"/>
        </w:trPr>
        <w:tc>
          <w:tcPr>
            <w:tcW w:w="1265" w:type="pct"/>
            <w:noWrap/>
          </w:tcPr>
          <w:p w14:paraId="1109B9B2" w14:textId="77777777" w:rsidR="00B3217D" w:rsidRPr="00DC05EA" w:rsidRDefault="000809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C05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3D259477" w14:textId="77777777" w:rsidR="00B3217D" w:rsidRPr="00DC05EA" w:rsidRDefault="004B33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05E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it is.</w:t>
            </w:r>
          </w:p>
        </w:tc>
        <w:tc>
          <w:tcPr>
            <w:tcW w:w="1522" w:type="pct"/>
          </w:tcPr>
          <w:p w14:paraId="65BD78E9" w14:textId="77777777" w:rsidR="00B3217D" w:rsidRPr="00DC05EA" w:rsidRDefault="00B3217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3217D" w:rsidRPr="00DC05EA" w14:paraId="297E710D" w14:textId="77777777">
        <w:trPr>
          <w:trHeight w:val="703"/>
        </w:trPr>
        <w:tc>
          <w:tcPr>
            <w:tcW w:w="1265" w:type="pct"/>
            <w:noWrap/>
          </w:tcPr>
          <w:p w14:paraId="636A737A" w14:textId="77777777" w:rsidR="00B3217D" w:rsidRPr="00DC05EA" w:rsidRDefault="000809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05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05DCFAC5" w14:textId="77777777" w:rsidR="00B3217D" w:rsidRPr="00DC05EA" w:rsidRDefault="000809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C05E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098D1D2E" w14:textId="77777777" w:rsidR="00B3217D" w:rsidRPr="00DC05EA" w:rsidRDefault="0008098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05E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References are sufficient for the write-up but not enough to address the span of the work. Please I implore the author to work and search out more recent references. </w:t>
            </w:r>
          </w:p>
        </w:tc>
        <w:tc>
          <w:tcPr>
            <w:tcW w:w="1522" w:type="pct"/>
          </w:tcPr>
          <w:p w14:paraId="05A51760" w14:textId="77777777" w:rsidR="00B3217D" w:rsidRPr="00DC05EA" w:rsidRDefault="00B3217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3217D" w:rsidRPr="00DC05EA" w14:paraId="2800899F" w14:textId="77777777">
        <w:trPr>
          <w:trHeight w:val="386"/>
        </w:trPr>
        <w:tc>
          <w:tcPr>
            <w:tcW w:w="1265" w:type="pct"/>
            <w:noWrap/>
          </w:tcPr>
          <w:p w14:paraId="72C3DBE2" w14:textId="77777777" w:rsidR="00B3217D" w:rsidRPr="00DC05EA" w:rsidRDefault="00B3217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ED756F9" w14:textId="77777777" w:rsidR="00B3217D" w:rsidRPr="00DC05EA" w:rsidRDefault="00080989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C05E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063081A0" w14:textId="77777777" w:rsidR="00B3217D" w:rsidRPr="00DC05EA" w:rsidRDefault="00B321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DE99193" w14:textId="77777777" w:rsidR="00B3217D" w:rsidRPr="00DC05EA" w:rsidRDefault="000809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05EA">
              <w:rPr>
                <w:rFonts w:ascii="Arial" w:hAnsi="Arial" w:cs="Arial"/>
                <w:sz w:val="20"/>
                <w:szCs w:val="20"/>
                <w:lang w:val="en-GB"/>
              </w:rPr>
              <w:t>Yes, it is.</w:t>
            </w:r>
          </w:p>
        </w:tc>
        <w:tc>
          <w:tcPr>
            <w:tcW w:w="1522" w:type="pct"/>
          </w:tcPr>
          <w:p w14:paraId="54825B97" w14:textId="77777777" w:rsidR="00B3217D" w:rsidRPr="00DC05EA" w:rsidRDefault="00B321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3217D" w:rsidRPr="00DC05EA" w14:paraId="4B92C3C2" w14:textId="77777777">
        <w:trPr>
          <w:trHeight w:val="1178"/>
        </w:trPr>
        <w:tc>
          <w:tcPr>
            <w:tcW w:w="1265" w:type="pct"/>
            <w:noWrap/>
          </w:tcPr>
          <w:p w14:paraId="37AC6377" w14:textId="77777777" w:rsidR="00B3217D" w:rsidRPr="00DC05EA" w:rsidRDefault="00080989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C05E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C05E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C05E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6B70A9BD" w14:textId="77777777" w:rsidR="00B3217D" w:rsidRPr="00DC05EA" w:rsidRDefault="00B3217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C2CABDF" w14:textId="77777777" w:rsidR="00B3217D" w:rsidRPr="00DC05EA" w:rsidRDefault="000809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05E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 </w:t>
            </w:r>
            <w:r w:rsidRPr="00DC05EA">
              <w:rPr>
                <w:rFonts w:ascii="Arial" w:hAnsi="Arial" w:cs="Arial"/>
                <w:sz w:val="20"/>
                <w:szCs w:val="20"/>
                <w:lang w:val="en-GB"/>
              </w:rPr>
              <w:t>have commented on the review and would like the author to address these comments to elaborate on the topic and to bring the re</w:t>
            </w:r>
            <w:r w:rsidRPr="00DC05EA">
              <w:rPr>
                <w:rFonts w:ascii="Arial" w:hAnsi="Arial" w:cs="Arial"/>
                <w:sz w:val="20"/>
                <w:szCs w:val="20"/>
              </w:rPr>
              <w:t>search</w:t>
            </w:r>
            <w:r w:rsidRPr="00DC05E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DC05EA">
              <w:rPr>
                <w:rFonts w:ascii="Arial" w:hAnsi="Arial" w:cs="Arial"/>
                <w:sz w:val="20"/>
                <w:szCs w:val="20"/>
              </w:rPr>
              <w:t xml:space="preserve">up to date and </w:t>
            </w:r>
            <w:r w:rsidRPr="00DC05EA">
              <w:rPr>
                <w:rFonts w:ascii="Arial" w:hAnsi="Arial" w:cs="Arial"/>
                <w:sz w:val="20"/>
                <w:szCs w:val="20"/>
                <w:lang w:val="en-GB"/>
              </w:rPr>
              <w:t xml:space="preserve">to an in-depth </w:t>
            </w:r>
            <w:r w:rsidRPr="00DC05EA">
              <w:rPr>
                <w:rFonts w:ascii="Arial" w:hAnsi="Arial" w:cs="Arial"/>
                <w:sz w:val="20"/>
                <w:szCs w:val="20"/>
              </w:rPr>
              <w:t>scientific study</w:t>
            </w:r>
            <w:r w:rsidRPr="00DC05EA">
              <w:rPr>
                <w:rFonts w:ascii="Arial" w:hAnsi="Arial" w:cs="Arial"/>
                <w:sz w:val="20"/>
                <w:szCs w:val="20"/>
                <w:lang w:val="en-GB"/>
              </w:rPr>
              <w:t xml:space="preserve"> of great importance.</w:t>
            </w:r>
          </w:p>
        </w:tc>
        <w:tc>
          <w:tcPr>
            <w:tcW w:w="1522" w:type="pct"/>
          </w:tcPr>
          <w:p w14:paraId="38CA7FBA" w14:textId="77777777" w:rsidR="00B3217D" w:rsidRPr="00DC05EA" w:rsidRDefault="00B321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86CC45D" w14:textId="77777777" w:rsidR="00B3217D" w:rsidRPr="00DC05EA" w:rsidRDefault="00B3217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FB60A49" w14:textId="77777777" w:rsidR="00B3217D" w:rsidRPr="00DC05EA" w:rsidRDefault="00B3217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5B57EF0" w14:textId="77777777" w:rsidR="00B3217D" w:rsidRPr="00DC05EA" w:rsidRDefault="00B3217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ED3B704" w14:textId="77777777" w:rsidR="00B3217D" w:rsidRPr="00DC05EA" w:rsidRDefault="00B3217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2121FF" w14:textId="77777777" w:rsidR="00B3217D" w:rsidRPr="00DC05EA" w:rsidRDefault="00B3217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21EBC2" w14:textId="77777777" w:rsidR="00B3217D" w:rsidRPr="00DC05EA" w:rsidRDefault="00B3217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D5E4D30" w14:textId="77777777" w:rsidR="00B3217D" w:rsidRDefault="00B3217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D336A4C" w14:textId="77777777" w:rsidR="00DC05EA" w:rsidRDefault="00DC05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FC38830" w14:textId="77777777" w:rsidR="00DC05EA" w:rsidRDefault="00DC05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095C99C" w14:textId="77777777" w:rsidR="00DC05EA" w:rsidRPr="00DC05EA" w:rsidRDefault="00DC05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5C410DD" w14:textId="77777777" w:rsidR="00B3217D" w:rsidRPr="00DC05EA" w:rsidRDefault="00B3217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DC7D3D0" w14:textId="77777777" w:rsidR="00B3217D" w:rsidRPr="00DC05EA" w:rsidRDefault="00B3217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615B11F" w14:textId="77777777" w:rsidR="00B3217D" w:rsidRPr="00DC05EA" w:rsidRDefault="00B3217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938D4F2" w14:textId="77777777" w:rsidR="00B3217D" w:rsidRPr="00DC05EA" w:rsidRDefault="00B3217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44E03DC" w14:textId="77777777" w:rsidR="00B3217D" w:rsidRPr="00DC05EA" w:rsidRDefault="00B3217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FF6CE63" w14:textId="77777777" w:rsidR="00B3217D" w:rsidRPr="00DC05EA" w:rsidRDefault="00B3217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7"/>
        <w:gridCol w:w="8642"/>
        <w:gridCol w:w="5681"/>
      </w:tblGrid>
      <w:tr w:rsidR="00B3217D" w:rsidRPr="00DC05EA" w14:paraId="1FA2D80A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EB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88009" w14:textId="77777777" w:rsidR="00B3217D" w:rsidRPr="00DC05EA" w:rsidRDefault="000809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C05EA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DC05EA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034AB78" w14:textId="77777777" w:rsidR="00B3217D" w:rsidRPr="00DC05EA" w:rsidRDefault="00B3217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3217D" w:rsidRPr="00DC05EA" w14:paraId="61F7AD78" w14:textId="77777777" w:rsidTr="005A35B1">
        <w:trPr>
          <w:trHeight w:val="935"/>
        </w:trPr>
        <w:tc>
          <w:tcPr>
            <w:tcW w:w="1614" w:type="pct"/>
            <w:shd w:val="clear" w:color="auto" w:fill="EB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6A903" w14:textId="77777777" w:rsidR="00B3217D" w:rsidRPr="00DC05EA" w:rsidRDefault="00B3217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EA677" w14:textId="77777777" w:rsidR="00B3217D" w:rsidRPr="00DC05EA" w:rsidRDefault="0008098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05EA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3" w:type="pct"/>
            <w:shd w:val="clear" w:color="auto" w:fill="EBFFFF"/>
          </w:tcPr>
          <w:p w14:paraId="0CD4FCEC" w14:textId="77777777" w:rsidR="00B3217D" w:rsidRPr="00DC05EA" w:rsidRDefault="0008098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C05EA">
              <w:rPr>
                <w:rFonts w:ascii="Arial" w:hAnsi="Arial" w:cs="Arial"/>
                <w:lang w:val="en-GB"/>
              </w:rPr>
              <w:t>Author’s comment</w:t>
            </w:r>
            <w:r w:rsidRPr="00DC05E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C05EA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B3217D" w:rsidRPr="00DC05EA" w14:paraId="46693E0E" w14:textId="77777777" w:rsidTr="005A35B1">
        <w:trPr>
          <w:trHeight w:val="697"/>
        </w:trPr>
        <w:tc>
          <w:tcPr>
            <w:tcW w:w="1614" w:type="pct"/>
            <w:shd w:val="clear" w:color="auto" w:fill="EB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6B639" w14:textId="77777777" w:rsidR="00B3217D" w:rsidRPr="00DC05EA" w:rsidRDefault="000809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05E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3499C8B" w14:textId="77777777" w:rsidR="00B3217D" w:rsidRPr="00DC05EA" w:rsidRDefault="00B3217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779CF" w14:textId="77777777" w:rsidR="00B3217D" w:rsidRPr="00DC05EA" w:rsidRDefault="000809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C05E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C05E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C05E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2BD8B099" w14:textId="77777777" w:rsidR="00B3217D" w:rsidRPr="00DC05EA" w:rsidRDefault="00B3217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32FBB27A" w14:textId="77777777" w:rsidR="00B3217D" w:rsidRPr="00DC05EA" w:rsidRDefault="000809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05EA">
              <w:rPr>
                <w:rFonts w:ascii="Arial" w:hAnsi="Arial" w:cs="Arial"/>
                <w:sz w:val="20"/>
                <w:szCs w:val="20"/>
                <w:lang w:val="en-GB"/>
              </w:rPr>
              <w:t>NONE</w:t>
            </w:r>
          </w:p>
        </w:tc>
        <w:tc>
          <w:tcPr>
            <w:tcW w:w="1343" w:type="pct"/>
            <w:shd w:val="clear" w:color="auto" w:fill="EBFFFF"/>
            <w:vAlign w:val="center"/>
          </w:tcPr>
          <w:p w14:paraId="7CFAC470" w14:textId="77777777" w:rsidR="00B3217D" w:rsidRPr="00DC05EA" w:rsidRDefault="00B3217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B4EFFE3" w14:textId="77777777" w:rsidR="00B3217D" w:rsidRPr="00DC05EA" w:rsidRDefault="00B3217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0BB8366" w14:textId="77777777" w:rsidR="00B3217D" w:rsidRPr="00DC05EA" w:rsidRDefault="00B3217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4ACDB64" w14:textId="77777777" w:rsidR="00B3217D" w:rsidRPr="00DC05EA" w:rsidRDefault="00B3217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7CAD1B6" w14:textId="77777777" w:rsidR="00B3217D" w:rsidRDefault="00B3217D">
      <w:pPr>
        <w:rPr>
          <w:rFonts w:ascii="Arial" w:hAnsi="Arial" w:cs="Arial"/>
          <w:b/>
          <w:sz w:val="20"/>
          <w:szCs w:val="20"/>
          <w:lang w:val="en-GB"/>
        </w:rPr>
      </w:pPr>
    </w:p>
    <w:p w14:paraId="68C4E4FA" w14:textId="77777777" w:rsidR="00DC05EA" w:rsidRPr="00CF61CB" w:rsidRDefault="00DC05EA" w:rsidP="00DC05E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F61CB">
        <w:rPr>
          <w:rFonts w:ascii="Arial" w:hAnsi="Arial" w:cs="Arial"/>
          <w:b/>
          <w:u w:val="single"/>
        </w:rPr>
        <w:t>Reviewer details:</w:t>
      </w:r>
    </w:p>
    <w:p w14:paraId="6491396A" w14:textId="77777777" w:rsidR="00DC05EA" w:rsidRPr="00CF61CB" w:rsidRDefault="00DC05EA" w:rsidP="00DC05E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CF61CB">
        <w:rPr>
          <w:rFonts w:ascii="Arial" w:hAnsi="Arial" w:cs="Arial"/>
          <w:b/>
          <w:color w:val="000000"/>
        </w:rPr>
        <w:t>Joan U. Imah-Harry, Nigeria</w:t>
      </w:r>
    </w:p>
    <w:p w14:paraId="519ED593" w14:textId="77777777" w:rsidR="00DC05EA" w:rsidRPr="00DC05EA" w:rsidRDefault="00DC05EA">
      <w:pPr>
        <w:rPr>
          <w:rFonts w:ascii="Arial" w:hAnsi="Arial" w:cs="Arial"/>
          <w:b/>
          <w:sz w:val="20"/>
          <w:szCs w:val="20"/>
        </w:rPr>
      </w:pPr>
    </w:p>
    <w:sectPr w:rsidR="00DC05EA" w:rsidRPr="00DC05EA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4D2EF" w14:textId="77777777" w:rsidR="00327E42" w:rsidRDefault="00327E42">
      <w:r>
        <w:separator/>
      </w:r>
    </w:p>
  </w:endnote>
  <w:endnote w:type="continuationSeparator" w:id="0">
    <w:p w14:paraId="3572FFFC" w14:textId="77777777" w:rsidR="00327E42" w:rsidRDefault="00327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D3FD" w14:textId="77777777" w:rsidR="00B3217D" w:rsidRDefault="00080989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(05-12-2024)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12A07" w14:textId="77777777" w:rsidR="00327E42" w:rsidRDefault="00327E42">
      <w:r>
        <w:separator/>
      </w:r>
    </w:p>
  </w:footnote>
  <w:footnote w:type="continuationSeparator" w:id="0">
    <w:p w14:paraId="3B6CDC8F" w14:textId="77777777" w:rsidR="00327E42" w:rsidRDefault="00327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ECD48" w14:textId="77777777" w:rsidR="00B3217D" w:rsidRDefault="00B3217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9F622B1" w14:textId="77777777" w:rsidR="00B3217D" w:rsidRDefault="00B3217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29DAA7C" w14:textId="77777777" w:rsidR="00B3217D" w:rsidRDefault="00080989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0989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37936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27E42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D728F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337F"/>
    <w:rsid w:val="004B4CAD"/>
    <w:rsid w:val="004B4FDC"/>
    <w:rsid w:val="004C0178"/>
    <w:rsid w:val="004C3DF1"/>
    <w:rsid w:val="004D2E36"/>
    <w:rsid w:val="004E08E3"/>
    <w:rsid w:val="004E1D1A"/>
    <w:rsid w:val="004E4915"/>
    <w:rsid w:val="004F203F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35B1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6F143C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33D28"/>
    <w:rsid w:val="00942DEE"/>
    <w:rsid w:val="00944F67"/>
    <w:rsid w:val="009553EC"/>
    <w:rsid w:val="00955E45"/>
    <w:rsid w:val="00962B70"/>
    <w:rsid w:val="00967C62"/>
    <w:rsid w:val="00976916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217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316"/>
    <w:rsid w:val="00D40416"/>
    <w:rsid w:val="00D430AB"/>
    <w:rsid w:val="00D4782A"/>
    <w:rsid w:val="00D709EB"/>
    <w:rsid w:val="00D7603E"/>
    <w:rsid w:val="00D90124"/>
    <w:rsid w:val="00D90C66"/>
    <w:rsid w:val="00D9392F"/>
    <w:rsid w:val="00D9427C"/>
    <w:rsid w:val="00DA2679"/>
    <w:rsid w:val="00DA3C3D"/>
    <w:rsid w:val="00DA41F5"/>
    <w:rsid w:val="00DB7E1B"/>
    <w:rsid w:val="00DC05EA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428E4D16"/>
    <w:rsid w:val="66836DBB"/>
    <w:rsid w:val="719B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6795210"/>
  <w15:docId w15:val="{7C1687AE-5D33-440D-B962-A3D62C72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paragraph" w:styleId="CommentText">
    <w:name w:val="annotation text"/>
    <w:basedOn w:val="Normal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eading2Char">
    <w:name w:val="Heading 2 Char"/>
    <w:basedOn w:val="DefaultParagraphFont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DC05E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408</Words>
  <Characters>2331</Characters>
  <Application>Microsoft Office Word</Application>
  <DocSecurity>0</DocSecurity>
  <Lines>19</Lines>
  <Paragraphs>5</Paragraphs>
  <ScaleCrop>false</ScaleCrop>
  <Company>HP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108</cp:revision>
  <dcterms:created xsi:type="dcterms:W3CDTF">2023-08-30T09:21:00Z</dcterms:created>
  <dcterms:modified xsi:type="dcterms:W3CDTF">2025-10-27T10:51:00Z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  <property fmtid="{D5CDD505-2E9C-101B-9397-08002B2CF9AE}" pid="3" name="KSOProductBuildVer">
    <vt:lpwstr>1033-12.2.0.22549</vt:lpwstr>
  </property>
  <property fmtid="{D5CDD505-2E9C-101B-9397-08002B2CF9AE}" pid="4" name="ICV">
    <vt:lpwstr>97F01F39511444BF98ACDCF4A79A8D30_13</vt:lpwstr>
  </property>
</Properties>
</file>