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65E6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65E6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765E6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65E6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65E6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765E6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AAB858" w:rsidR="0000007A" w:rsidRPr="00765E6E" w:rsidRDefault="00C04AA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765E6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765E6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65E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65E6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467C36F" w:rsidR="0000007A" w:rsidRPr="00765E6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765E6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765E6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765E6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70AF8" w:rsidRPr="00765E6E">
              <w:rPr>
                <w:rFonts w:ascii="Arial" w:hAnsi="Arial" w:cs="Arial"/>
                <w:b/>
                <w:bCs/>
                <w:szCs w:val="28"/>
                <w:lang w:val="en-GB"/>
              </w:rPr>
              <w:t>7028</w:t>
            </w:r>
          </w:p>
        </w:tc>
      </w:tr>
      <w:tr w:rsidR="0000007A" w:rsidRPr="00765E6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65E6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65E6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A24ACC" w:rsidR="0000007A" w:rsidRPr="00765E6E" w:rsidRDefault="00331B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65E6E">
              <w:rPr>
                <w:rFonts w:ascii="Arial" w:hAnsi="Arial" w:cs="Arial"/>
                <w:b/>
                <w:szCs w:val="28"/>
                <w:lang w:val="en-GB"/>
              </w:rPr>
              <w:t xml:space="preserve">Feature Engineering – Augmenting IIoT </w:t>
            </w:r>
            <w:proofErr w:type="spellStart"/>
            <w:r w:rsidRPr="00765E6E">
              <w:rPr>
                <w:rFonts w:ascii="Arial" w:hAnsi="Arial" w:cs="Arial"/>
                <w:b/>
                <w:szCs w:val="28"/>
                <w:lang w:val="en-GB"/>
              </w:rPr>
              <w:t>Spatio</w:t>
            </w:r>
            <w:proofErr w:type="spellEnd"/>
            <w:r w:rsidRPr="00765E6E">
              <w:rPr>
                <w:rFonts w:ascii="Arial" w:hAnsi="Arial" w:cs="Arial"/>
                <w:b/>
                <w:szCs w:val="28"/>
                <w:lang w:val="en-GB"/>
              </w:rPr>
              <w:t>-Temporal Query Mechanism by Tokenization</w:t>
            </w:r>
          </w:p>
        </w:tc>
      </w:tr>
      <w:tr w:rsidR="00CF0BBB" w:rsidRPr="00765E6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65E6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765E6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3F22582" w:rsidR="00CF0BBB" w:rsidRPr="00765E6E" w:rsidRDefault="008D24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765E6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765E6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765E6E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765E6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0"/>
        <w:gridCol w:w="9378"/>
        <w:gridCol w:w="6442"/>
      </w:tblGrid>
      <w:tr w:rsidR="00F1171E" w:rsidRPr="00765E6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5E6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65E6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65E6E" w14:paraId="5EA12279" w14:textId="77777777" w:rsidTr="00765E6E">
        <w:tc>
          <w:tcPr>
            <w:tcW w:w="1260" w:type="pct"/>
            <w:noWrap/>
          </w:tcPr>
          <w:p w14:paraId="7AE9682F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7" w:type="pct"/>
          </w:tcPr>
          <w:p w14:paraId="5B8DBE06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65E6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65E6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5E6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65E6E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65E6E">
              <w:rPr>
                <w:rFonts w:ascii="Arial" w:hAnsi="Arial" w:cs="Arial"/>
                <w:lang w:val="en-GB"/>
              </w:rPr>
              <w:t>Author’s Feedback</w:t>
            </w:r>
            <w:r w:rsidRPr="00765E6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65E6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65E6E" w14:paraId="5C0AB4EC" w14:textId="77777777" w:rsidTr="00765E6E">
        <w:trPr>
          <w:trHeight w:val="1264"/>
        </w:trPr>
        <w:tc>
          <w:tcPr>
            <w:tcW w:w="1260" w:type="pct"/>
            <w:noWrap/>
          </w:tcPr>
          <w:p w14:paraId="66B47184" w14:textId="48030299" w:rsidR="00F1171E" w:rsidRPr="00765E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5E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65E6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7" w:type="pct"/>
          </w:tcPr>
          <w:p w14:paraId="7DBC9196" w14:textId="2932CCFB" w:rsidR="00F1171E" w:rsidRPr="00765E6E" w:rsidRDefault="00F424B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5E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​</w:t>
            </w:r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 xml:space="preserve"> This manuscript provides a significant framework for integrating 6G cellular networks with NB-IOT devices to enhance Industrial IoT (IIoT) capabilities. By addressing critical technical hurdles such as Inter-Symbol Interference (ISI) and Peak-to-Average Power Ratio (PAPR), the study offers a robust methodology for high-accuracy localization (under 1cm). The transition between producer and consumer models for IIoT successfully bridges the gap between raw data acquisition and cloud-based application services. This work is essential for developing sustainable, energy-efficient smart city infrastructures aligned with UN SDGs. </w:t>
            </w:r>
          </w:p>
        </w:tc>
        <w:tc>
          <w:tcPr>
            <w:tcW w:w="1523" w:type="pct"/>
          </w:tcPr>
          <w:p w14:paraId="462A339C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5E6E" w14:paraId="0D8B5B2C" w14:textId="77777777" w:rsidTr="00765E6E">
        <w:trPr>
          <w:trHeight w:val="1262"/>
        </w:trPr>
        <w:tc>
          <w:tcPr>
            <w:tcW w:w="1260" w:type="pct"/>
            <w:noWrap/>
          </w:tcPr>
          <w:p w14:paraId="21CBA5FE" w14:textId="77777777" w:rsidR="00F1171E" w:rsidRPr="00765E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5E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65E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5E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7" w:type="pct"/>
          </w:tcPr>
          <w:p w14:paraId="4F33AB9F" w14:textId="77777777" w:rsidR="00F424B2" w:rsidRPr="00765E6E" w:rsidRDefault="00F424B2" w:rsidP="00F424B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 xml:space="preserve">Yes, the title "Feature Engineering – Augmenting IIoT </w:t>
            </w:r>
            <w:proofErr w:type="spellStart"/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>Spatio</w:t>
            </w:r>
            <w:proofErr w:type="spellEnd"/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>-Temporal Query Mechanism by Tokenization" accurately reflects the technical focus on data structuring for IIoT.</w:t>
            </w:r>
          </w:p>
          <w:p w14:paraId="0C4BC5C9" w14:textId="77777777" w:rsidR="00F424B2" w:rsidRPr="00765E6E" w:rsidRDefault="00F424B2" w:rsidP="00F424B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>  </w:t>
            </w:r>
          </w:p>
          <w:p w14:paraId="51EF6D63" w14:textId="77777777" w:rsidR="00F424B2" w:rsidRPr="00765E6E" w:rsidRDefault="00F424B2" w:rsidP="00F424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4AA9A7" w14:textId="77777777" w:rsidR="00F1171E" w:rsidRPr="00765E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5E6E" w14:paraId="5604762A" w14:textId="77777777" w:rsidTr="00765E6E">
        <w:trPr>
          <w:trHeight w:val="1262"/>
        </w:trPr>
        <w:tc>
          <w:tcPr>
            <w:tcW w:w="1260" w:type="pct"/>
            <w:noWrap/>
          </w:tcPr>
          <w:p w14:paraId="3635573D" w14:textId="77777777" w:rsidR="00F1171E" w:rsidRPr="00765E6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65E6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7" w:type="pct"/>
          </w:tcPr>
          <w:p w14:paraId="0FB7E83A" w14:textId="7A2D2CDD" w:rsidR="00F1171E" w:rsidRPr="00765E6E" w:rsidRDefault="00F424B2" w:rsidP="00F424B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>Yes. It clearly outlines the ISRO-RESPOND 2024 requirements and the technical specifications for NB-IOT in SATCOM.</w:t>
            </w:r>
          </w:p>
        </w:tc>
        <w:tc>
          <w:tcPr>
            <w:tcW w:w="1523" w:type="pct"/>
          </w:tcPr>
          <w:p w14:paraId="1D54B730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5E6E" w14:paraId="2F579F54" w14:textId="77777777" w:rsidTr="00765E6E">
        <w:trPr>
          <w:trHeight w:val="859"/>
        </w:trPr>
        <w:tc>
          <w:tcPr>
            <w:tcW w:w="1260" w:type="pct"/>
            <w:noWrap/>
          </w:tcPr>
          <w:p w14:paraId="04361F46" w14:textId="368783AB" w:rsidR="00F1171E" w:rsidRPr="00765E6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5E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7" w:type="pct"/>
          </w:tcPr>
          <w:p w14:paraId="52EC3BA0" w14:textId="77777777" w:rsidR="00F424B2" w:rsidRPr="00765E6E" w:rsidRDefault="00F424B2" w:rsidP="00F424B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>Yes. The methodology utilizes established 3GPP and IEEE 802.15.4i standards and provides detailed mathematical and logical flow for signal modulation and network routing.  </w:t>
            </w:r>
          </w:p>
          <w:p w14:paraId="4BB851CD" w14:textId="77777777" w:rsidR="00F424B2" w:rsidRPr="00765E6E" w:rsidRDefault="00F424B2" w:rsidP="00F424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5A7721" w14:textId="77777777" w:rsidR="00F1171E" w:rsidRPr="00765E6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5E6E" w14:paraId="73739464" w14:textId="77777777" w:rsidTr="00765E6E">
        <w:trPr>
          <w:trHeight w:val="703"/>
        </w:trPr>
        <w:tc>
          <w:tcPr>
            <w:tcW w:w="1260" w:type="pct"/>
            <w:noWrap/>
          </w:tcPr>
          <w:p w14:paraId="09C25322" w14:textId="77777777" w:rsidR="00F1171E" w:rsidRPr="00765E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65E6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65E6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65E6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7" w:type="pct"/>
          </w:tcPr>
          <w:p w14:paraId="1A75539D" w14:textId="77777777" w:rsidR="00F424B2" w:rsidRPr="00765E6E" w:rsidRDefault="00F424B2" w:rsidP="00F424B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>No, the references include standard foundational texts and recent 3GPP release documentation and research papers through 2021.  But it needs to add recent articles. </w:t>
            </w:r>
          </w:p>
          <w:p w14:paraId="22157D63" w14:textId="77777777" w:rsidR="00F424B2" w:rsidRPr="00765E6E" w:rsidRDefault="00F424B2" w:rsidP="00F424B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FE0567" w14:textId="77777777" w:rsidR="00F1171E" w:rsidRPr="00765E6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65E6E" w14:paraId="73CC4A50" w14:textId="77777777" w:rsidTr="00765E6E">
        <w:trPr>
          <w:trHeight w:val="386"/>
        </w:trPr>
        <w:tc>
          <w:tcPr>
            <w:tcW w:w="1260" w:type="pct"/>
            <w:noWrap/>
          </w:tcPr>
          <w:p w14:paraId="029CE8D0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65E6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65E6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7" w:type="pct"/>
          </w:tcPr>
          <w:p w14:paraId="0A07EA75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C1556EB" w:rsidR="00F1171E" w:rsidRPr="00765E6E" w:rsidRDefault="00F424B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>Yes, the technical language is appropriate for a high-level scholarly book chapter. </w:t>
            </w:r>
          </w:p>
          <w:p w14:paraId="41E28118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65E6E" w14:paraId="20A16C0C" w14:textId="77777777" w:rsidTr="00765E6E">
        <w:trPr>
          <w:trHeight w:val="1178"/>
        </w:trPr>
        <w:tc>
          <w:tcPr>
            <w:tcW w:w="1260" w:type="pct"/>
            <w:noWrap/>
          </w:tcPr>
          <w:p w14:paraId="7F4BCFAE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65E6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65E6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65E6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65E6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7" w:type="pct"/>
          </w:tcPr>
          <w:p w14:paraId="1E347C61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6062B0" w14:textId="77777777" w:rsidR="00F424B2" w:rsidRPr="00765E6E" w:rsidRDefault="00F424B2" w:rsidP="00F424B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List of Suggested Minor Revisions</w:t>
            </w:r>
          </w:p>
          <w:p w14:paraId="36B6C684" w14:textId="77777777" w:rsidR="00F424B2" w:rsidRPr="00765E6E" w:rsidRDefault="00F424B2" w:rsidP="00F424B2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1CEA81DC" w14:textId="32D88B8B" w:rsidR="00F424B2" w:rsidRPr="00765E6E" w:rsidRDefault="00F424B2" w:rsidP="00F424B2">
            <w:pPr>
              <w:pStyle w:val="Normal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5E6E">
              <w:rPr>
                <w:rFonts w:ascii="Arial" w:hAnsi="Arial" w:cs="Arial"/>
                <w:color w:val="000000"/>
                <w:sz w:val="20"/>
                <w:szCs w:val="20"/>
              </w:rPr>
              <w:t>1. Improve Figure Resolution: Several diagrams, specifically Figure 1 and Figure 16, appear slightly pixelated or contain low-resolution text that may be difficult to read in the final print version. The author should provide high-definition versions of all schematic diagrams.  </w:t>
            </w:r>
          </w:p>
          <w:p w14:paraId="6B848878" w14:textId="77777777" w:rsidR="00F424B2" w:rsidRPr="00765E6E" w:rsidRDefault="00F424B2" w:rsidP="00F424B2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56746299" w14:textId="01864C4F" w:rsidR="00F424B2" w:rsidRPr="00765E6E" w:rsidRDefault="00A52C9B" w:rsidP="00A52C9B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F424B2" w:rsidRPr="00765E6E">
              <w:rPr>
                <w:rFonts w:ascii="Arial" w:hAnsi="Arial" w:cs="Arial"/>
                <w:sz w:val="20"/>
                <w:szCs w:val="20"/>
              </w:rPr>
              <w:t>Clarify SC-FDMA/OFDM Application: While the methodology discusses these techniques for 6G WSN, the author should explicitly clarify how the proposed "novel power amplifier circuit" specifically addresses the Peak-to-Average Power Ratio (PAPR) compared to standard existing models.  </w:t>
            </w:r>
          </w:p>
          <w:p w14:paraId="49F75CED" w14:textId="77777777" w:rsidR="00F424B2" w:rsidRPr="00765E6E" w:rsidRDefault="00F424B2" w:rsidP="00A52C9B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B4C5AB" w14:textId="228CF378" w:rsidR="00F424B2" w:rsidRPr="00765E6E" w:rsidRDefault="00A52C9B" w:rsidP="00A52C9B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F424B2" w:rsidRPr="00765E6E">
              <w:rPr>
                <w:rFonts w:ascii="Arial" w:hAnsi="Arial" w:cs="Arial"/>
                <w:sz w:val="20"/>
                <w:szCs w:val="20"/>
              </w:rPr>
              <w:t xml:space="preserve">Expand on Tokenization Mechanism: The title mentions "Tokenization," but the body of the manuscript could benefit from a more detailed explanation of how these tokens are generated and managed within the </w:t>
            </w:r>
            <w:proofErr w:type="spellStart"/>
            <w:r w:rsidR="00F424B2" w:rsidRPr="00765E6E">
              <w:rPr>
                <w:rFonts w:ascii="Arial" w:hAnsi="Arial" w:cs="Arial"/>
                <w:sz w:val="20"/>
                <w:szCs w:val="20"/>
              </w:rPr>
              <w:t>spatio</w:t>
            </w:r>
            <w:proofErr w:type="spellEnd"/>
            <w:r w:rsidR="00F424B2" w:rsidRPr="00765E6E">
              <w:rPr>
                <w:rFonts w:ascii="Arial" w:hAnsi="Arial" w:cs="Arial"/>
                <w:sz w:val="20"/>
                <w:szCs w:val="20"/>
              </w:rPr>
              <w:t>-temporal query mechanism to improve search efficiency.  </w:t>
            </w:r>
          </w:p>
          <w:p w14:paraId="7F0FF53A" w14:textId="77777777" w:rsidR="00F424B2" w:rsidRPr="00765E6E" w:rsidRDefault="00F424B2" w:rsidP="00A52C9B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223FB68C" w14:textId="1C55276C" w:rsidR="00F424B2" w:rsidRPr="00765E6E" w:rsidRDefault="00A52C9B" w:rsidP="00A52C9B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F424B2" w:rsidRPr="00765E6E">
              <w:rPr>
                <w:rFonts w:ascii="Arial" w:hAnsi="Arial" w:cs="Arial"/>
                <w:sz w:val="20"/>
                <w:szCs w:val="20"/>
              </w:rPr>
              <w:t>Update Recent Literature: Although the references are sufficient, adding 1–2 citations from 2024–2025 regarding the latest 3GPP Release 18 or 19 standards would further strengthen the "National/International Status" section.  </w:t>
            </w:r>
          </w:p>
          <w:p w14:paraId="014AD1BC" w14:textId="77777777" w:rsidR="00F424B2" w:rsidRPr="00765E6E" w:rsidRDefault="00F424B2" w:rsidP="00A52C9B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2E5CC79B" w14:textId="5D5BC7BA" w:rsidR="00F424B2" w:rsidRPr="00765E6E" w:rsidRDefault="00A52C9B" w:rsidP="00A52C9B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="00F424B2" w:rsidRPr="00765E6E">
              <w:rPr>
                <w:rFonts w:ascii="Arial" w:hAnsi="Arial" w:cs="Arial"/>
                <w:sz w:val="20"/>
                <w:szCs w:val="20"/>
              </w:rPr>
              <w:t>Consistency in Acronyms: Ensure that all acronyms (e.g., PDU, SC-FDMA, IIoT) are defined at their first mention in both the Abstract and the Introduction to assist readers less familiar with the specific 3GPP nomenclature.  </w:t>
            </w:r>
          </w:p>
          <w:p w14:paraId="38624287" w14:textId="77777777" w:rsidR="00F424B2" w:rsidRPr="00765E6E" w:rsidRDefault="00F424B2" w:rsidP="00A52C9B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2C9F0362" w14:textId="73E58CF1" w:rsidR="00F424B2" w:rsidRPr="00765E6E" w:rsidRDefault="00F424B2" w:rsidP="00A52C9B">
            <w:pPr>
              <w:rPr>
                <w:rFonts w:ascii="Arial" w:hAnsi="Arial" w:cs="Arial"/>
                <w:sz w:val="20"/>
                <w:szCs w:val="20"/>
              </w:rPr>
            </w:pPr>
            <w:r w:rsidRPr="00765E6E">
              <w:rPr>
                <w:rFonts w:ascii="Arial" w:hAnsi="Arial" w:cs="Arial"/>
                <w:sz w:val="20"/>
                <w:szCs w:val="20"/>
              </w:rPr>
              <w:t>​</w:t>
            </w:r>
            <w:r w:rsidR="00A52C9B" w:rsidRPr="00765E6E">
              <w:rPr>
                <w:rFonts w:ascii="Arial" w:hAnsi="Arial" w:cs="Arial"/>
                <w:sz w:val="20"/>
                <w:szCs w:val="20"/>
              </w:rPr>
              <w:t xml:space="preserve">6. </w:t>
            </w:r>
            <w:r w:rsidRPr="00765E6E">
              <w:rPr>
                <w:rFonts w:ascii="Arial" w:hAnsi="Arial" w:cs="Arial"/>
                <w:sz w:val="20"/>
                <w:szCs w:val="20"/>
              </w:rPr>
              <w:t>Refine Mathematical Notations: In section 3.1, the author should ensure all variables in the "</w:t>
            </w:r>
            <w:proofErr w:type="gramStart"/>
            <w:r w:rsidRPr="00765E6E">
              <w:rPr>
                <w:rFonts w:ascii="Arial" w:hAnsi="Arial" w:cs="Arial"/>
                <w:sz w:val="20"/>
                <w:szCs w:val="20"/>
              </w:rPr>
              <w:t>log(</w:t>
            </w:r>
            <w:proofErr w:type="gramEnd"/>
            <w:r w:rsidRPr="00765E6E">
              <w:rPr>
                <w:rFonts w:ascii="Arial" w:hAnsi="Arial" w:cs="Arial"/>
                <w:sz w:val="20"/>
                <w:szCs w:val="20"/>
              </w:rPr>
              <w:t>Ep/Nb)" and "</w:t>
            </w:r>
            <w:proofErr w:type="spellStart"/>
            <w:r w:rsidRPr="00765E6E">
              <w:rPr>
                <w:rFonts w:ascii="Arial" w:hAnsi="Arial" w:cs="Arial"/>
                <w:sz w:val="20"/>
                <w:szCs w:val="20"/>
              </w:rPr>
              <w:t>Tnorm</w:t>
            </w:r>
            <w:proofErr w:type="spellEnd"/>
            <w:r w:rsidRPr="00765E6E">
              <w:rPr>
                <w:rFonts w:ascii="Arial" w:hAnsi="Arial" w:cs="Arial"/>
                <w:sz w:val="20"/>
                <w:szCs w:val="20"/>
              </w:rPr>
              <w:t>" formulas are consistently defined in a standard nomenclature table to avoid ambiguity during the IDFT sampling analysis.  </w:t>
            </w:r>
          </w:p>
          <w:p w14:paraId="7EB58C99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65E6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2AFC8648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B83E5D" w14:textId="1B3D5732" w:rsidR="000003C3" w:rsidRPr="00765E6E" w:rsidRDefault="00000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46D1BD" w14:textId="06E8F876" w:rsidR="000003C3" w:rsidRPr="00765E6E" w:rsidRDefault="00000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906E35" w14:textId="69E0A897" w:rsidR="000003C3" w:rsidRPr="00765E6E" w:rsidRDefault="00000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B091AE" w14:textId="12D19E79" w:rsidR="000003C3" w:rsidRPr="00765E6E" w:rsidRDefault="00000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B94EC5" w14:textId="760F81A1" w:rsidR="000003C3" w:rsidRPr="00765E6E" w:rsidRDefault="00000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ECE1D1" w14:textId="599FF128" w:rsidR="000003C3" w:rsidRPr="00765E6E" w:rsidRDefault="00000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F36A63" w14:textId="00455686" w:rsidR="000003C3" w:rsidRPr="00765E6E" w:rsidRDefault="00000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14FE22" w14:textId="63666C0A" w:rsidR="000003C3" w:rsidRPr="00765E6E" w:rsidRDefault="00000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4BB670" w14:textId="77777777" w:rsidR="000003C3" w:rsidRPr="00765E6E" w:rsidRDefault="000003C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0003C3" w:rsidRPr="00765E6E" w14:paraId="0774C02F" w14:textId="77777777" w:rsidTr="000003C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2E130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65E6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65E6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D15C6B4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003C3" w:rsidRPr="00765E6E" w14:paraId="5DDC83EF" w14:textId="77777777" w:rsidTr="000003C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87EB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408BB" w14:textId="77777777" w:rsidR="000003C3" w:rsidRPr="00765E6E" w:rsidRDefault="000003C3" w:rsidP="000003C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65E6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6EB" w14:textId="77777777" w:rsidR="000003C3" w:rsidRPr="00765E6E" w:rsidRDefault="000003C3" w:rsidP="000003C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65E6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65E6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07905B4" w14:textId="77777777" w:rsidR="000003C3" w:rsidRPr="00765E6E" w:rsidRDefault="000003C3" w:rsidP="000003C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03C3" w:rsidRPr="00765E6E" w14:paraId="70E94FD8" w14:textId="77777777" w:rsidTr="000003C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E54D8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65E6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3C9C752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08183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65E6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65E6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65E6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BA547A6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629A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6589BC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561B854" w14:textId="77777777" w:rsidR="000003C3" w:rsidRPr="00765E6E" w:rsidRDefault="000003C3" w:rsidP="000003C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1A90FCC" w14:textId="77777777" w:rsidR="000003C3" w:rsidRPr="00765E6E" w:rsidRDefault="000003C3" w:rsidP="000003C3">
      <w:pPr>
        <w:rPr>
          <w:rFonts w:ascii="Arial" w:hAnsi="Arial" w:cs="Arial"/>
        </w:rPr>
      </w:pPr>
    </w:p>
    <w:p w14:paraId="0DCFE88B" w14:textId="77777777" w:rsidR="000003C3" w:rsidRPr="00765E6E" w:rsidRDefault="000003C3" w:rsidP="000003C3">
      <w:pPr>
        <w:rPr>
          <w:rFonts w:ascii="Arial" w:hAnsi="Arial" w:cs="Arial"/>
        </w:rPr>
      </w:pPr>
    </w:p>
    <w:p w14:paraId="7C18D164" w14:textId="77777777" w:rsidR="000003C3" w:rsidRPr="00765E6E" w:rsidRDefault="000003C3" w:rsidP="000003C3">
      <w:pPr>
        <w:rPr>
          <w:rFonts w:ascii="Arial" w:hAnsi="Arial" w:cs="Arial"/>
          <w:bCs/>
          <w:u w:val="single"/>
          <w:lang w:val="en-GB"/>
        </w:rPr>
      </w:pPr>
    </w:p>
    <w:bookmarkEnd w:id="1"/>
    <w:p w14:paraId="5F25F2AC" w14:textId="77777777" w:rsidR="000003C3" w:rsidRPr="00765E6E" w:rsidRDefault="000003C3" w:rsidP="000003C3">
      <w:pPr>
        <w:rPr>
          <w:rFonts w:ascii="Arial" w:hAnsi="Arial" w:cs="Arial"/>
        </w:rPr>
      </w:pPr>
    </w:p>
    <w:p w14:paraId="3D0DF835" w14:textId="77777777" w:rsidR="00765E6E" w:rsidRPr="0076194B" w:rsidRDefault="00765E6E" w:rsidP="00765E6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6194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BF7DA2D" w14:textId="77777777" w:rsidR="00765E6E" w:rsidRPr="0076194B" w:rsidRDefault="00765E6E" w:rsidP="00765E6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76194B">
        <w:rPr>
          <w:rFonts w:ascii="Arial" w:hAnsi="Arial" w:cs="Arial"/>
          <w:b/>
          <w:color w:val="000000"/>
        </w:rPr>
        <w:t>Sharmin Sultana Akhi, Monroe University, USA</w:t>
      </w:r>
    </w:p>
    <w:p w14:paraId="25E7AF2A" w14:textId="77777777" w:rsidR="00F1171E" w:rsidRPr="00765E6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765E6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953DD" w14:textId="77777777" w:rsidR="00BF0DC1" w:rsidRPr="0000007A" w:rsidRDefault="00BF0DC1" w:rsidP="0099583E">
      <w:r>
        <w:separator/>
      </w:r>
    </w:p>
  </w:endnote>
  <w:endnote w:type="continuationSeparator" w:id="0">
    <w:p w14:paraId="0E9F151F" w14:textId="77777777" w:rsidR="00BF0DC1" w:rsidRPr="0000007A" w:rsidRDefault="00BF0DC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6ED8" w14:textId="77777777" w:rsidR="00BF0DC1" w:rsidRPr="0000007A" w:rsidRDefault="00BF0DC1" w:rsidP="0099583E">
      <w:r>
        <w:separator/>
      </w:r>
    </w:p>
  </w:footnote>
  <w:footnote w:type="continuationSeparator" w:id="0">
    <w:p w14:paraId="60FFF8CF" w14:textId="77777777" w:rsidR="00BF0DC1" w:rsidRPr="0000007A" w:rsidRDefault="00BF0DC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57DAF"/>
    <w:multiLevelType w:val="multilevel"/>
    <w:tmpl w:val="D10077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556D4"/>
    <w:multiLevelType w:val="multilevel"/>
    <w:tmpl w:val="71485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F766A"/>
    <w:multiLevelType w:val="multilevel"/>
    <w:tmpl w:val="0CFC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13CFF"/>
    <w:multiLevelType w:val="multilevel"/>
    <w:tmpl w:val="998288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A107EC"/>
    <w:multiLevelType w:val="multilevel"/>
    <w:tmpl w:val="4D7AA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515920"/>
    <w:multiLevelType w:val="multilevel"/>
    <w:tmpl w:val="EF6EEF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9321023">
    <w:abstractNumId w:val="5"/>
  </w:num>
  <w:num w:numId="2" w16cid:durableId="361050849">
    <w:abstractNumId w:val="9"/>
  </w:num>
  <w:num w:numId="3" w16cid:durableId="452288089">
    <w:abstractNumId w:val="8"/>
  </w:num>
  <w:num w:numId="4" w16cid:durableId="1511023355">
    <w:abstractNumId w:val="10"/>
  </w:num>
  <w:num w:numId="5" w16cid:durableId="1570308534">
    <w:abstractNumId w:val="7"/>
  </w:num>
  <w:num w:numId="6" w16cid:durableId="1122503691">
    <w:abstractNumId w:val="0"/>
  </w:num>
  <w:num w:numId="7" w16cid:durableId="1062826266">
    <w:abstractNumId w:val="3"/>
  </w:num>
  <w:num w:numId="8" w16cid:durableId="196935694">
    <w:abstractNumId w:val="14"/>
  </w:num>
  <w:num w:numId="9" w16cid:durableId="939875812">
    <w:abstractNumId w:val="13"/>
  </w:num>
  <w:num w:numId="10" w16cid:durableId="610434459">
    <w:abstractNumId w:val="4"/>
  </w:num>
  <w:num w:numId="11" w16cid:durableId="2083215353">
    <w:abstractNumId w:val="6"/>
  </w:num>
  <w:num w:numId="12" w16cid:durableId="77138964">
    <w:abstractNumId w:val="12"/>
    <w:lvlOverride w:ilvl="0">
      <w:lvl w:ilvl="0">
        <w:numFmt w:val="decimal"/>
        <w:lvlText w:val="%1."/>
        <w:lvlJc w:val="left"/>
      </w:lvl>
    </w:lvlOverride>
  </w:num>
  <w:num w:numId="13" w16cid:durableId="819155496">
    <w:abstractNumId w:val="1"/>
    <w:lvlOverride w:ilvl="0">
      <w:lvl w:ilvl="0">
        <w:numFmt w:val="decimal"/>
        <w:lvlText w:val="%1."/>
        <w:lvlJc w:val="left"/>
      </w:lvl>
    </w:lvlOverride>
  </w:num>
  <w:num w:numId="14" w16cid:durableId="699014340">
    <w:abstractNumId w:val="2"/>
    <w:lvlOverride w:ilvl="0">
      <w:lvl w:ilvl="0">
        <w:numFmt w:val="decimal"/>
        <w:lvlText w:val="%1."/>
        <w:lvlJc w:val="left"/>
      </w:lvl>
    </w:lvlOverride>
  </w:num>
  <w:num w:numId="15" w16cid:durableId="1779829729">
    <w:abstractNumId w:val="15"/>
    <w:lvlOverride w:ilvl="0">
      <w:lvl w:ilvl="0">
        <w:numFmt w:val="decimal"/>
        <w:lvlText w:val="%1."/>
        <w:lvlJc w:val="left"/>
      </w:lvl>
    </w:lvlOverride>
  </w:num>
  <w:num w:numId="16" w16cid:durableId="300379090">
    <w:abstractNumId w:val="1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3C3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CCC"/>
    <w:rsid w:val="00037D52"/>
    <w:rsid w:val="000450FC"/>
    <w:rsid w:val="00054BC4"/>
    <w:rsid w:val="00056CB0"/>
    <w:rsid w:val="0006257C"/>
    <w:rsid w:val="000627FE"/>
    <w:rsid w:val="0007151E"/>
    <w:rsid w:val="00080802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2FF"/>
    <w:rsid w:val="000F6EA8"/>
    <w:rsid w:val="00101322"/>
    <w:rsid w:val="00115767"/>
    <w:rsid w:val="00121FFA"/>
    <w:rsid w:val="0012616A"/>
    <w:rsid w:val="00132783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FC0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925"/>
    <w:rsid w:val="00312559"/>
    <w:rsid w:val="003204B8"/>
    <w:rsid w:val="00326D7D"/>
    <w:rsid w:val="0033018A"/>
    <w:rsid w:val="00331B63"/>
    <w:rsid w:val="0033692F"/>
    <w:rsid w:val="00353718"/>
    <w:rsid w:val="00374F93"/>
    <w:rsid w:val="00377F1D"/>
    <w:rsid w:val="0039331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2643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E7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E6E"/>
    <w:rsid w:val="00766889"/>
    <w:rsid w:val="00766A0D"/>
    <w:rsid w:val="00767F8C"/>
    <w:rsid w:val="00770AF8"/>
    <w:rsid w:val="00780B67"/>
    <w:rsid w:val="00781D07"/>
    <w:rsid w:val="00785C0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43F"/>
    <w:rsid w:val="008E3C0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C9B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C27"/>
    <w:rsid w:val="00AD6C51"/>
    <w:rsid w:val="00AE0E9B"/>
    <w:rsid w:val="00AE54CD"/>
    <w:rsid w:val="00AF3016"/>
    <w:rsid w:val="00B03A45"/>
    <w:rsid w:val="00B2236C"/>
    <w:rsid w:val="00B22FE6"/>
    <w:rsid w:val="00B23C6F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0DC1"/>
    <w:rsid w:val="00BF5C56"/>
    <w:rsid w:val="00C01111"/>
    <w:rsid w:val="00C03A1D"/>
    <w:rsid w:val="00C04AA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B756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24B2"/>
    <w:rsid w:val="00F4700F"/>
    <w:rsid w:val="00F52B15"/>
    <w:rsid w:val="00F573EA"/>
    <w:rsid w:val="00F57E9D"/>
    <w:rsid w:val="00F66C03"/>
    <w:rsid w:val="00F67FE7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65E6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125</cp:revision>
  <dcterms:created xsi:type="dcterms:W3CDTF">2023-08-30T09:21:00Z</dcterms:created>
  <dcterms:modified xsi:type="dcterms:W3CDTF">2026-01-22T12:07:00Z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