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77916" w:rsidRPr="00391870" w14:paraId="31971FA4" w14:textId="77777777">
        <w:trPr>
          <w:trHeight w:val="20"/>
          <w:jc w:val="center"/>
        </w:trPr>
        <w:tc>
          <w:tcPr>
            <w:tcW w:w="1186" w:type="pct"/>
          </w:tcPr>
          <w:p w14:paraId="6F2C5312" w14:textId="77777777" w:rsidR="00777916" w:rsidRPr="00391870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127BC73D" w14:textId="77777777" w:rsidR="00777916" w:rsidRPr="00391870" w:rsidRDefault="007D244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Natural Products from Burseraceae: Chemical Diversity and Pharmaceutical Potentials</w:t>
            </w:r>
          </w:p>
        </w:tc>
      </w:tr>
      <w:tr w:rsidR="00777916" w:rsidRPr="00391870" w14:paraId="0D9CB8AD" w14:textId="77777777">
        <w:trPr>
          <w:trHeight w:val="20"/>
          <w:jc w:val="center"/>
        </w:trPr>
        <w:tc>
          <w:tcPr>
            <w:tcW w:w="1186" w:type="pct"/>
          </w:tcPr>
          <w:p w14:paraId="0DA59E10" w14:textId="77777777" w:rsidR="00777916" w:rsidRPr="00391870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AD8A3B" w14:textId="77777777" w:rsidR="00777916" w:rsidRPr="00391870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9C020D"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7672.1</w:t>
            </w:r>
          </w:p>
        </w:tc>
      </w:tr>
      <w:tr w:rsidR="00777916" w:rsidRPr="00391870" w14:paraId="772AD3FB" w14:textId="77777777">
        <w:trPr>
          <w:trHeight w:val="20"/>
          <w:jc w:val="center"/>
        </w:trPr>
        <w:tc>
          <w:tcPr>
            <w:tcW w:w="1186" w:type="pct"/>
          </w:tcPr>
          <w:p w14:paraId="50658403" w14:textId="77777777" w:rsidR="00777916" w:rsidRPr="00391870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18645A6" w14:textId="77777777" w:rsidR="00777916" w:rsidRPr="00391870" w:rsidRDefault="00FE6D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t>GENERAL, PHYLOGENETIC, BIOLOGICAL, AND CHEMICAL ASPECTS OF THE BURSERACEAE FAMILY</w:t>
            </w:r>
          </w:p>
        </w:tc>
      </w:tr>
      <w:tr w:rsidR="00777916" w:rsidRPr="00391870" w14:paraId="49641340" w14:textId="77777777">
        <w:trPr>
          <w:trHeight w:val="20"/>
          <w:jc w:val="center"/>
        </w:trPr>
        <w:tc>
          <w:tcPr>
            <w:tcW w:w="1186" w:type="pct"/>
          </w:tcPr>
          <w:p w14:paraId="41134CDA" w14:textId="77777777" w:rsidR="00777916" w:rsidRPr="00391870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C782D06" w14:textId="77777777" w:rsidR="00777916" w:rsidRPr="00391870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1F435073" w14:textId="77777777" w:rsidR="00777916" w:rsidRPr="00391870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720937" w14:textId="77777777" w:rsidR="00777916" w:rsidRPr="00391870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4ED128" w14:textId="77777777" w:rsidR="00777916" w:rsidRPr="00391870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13BAC0E1" w14:textId="77777777" w:rsidR="00777916" w:rsidRPr="00391870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7E8626F1" w14:textId="77777777" w:rsidR="00777916" w:rsidRPr="00391870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7B90D605" w14:textId="77777777" w:rsidR="00777916" w:rsidRPr="00391870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391870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7E6F825C" w14:textId="77777777" w:rsidR="00777916" w:rsidRPr="00391870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6E91011" w14:textId="77777777" w:rsidR="00777916" w:rsidRPr="00391870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777916" w:rsidRPr="00391870" w14:paraId="416E09F8" w14:textId="77777777">
        <w:trPr>
          <w:trHeight w:val="20"/>
          <w:jc w:val="center"/>
        </w:trPr>
        <w:tc>
          <w:tcPr>
            <w:tcW w:w="1789" w:type="pct"/>
            <w:noWrap/>
          </w:tcPr>
          <w:p w14:paraId="061A0D68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30810F39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391870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6231B946" w14:textId="77777777" w:rsidR="00777916" w:rsidRPr="00391870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918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918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89D9BC8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10CF9685" w14:textId="77777777">
        <w:trPr>
          <w:trHeight w:val="20"/>
          <w:jc w:val="center"/>
        </w:trPr>
        <w:tc>
          <w:tcPr>
            <w:tcW w:w="1789" w:type="pct"/>
            <w:noWrap/>
          </w:tcPr>
          <w:p w14:paraId="35813F6B" w14:textId="77777777" w:rsidR="00777916" w:rsidRPr="00391870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3A6ABAEC" w14:textId="292E331C" w:rsidR="00777916" w:rsidRPr="00391870" w:rsidRDefault="0033792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is important because it brings together botanical, phylogenetic, biological, and chemical information on the Burseraceae family, a plant family with strong ecological, medicinal, and economic relevance. By emphasizing resin-producing genera such as </w:t>
            </w:r>
            <w:r w:rsidRPr="003918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Protium</w:t>
            </w: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918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Boswellia</w:t>
            </w: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and </w:t>
            </w:r>
            <w:r w:rsidRPr="003918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Commiphora</w:t>
            </w: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t>, the review helps clarify how these species contribute to traditional medicine, pharmacognosy, and natural-product chemistry. The discussion of terpene-rich resins, including mono-, sesqui-, and triterpenes, is particularly valuable because these compounds are linked to reported anti-inflammatory, antimicrobial, antitumor, and other pharmacological activities.</w:t>
            </w:r>
          </w:p>
        </w:tc>
        <w:tc>
          <w:tcPr>
            <w:tcW w:w="1367" w:type="pct"/>
          </w:tcPr>
          <w:p w14:paraId="2B91BB6A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06CE2AF6" w14:textId="77777777" w:rsidR="00777916" w:rsidRPr="00391870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2E52CD26" w14:textId="77777777" w:rsidR="00777916" w:rsidRPr="00391870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399503F8" w14:textId="77777777" w:rsidR="00777916" w:rsidRPr="00391870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391870">
        <w:rPr>
          <w:rFonts w:ascii="Arial" w:hAnsi="Arial" w:cs="Arial"/>
          <w:highlight w:val="yellow"/>
          <w:u w:val="single"/>
          <w:lang w:val="en-GB" w:eastAsia="en-US"/>
        </w:rPr>
        <w:t xml:space="preserve">PART 2.1 (Objective </w:t>
      </w:r>
      <w:r w:rsidR="00C37260" w:rsidRPr="00391870">
        <w:rPr>
          <w:rFonts w:ascii="Arial" w:hAnsi="Arial" w:cs="Arial"/>
          <w:highlight w:val="yellow"/>
          <w:u w:val="single"/>
          <w:lang w:val="en-GB" w:eastAsia="en-US"/>
        </w:rPr>
        <w:t>Evaluation</w:t>
      </w:r>
      <w:r w:rsidRPr="00391870">
        <w:rPr>
          <w:rFonts w:ascii="Arial" w:hAnsi="Arial" w:cs="Arial"/>
          <w:highlight w:val="yellow"/>
          <w:u w:val="single"/>
          <w:lang w:val="en-GB" w:eastAsia="en-US"/>
        </w:rPr>
        <w:t>)</w:t>
      </w:r>
    </w:p>
    <w:p w14:paraId="24C620C7" w14:textId="77777777" w:rsidR="00777916" w:rsidRPr="00391870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777916" w:rsidRPr="00391870" w14:paraId="3B53EA16" w14:textId="77777777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5FE44A68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0768FF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391870" w14:paraId="1DC6D417" w14:textId="77777777">
        <w:trPr>
          <w:trHeight w:val="20"/>
          <w:jc w:val="center"/>
        </w:trPr>
        <w:tc>
          <w:tcPr>
            <w:tcW w:w="1790" w:type="pct"/>
            <w:noWrap/>
          </w:tcPr>
          <w:p w14:paraId="1D48139A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7124CAF7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391870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2B8B65A2" w14:textId="77777777" w:rsidR="00777916" w:rsidRPr="00391870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918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77916" w:rsidRPr="00391870" w14:paraId="0176A7AE" w14:textId="77777777">
        <w:trPr>
          <w:trHeight w:val="20"/>
          <w:jc w:val="center"/>
        </w:trPr>
        <w:tc>
          <w:tcPr>
            <w:tcW w:w="1790" w:type="pct"/>
            <w:noWrap/>
          </w:tcPr>
          <w:p w14:paraId="6FC340D5" w14:textId="77777777" w:rsidR="00777916" w:rsidRPr="00391870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09B1A59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4EA29F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8C182E1" w14:textId="0471F248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367" w:type="pct"/>
          </w:tcPr>
          <w:p w14:paraId="62C6D8C3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5E773DE8" w14:textId="77777777">
        <w:trPr>
          <w:trHeight w:val="20"/>
          <w:jc w:val="center"/>
        </w:trPr>
        <w:tc>
          <w:tcPr>
            <w:tcW w:w="1790" w:type="pct"/>
            <w:noWrap/>
          </w:tcPr>
          <w:p w14:paraId="400B74D6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391870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128DF92F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9D2AEE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784E8C5" w14:textId="6DDE930A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367" w:type="pct"/>
          </w:tcPr>
          <w:p w14:paraId="10E28E3C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059E0AC7" w14:textId="77777777">
        <w:trPr>
          <w:trHeight w:val="20"/>
          <w:jc w:val="center"/>
        </w:trPr>
        <w:tc>
          <w:tcPr>
            <w:tcW w:w="1790" w:type="pct"/>
            <w:noWrap/>
          </w:tcPr>
          <w:p w14:paraId="1F8ECA45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43F27C81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F269F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C997FB9" w14:textId="3F366E93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367" w:type="pct"/>
          </w:tcPr>
          <w:p w14:paraId="47C5AD81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455ACF28" w14:textId="77777777">
        <w:trPr>
          <w:trHeight w:val="20"/>
          <w:jc w:val="center"/>
        </w:trPr>
        <w:tc>
          <w:tcPr>
            <w:tcW w:w="1790" w:type="pct"/>
            <w:noWrap/>
          </w:tcPr>
          <w:p w14:paraId="1B1030C3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572B72B8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DCDA6E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BB482C9" w14:textId="002073F3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367" w:type="pct"/>
          </w:tcPr>
          <w:p w14:paraId="2709FDD0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461DFFE5" w14:textId="77777777">
        <w:trPr>
          <w:trHeight w:val="20"/>
          <w:jc w:val="center"/>
        </w:trPr>
        <w:tc>
          <w:tcPr>
            <w:tcW w:w="1790" w:type="pct"/>
            <w:noWrap/>
          </w:tcPr>
          <w:p w14:paraId="47CA0D05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2D624A57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CAB70F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1DD90EB" w14:textId="1107ED62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367" w:type="pct"/>
          </w:tcPr>
          <w:p w14:paraId="1C0D5260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692F7BF3" w14:textId="77777777">
        <w:trPr>
          <w:trHeight w:val="20"/>
          <w:jc w:val="center"/>
        </w:trPr>
        <w:tc>
          <w:tcPr>
            <w:tcW w:w="1790" w:type="pct"/>
            <w:noWrap/>
          </w:tcPr>
          <w:p w14:paraId="07EED7ED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70DE4981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B6D2BA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2BEDC98" w14:textId="0B53C7F5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367" w:type="pct"/>
          </w:tcPr>
          <w:p w14:paraId="1F21A7CF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5D948655" w14:textId="77777777">
        <w:trPr>
          <w:trHeight w:val="20"/>
          <w:jc w:val="center"/>
        </w:trPr>
        <w:tc>
          <w:tcPr>
            <w:tcW w:w="1790" w:type="pct"/>
            <w:noWrap/>
          </w:tcPr>
          <w:p w14:paraId="5DB30B9E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38D18D48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25D7AD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8CFDD7D" w14:textId="42A26D9A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367" w:type="pct"/>
          </w:tcPr>
          <w:p w14:paraId="5970F5DA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373B6FBF" w14:textId="77777777">
        <w:trPr>
          <w:trHeight w:val="20"/>
          <w:jc w:val="center"/>
        </w:trPr>
        <w:tc>
          <w:tcPr>
            <w:tcW w:w="1790" w:type="pct"/>
            <w:noWrap/>
          </w:tcPr>
          <w:p w14:paraId="25F2586D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5D371680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672297" w14:textId="1CFD015E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0A6B887" w14:textId="743A3A98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Improvement</w:t>
            </w:r>
          </w:p>
        </w:tc>
        <w:tc>
          <w:tcPr>
            <w:tcW w:w="1367" w:type="pct"/>
          </w:tcPr>
          <w:p w14:paraId="1701B2F7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3E76873F" w14:textId="77777777">
        <w:trPr>
          <w:trHeight w:val="20"/>
          <w:jc w:val="center"/>
        </w:trPr>
        <w:tc>
          <w:tcPr>
            <w:tcW w:w="1790" w:type="pct"/>
            <w:noWrap/>
          </w:tcPr>
          <w:p w14:paraId="7E3AB256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391870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2CD87B63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025F68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E12D579" w14:textId="2F31C9E0" w:rsidR="00777916" w:rsidRPr="00391870" w:rsidRDefault="003379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improvement</w:t>
            </w:r>
          </w:p>
        </w:tc>
        <w:tc>
          <w:tcPr>
            <w:tcW w:w="1367" w:type="pct"/>
          </w:tcPr>
          <w:p w14:paraId="139461BF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29C95324" w14:textId="77777777">
        <w:trPr>
          <w:trHeight w:val="20"/>
          <w:jc w:val="center"/>
        </w:trPr>
        <w:tc>
          <w:tcPr>
            <w:tcW w:w="1790" w:type="pct"/>
            <w:noWrap/>
          </w:tcPr>
          <w:p w14:paraId="642F51D4" w14:textId="77777777" w:rsidR="00777916" w:rsidRPr="00391870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391870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391870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66318F9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C1AB9A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AE0EDB0" w14:textId="34B4A2DF" w:rsidR="00777916" w:rsidRPr="00391870" w:rsidRDefault="003379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367" w:type="pct"/>
          </w:tcPr>
          <w:p w14:paraId="220B625D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5DBAA0E3" w14:textId="77777777">
        <w:trPr>
          <w:trHeight w:val="20"/>
          <w:jc w:val="center"/>
        </w:trPr>
        <w:tc>
          <w:tcPr>
            <w:tcW w:w="1790" w:type="pct"/>
            <w:noWrap/>
          </w:tcPr>
          <w:p w14:paraId="2B875F40" w14:textId="77777777" w:rsidR="00777916" w:rsidRPr="00391870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35DE58F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3C411E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69AEF25" w14:textId="3C44A61A" w:rsidR="00777916" w:rsidRPr="00391870" w:rsidRDefault="003379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367" w:type="pct"/>
          </w:tcPr>
          <w:p w14:paraId="10D530B7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169FA9F4" w14:textId="77777777">
        <w:trPr>
          <w:trHeight w:val="20"/>
          <w:jc w:val="center"/>
        </w:trPr>
        <w:tc>
          <w:tcPr>
            <w:tcW w:w="1790" w:type="pct"/>
            <w:noWrap/>
          </w:tcPr>
          <w:p w14:paraId="5BBB1E72" w14:textId="77777777" w:rsidR="00777916" w:rsidRPr="00391870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348BF087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974135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0AD8A1D" w14:textId="5CA31360" w:rsidR="00777916" w:rsidRPr="00391870" w:rsidRDefault="003379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Needs Improvement</w:t>
            </w:r>
          </w:p>
        </w:tc>
        <w:tc>
          <w:tcPr>
            <w:tcW w:w="1367" w:type="pct"/>
          </w:tcPr>
          <w:p w14:paraId="1C9837C1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2197F0CB" w14:textId="77777777">
        <w:trPr>
          <w:trHeight w:val="20"/>
          <w:jc w:val="center"/>
        </w:trPr>
        <w:tc>
          <w:tcPr>
            <w:tcW w:w="1790" w:type="pct"/>
            <w:noWrap/>
          </w:tcPr>
          <w:p w14:paraId="0647B585" w14:textId="77777777" w:rsidR="00777916" w:rsidRPr="00391870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13. What is the </w:t>
            </w:r>
            <w:r w:rsidRPr="00391870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0B702C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AF055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42D2BF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19BADB8" w14:textId="51AA6333" w:rsidR="00777916" w:rsidRPr="00391870" w:rsidRDefault="003379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367" w:type="pct"/>
          </w:tcPr>
          <w:p w14:paraId="2C645EDC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171BD7FD" w14:textId="77777777">
        <w:trPr>
          <w:trHeight w:val="20"/>
          <w:jc w:val="center"/>
        </w:trPr>
        <w:tc>
          <w:tcPr>
            <w:tcW w:w="1790" w:type="pct"/>
            <w:noWrap/>
          </w:tcPr>
          <w:p w14:paraId="5CFD718A" w14:textId="77777777" w:rsidR="00777916" w:rsidRPr="00391870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1F99427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B5478D" w14:textId="77777777" w:rsidR="00777916" w:rsidRPr="00391870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B86CC95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2D63513D" w14:textId="73277A6F" w:rsidR="00777916" w:rsidRPr="00391870" w:rsidRDefault="003379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Needs Improvement</w:t>
            </w:r>
          </w:p>
        </w:tc>
        <w:tc>
          <w:tcPr>
            <w:tcW w:w="1367" w:type="pct"/>
          </w:tcPr>
          <w:p w14:paraId="56305438" w14:textId="77777777" w:rsidR="00777916" w:rsidRPr="00391870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2239D11D" w14:textId="77777777" w:rsidR="00777916" w:rsidRPr="00391870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1814F6" w14:textId="77777777" w:rsidR="00777916" w:rsidRPr="00391870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E8E985" w14:textId="77777777" w:rsidR="00777916" w:rsidRPr="00391870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539072" w14:textId="77777777" w:rsidR="00777916" w:rsidRPr="00391870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391870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391870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5BD94C70" w14:textId="77777777" w:rsidR="00777916" w:rsidRPr="00391870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777916" w:rsidRPr="00391870" w14:paraId="36DE63AF" w14:textId="77777777">
        <w:trPr>
          <w:trHeight w:val="20"/>
          <w:jc w:val="center"/>
        </w:trPr>
        <w:tc>
          <w:tcPr>
            <w:tcW w:w="1265" w:type="pct"/>
            <w:noWrap/>
          </w:tcPr>
          <w:p w14:paraId="3A565B99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1E04E08A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391870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3C26CD73" w14:textId="77777777" w:rsidR="00777916" w:rsidRPr="00391870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7A47AE9" w14:textId="77777777" w:rsidR="00777916" w:rsidRPr="00391870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918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9187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C0C1715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745BB0F6" w14:textId="77777777">
        <w:trPr>
          <w:trHeight w:val="20"/>
          <w:jc w:val="center"/>
        </w:trPr>
        <w:tc>
          <w:tcPr>
            <w:tcW w:w="1265" w:type="pct"/>
            <w:noWrap/>
          </w:tcPr>
          <w:p w14:paraId="0CA30F5D" w14:textId="77777777" w:rsidR="00777916" w:rsidRPr="00391870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910DA4" w14:textId="77777777" w:rsidR="00777916" w:rsidRPr="00391870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C548E2" w14:textId="77777777" w:rsidR="00777916" w:rsidRPr="00391870" w:rsidRDefault="00777916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5C89ED0D" w14:textId="3A446781" w:rsidR="00777916" w:rsidRPr="00391870" w:rsidRDefault="00337920" w:rsidP="00BE6D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257FB97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30EB312F" w14:textId="77777777">
        <w:trPr>
          <w:trHeight w:val="20"/>
          <w:jc w:val="center"/>
        </w:trPr>
        <w:tc>
          <w:tcPr>
            <w:tcW w:w="1265" w:type="pct"/>
            <w:noWrap/>
          </w:tcPr>
          <w:p w14:paraId="7CA0B6CA" w14:textId="77777777" w:rsidR="00777916" w:rsidRPr="00391870" w:rsidRDefault="00777916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391870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3C91531A" w14:textId="77777777" w:rsidR="00777916" w:rsidRPr="00391870" w:rsidRDefault="00777916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2DDFB1" w14:textId="77777777" w:rsidR="00777916" w:rsidRPr="00391870" w:rsidRDefault="00777916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2B72A51A" w14:textId="62B66ED3" w:rsidR="00777916" w:rsidRPr="00391870" w:rsidRDefault="00337920" w:rsidP="00BE6D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t>Suggested improvement:</w:t>
            </w: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91870">
              <w:rPr>
                <w:rFonts w:ascii="Arial" w:hAnsi="Arial" w:cs="Arial"/>
                <w:sz w:val="20"/>
                <w:szCs w:val="20"/>
              </w:rPr>
              <w:t>Revise the abstract to specify the key chemical classes and biological activities discussed, and briefly identify the major knowledge gaps that justify future research</w:t>
            </w:r>
            <w:r w:rsidRPr="0039187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0EB5B93" w14:textId="77777777" w:rsidR="00337920" w:rsidRPr="00391870" w:rsidRDefault="00337920" w:rsidP="0033792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024DAD0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39AB1212" w14:textId="77777777">
        <w:trPr>
          <w:trHeight w:val="20"/>
          <w:jc w:val="center"/>
        </w:trPr>
        <w:tc>
          <w:tcPr>
            <w:tcW w:w="1265" w:type="pct"/>
            <w:noWrap/>
          </w:tcPr>
          <w:p w14:paraId="49CAA6D3" w14:textId="77777777" w:rsidR="00777916" w:rsidRPr="00391870" w:rsidRDefault="00777916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391870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391870">
              <w:rPr>
                <w:rFonts w:ascii="Arial" w:hAnsi="Arial" w:cs="Arial"/>
                <w:lang w:val="en-GB" w:eastAsia="en-US"/>
              </w:rPr>
              <w:br/>
            </w:r>
          </w:p>
          <w:p w14:paraId="7E6EC2D1" w14:textId="77777777" w:rsidR="00777916" w:rsidRPr="00391870" w:rsidRDefault="00777916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7A34C7C7" w14:textId="75158717" w:rsidR="00777916" w:rsidRPr="00391870" w:rsidRDefault="0033792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br/>
            </w:r>
            <w:r w:rsidR="00BE6D55" w:rsidRPr="00391870">
              <w:rPr>
                <w:rFonts w:ascii="Arial" w:hAnsi="Arial" w:cs="Arial"/>
                <w:bCs/>
                <w:sz w:val="20"/>
                <w:szCs w:val="20"/>
              </w:rPr>
              <w:t xml:space="preserve">Some scientific details need careful verification before publication. For example, the manuscript contains inconsistencies in the number of genera/species reported, uses some outdated or unclear taxonomic language, refers to </w:t>
            </w:r>
            <w:r w:rsidR="00BE6D55" w:rsidRPr="00391870">
              <w:rPr>
                <w:rFonts w:ascii="Arial" w:hAnsi="Arial" w:cs="Arial"/>
                <w:b/>
                <w:bCs/>
                <w:sz w:val="20"/>
                <w:szCs w:val="20"/>
              </w:rPr>
              <w:t>Boswellia</w:t>
            </w:r>
            <w:r w:rsidR="00BE6D55" w:rsidRPr="00391870">
              <w:rPr>
                <w:rFonts w:ascii="Arial" w:hAnsi="Arial" w:cs="Arial"/>
                <w:bCs/>
                <w:sz w:val="20"/>
                <w:szCs w:val="20"/>
              </w:rPr>
              <w:t xml:space="preserve"> as a “subgenus” rather than a genus, and includes some references/DOIs that appear incomplete or questionable.</w:t>
            </w:r>
          </w:p>
        </w:tc>
        <w:tc>
          <w:tcPr>
            <w:tcW w:w="1523" w:type="pct"/>
          </w:tcPr>
          <w:p w14:paraId="55E1273C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1058AA30" w14:textId="77777777">
        <w:trPr>
          <w:trHeight w:val="20"/>
          <w:jc w:val="center"/>
        </w:trPr>
        <w:tc>
          <w:tcPr>
            <w:tcW w:w="1265" w:type="pct"/>
            <w:noWrap/>
          </w:tcPr>
          <w:p w14:paraId="72E11E3E" w14:textId="77777777" w:rsidR="00777916" w:rsidRPr="00391870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1522B55" w14:textId="77777777" w:rsidR="00777916" w:rsidRPr="00391870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8552AA2" w14:textId="77777777" w:rsidR="00777916" w:rsidRPr="00391870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720AD21B" w14:textId="77777777" w:rsidR="00777916" w:rsidRPr="00391870" w:rsidRDefault="00BE6D5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53E451AB" w14:textId="77777777" w:rsidR="00BE6D55" w:rsidRPr="00391870" w:rsidRDefault="00BE6D55" w:rsidP="00BE6D5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</w:rPr>
              <w:t>The reference list needs careful improvement because some entries appear incomplete, inconsistently formatted, or questionable; for example, one DOI appears as a placeholder-like entry, some citations lack complete publication details, and the formatting style is not uniform. The manuscript also relies on a mixture of older foundational sources and recent papers, which is acceptable for a review, but the recent literature should be strengthened in areas such as molecular phylogeny, resin phytochemistry, pharmacological validation, and terpene biosynthesis.</w:t>
            </w:r>
            <w:r w:rsidRPr="00391870">
              <w:rPr>
                <w:rFonts w:ascii="Arial" w:hAnsi="Arial" w:cs="Arial"/>
                <w:bCs/>
                <w:sz w:val="20"/>
                <w:szCs w:val="20"/>
              </w:rPr>
              <w:br/>
              <w:t>I recommend adding this reference</w:t>
            </w:r>
            <w:r w:rsidRPr="00391870">
              <w:rPr>
                <w:rFonts w:ascii="Arial" w:hAnsi="Arial" w:cs="Arial"/>
                <w:bCs/>
                <w:sz w:val="20"/>
                <w:szCs w:val="20"/>
              </w:rPr>
              <w:br/>
            </w:r>
            <w:proofErr w:type="spellStart"/>
            <w:r w:rsidRPr="00391870">
              <w:rPr>
                <w:rFonts w:ascii="Arial" w:hAnsi="Arial" w:cs="Arial"/>
                <w:bCs/>
                <w:sz w:val="20"/>
                <w:szCs w:val="20"/>
              </w:rPr>
              <w:t>Okhale</w:t>
            </w:r>
            <w:proofErr w:type="spellEnd"/>
            <w:r w:rsidRPr="00391870">
              <w:rPr>
                <w:rFonts w:ascii="Arial" w:hAnsi="Arial" w:cs="Arial"/>
                <w:bCs/>
                <w:sz w:val="20"/>
                <w:szCs w:val="20"/>
              </w:rPr>
              <w:t xml:space="preserve">, S. E., Nnachor, A. C., &amp; Bassey, U. E. (2017). Evaluation of HPLC-UV-DAD and antiproliferative characteristics of the leaf infusion of Ximenia americana Linn. </w:t>
            </w:r>
            <w:r w:rsidRPr="0039187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European Journal of Biological Research</w:t>
            </w:r>
            <w:r w:rsidRPr="00391870">
              <w:rPr>
                <w:rFonts w:ascii="Arial" w:hAnsi="Arial" w:cs="Arial"/>
                <w:bCs/>
                <w:sz w:val="20"/>
                <w:szCs w:val="20"/>
              </w:rPr>
              <w:t>. https://doi.org/10.5281/zenodo.834912</w:t>
            </w:r>
          </w:p>
          <w:p w14:paraId="465138A8" w14:textId="791DED7A" w:rsidR="00BE6D55" w:rsidRPr="00391870" w:rsidRDefault="00BE6D5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4F75A87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391870" w14:paraId="2D4A7BBB" w14:textId="77777777">
        <w:trPr>
          <w:trHeight w:val="20"/>
          <w:jc w:val="center"/>
        </w:trPr>
        <w:tc>
          <w:tcPr>
            <w:tcW w:w="1265" w:type="pct"/>
            <w:noWrap/>
          </w:tcPr>
          <w:p w14:paraId="3485AF4E" w14:textId="77777777" w:rsidR="00777916" w:rsidRPr="00391870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7A32233" w14:textId="77777777" w:rsidR="00777916" w:rsidRPr="00391870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863B05B" w14:textId="77777777" w:rsidR="00777916" w:rsidRPr="00391870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7164E1" w14:textId="77777777" w:rsidR="00777916" w:rsidRPr="00391870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037F310" w14:textId="77777777" w:rsidR="00777916" w:rsidRPr="00391870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D749929" w14:textId="53EE1F2A" w:rsidR="00777916" w:rsidRPr="00391870" w:rsidRDefault="00BE6D5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8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6D24868B" w14:textId="77777777" w:rsidR="00777916" w:rsidRPr="00391870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bookmarkEnd w:id="0"/>
      <w:bookmarkEnd w:id="1"/>
    </w:tbl>
    <w:p w14:paraId="1D798AE1" w14:textId="77777777" w:rsidR="00777916" w:rsidRPr="00391870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5102C3FE" w14:textId="77777777" w:rsidR="00391870" w:rsidRPr="00391870" w:rsidRDefault="00391870">
      <w:pPr>
        <w:rPr>
          <w:rFonts w:ascii="Arial" w:hAnsi="Arial" w:cs="Arial"/>
          <w:sz w:val="20"/>
          <w:szCs w:val="20"/>
          <w:lang w:val="en-GB"/>
        </w:rPr>
      </w:pPr>
    </w:p>
    <w:p w14:paraId="6D4242C9" w14:textId="77777777" w:rsidR="00391870" w:rsidRPr="00391870" w:rsidRDefault="00391870" w:rsidP="00391870">
      <w:pPr>
        <w:rPr>
          <w:rFonts w:ascii="Arial" w:hAnsi="Arial" w:cs="Arial"/>
          <w:b/>
          <w:sz w:val="20"/>
          <w:szCs w:val="20"/>
          <w:u w:val="single"/>
        </w:rPr>
      </w:pPr>
      <w:r w:rsidRPr="0039187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C37D52D" w14:textId="77777777" w:rsidR="00391870" w:rsidRPr="00391870" w:rsidRDefault="00391870">
      <w:pPr>
        <w:rPr>
          <w:rFonts w:ascii="Arial" w:hAnsi="Arial" w:cs="Arial"/>
          <w:sz w:val="20"/>
          <w:szCs w:val="20"/>
          <w:lang w:val="en-GB"/>
        </w:rPr>
      </w:pPr>
    </w:p>
    <w:p w14:paraId="2F989091" w14:textId="329F7A27" w:rsidR="00391870" w:rsidRPr="00391870" w:rsidRDefault="00391870" w:rsidP="00391870">
      <w:pPr>
        <w:rPr>
          <w:rFonts w:ascii="Arial" w:hAnsi="Arial" w:cs="Arial"/>
          <w:sz w:val="20"/>
          <w:szCs w:val="20"/>
          <w:lang w:val="en-GB"/>
        </w:rPr>
      </w:pPr>
      <w:proofErr w:type="spellStart"/>
      <w:r w:rsidRPr="00391870">
        <w:rPr>
          <w:rFonts w:ascii="Arial" w:hAnsi="Arial" w:cs="Arial"/>
          <w:sz w:val="20"/>
          <w:szCs w:val="20"/>
          <w:lang w:val="en-GB"/>
        </w:rPr>
        <w:t>Nnachor</w:t>
      </w:r>
      <w:proofErr w:type="spellEnd"/>
      <w:r w:rsidRPr="00391870">
        <w:rPr>
          <w:rFonts w:ascii="Arial" w:hAnsi="Arial" w:cs="Arial"/>
          <w:sz w:val="20"/>
          <w:szCs w:val="20"/>
          <w:lang w:val="en-GB"/>
        </w:rPr>
        <w:t>, Amarachi Clare</w:t>
      </w:r>
      <w:r w:rsidRPr="00391870">
        <w:rPr>
          <w:rFonts w:ascii="Arial" w:hAnsi="Arial" w:cs="Arial"/>
          <w:sz w:val="20"/>
          <w:szCs w:val="20"/>
          <w:lang w:val="en-GB"/>
        </w:rPr>
        <w:t xml:space="preserve">, </w:t>
      </w:r>
      <w:r w:rsidRPr="00391870">
        <w:rPr>
          <w:rFonts w:ascii="Arial" w:hAnsi="Arial" w:cs="Arial"/>
          <w:sz w:val="20"/>
          <w:szCs w:val="20"/>
          <w:lang w:val="en-GB"/>
        </w:rPr>
        <w:t>Missouri University of Science and Technology Rolla</w:t>
      </w:r>
      <w:r w:rsidRPr="00391870">
        <w:rPr>
          <w:rFonts w:ascii="Arial" w:hAnsi="Arial" w:cs="Arial"/>
          <w:sz w:val="20"/>
          <w:szCs w:val="20"/>
          <w:lang w:val="en-GB"/>
        </w:rPr>
        <w:t xml:space="preserve">, </w:t>
      </w:r>
      <w:r w:rsidRPr="00391870">
        <w:rPr>
          <w:rFonts w:ascii="Arial" w:hAnsi="Arial" w:cs="Arial"/>
          <w:sz w:val="20"/>
          <w:szCs w:val="20"/>
          <w:lang w:val="en-GB"/>
        </w:rPr>
        <w:t>USA</w:t>
      </w:r>
    </w:p>
    <w:sectPr w:rsidR="00391870" w:rsidRPr="00391870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713F" w14:textId="77777777" w:rsidR="005C5BB3" w:rsidRDefault="005C5BB3">
      <w:r>
        <w:separator/>
      </w:r>
    </w:p>
  </w:endnote>
  <w:endnote w:type="continuationSeparator" w:id="0">
    <w:p w14:paraId="7F05DB6E" w14:textId="77777777" w:rsidR="005C5BB3" w:rsidRDefault="005C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DFEC0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7972CE6F" w14:textId="77777777" w:rsidR="00777916" w:rsidRDefault="00777916">
    <w:pPr>
      <w:pStyle w:val="Footer"/>
      <w:jc w:val="right"/>
    </w:pPr>
  </w:p>
  <w:p w14:paraId="44666B7D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0E94" w14:textId="77777777" w:rsidR="005C5BB3" w:rsidRDefault="005C5BB3">
      <w:r>
        <w:separator/>
      </w:r>
    </w:p>
  </w:footnote>
  <w:footnote w:type="continuationSeparator" w:id="0">
    <w:p w14:paraId="16B60C13" w14:textId="77777777" w:rsidR="005C5BB3" w:rsidRDefault="005C5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D26C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7E39C0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4752700">
    <w:abstractNumId w:val="4"/>
  </w:num>
  <w:num w:numId="2" w16cid:durableId="812522316">
    <w:abstractNumId w:val="8"/>
  </w:num>
  <w:num w:numId="3" w16cid:durableId="1604073161">
    <w:abstractNumId w:val="7"/>
  </w:num>
  <w:num w:numId="4" w16cid:durableId="1810248753">
    <w:abstractNumId w:val="9"/>
  </w:num>
  <w:num w:numId="5" w16cid:durableId="1836650666">
    <w:abstractNumId w:val="6"/>
  </w:num>
  <w:num w:numId="6" w16cid:durableId="2003315049">
    <w:abstractNumId w:val="0"/>
  </w:num>
  <w:num w:numId="7" w16cid:durableId="1575318487">
    <w:abstractNumId w:val="3"/>
  </w:num>
  <w:num w:numId="8" w16cid:durableId="1490904267">
    <w:abstractNumId w:val="11"/>
  </w:num>
  <w:num w:numId="9" w16cid:durableId="434593961">
    <w:abstractNumId w:val="10"/>
  </w:num>
  <w:num w:numId="10" w16cid:durableId="2083484180">
    <w:abstractNumId w:val="2"/>
  </w:num>
  <w:num w:numId="11" w16cid:durableId="1154377250">
    <w:abstractNumId w:val="1"/>
  </w:num>
  <w:num w:numId="12" w16cid:durableId="1660885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NzA1MTAztDRV0lEKTi0uzszPAykwrQUARqNgPCwAAAA="/>
  </w:docVars>
  <w:rsids>
    <w:rsidRoot w:val="00E64431"/>
    <w:rsid w:val="0009322C"/>
    <w:rsid w:val="00110D5A"/>
    <w:rsid w:val="00163ED1"/>
    <w:rsid w:val="002919B1"/>
    <w:rsid w:val="002965FA"/>
    <w:rsid w:val="00305E72"/>
    <w:rsid w:val="00337920"/>
    <w:rsid w:val="00351244"/>
    <w:rsid w:val="00391870"/>
    <w:rsid w:val="004D63E8"/>
    <w:rsid w:val="00587FF0"/>
    <w:rsid w:val="005C5BB3"/>
    <w:rsid w:val="006F76CC"/>
    <w:rsid w:val="00707B05"/>
    <w:rsid w:val="00777916"/>
    <w:rsid w:val="007C1ABC"/>
    <w:rsid w:val="007C37A4"/>
    <w:rsid w:val="007D244F"/>
    <w:rsid w:val="008D1CFA"/>
    <w:rsid w:val="00991F34"/>
    <w:rsid w:val="009C020D"/>
    <w:rsid w:val="009E5315"/>
    <w:rsid w:val="00A422E0"/>
    <w:rsid w:val="00A4486C"/>
    <w:rsid w:val="00A74E80"/>
    <w:rsid w:val="00BE6D55"/>
    <w:rsid w:val="00C37260"/>
    <w:rsid w:val="00D6722C"/>
    <w:rsid w:val="00DD0405"/>
    <w:rsid w:val="00E64431"/>
    <w:rsid w:val="00FE6D2F"/>
    <w:rsid w:val="00F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4F3E9"/>
  <w15:chartTrackingRefBased/>
  <w15:docId w15:val="{F60A42E3-A33C-4F52-A8D7-1CDEE293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D2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FE6D2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5971</CharactersWithSpaces>
  <SharedDoc>false</SharedDoc>
  <HLinks>
    <vt:vector size="18" baseType="variant"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6</cp:revision>
  <dcterms:created xsi:type="dcterms:W3CDTF">2026-05-27T16:28:00Z</dcterms:created>
  <dcterms:modified xsi:type="dcterms:W3CDTF">2026-06-11T06:32:00Z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