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10B9E818" w:rsidR="0000007A" w:rsidRPr="00DE7D30" w:rsidRDefault="00664002" w:rsidP="00054BC4">
            <w:pPr>
              <w:pStyle w:val="NormalWeb"/>
              <w:rPr>
                <w:rFonts w:ascii="Arial" w:hAnsi="Arial" w:cs="Arial"/>
                <w:b/>
                <w:bCs/>
                <w:szCs w:val="28"/>
                <w:u w:val="single"/>
              </w:rPr>
            </w:pPr>
            <w:r w:rsidRPr="00664002">
              <w:rPr>
                <w:rFonts w:ascii="Arial" w:hAnsi="Arial" w:cs="Arial"/>
                <w:b/>
                <w:bCs/>
                <w:szCs w:val="28"/>
                <w:u w:val="single"/>
              </w:rPr>
              <w:t>Climate-Adaptive Farming: Strategies for Food Security and Adaptation Models Amid Rising Droughts and Population Pressures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074F12F1"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B14F7" w:rsidRPr="00DB14F7">
              <w:rPr>
                <w:rFonts w:ascii="Arial" w:hAnsi="Arial" w:cs="Arial"/>
                <w:b/>
                <w:bCs/>
                <w:szCs w:val="28"/>
                <w:lang w:val="en-GB"/>
              </w:rPr>
              <w:t>7374</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5262750" w:rsidR="0000007A" w:rsidRPr="00DE7D30" w:rsidRDefault="001A6D12" w:rsidP="000450FC">
            <w:pPr>
              <w:pStyle w:val="NormalWeb"/>
              <w:spacing w:before="0" w:beforeAutospacing="0" w:after="0" w:afterAutospacing="0"/>
              <w:rPr>
                <w:rFonts w:ascii="Arial" w:hAnsi="Arial" w:cs="Arial"/>
                <w:b/>
                <w:szCs w:val="28"/>
                <w:highlight w:val="yellow"/>
                <w:lang w:val="en-GB"/>
              </w:rPr>
            </w:pPr>
            <w:r w:rsidRPr="001A6D12">
              <w:rPr>
                <w:rFonts w:ascii="Arial" w:hAnsi="Arial" w:cs="Arial"/>
                <w:b/>
                <w:szCs w:val="28"/>
                <w:lang w:val="en-GB"/>
              </w:rPr>
              <w:t>Agroforestry and Diversified Farming Systems as Climate Buffers: A Comprehensive Review</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BDC32A6" w:rsidR="00CF0BBB" w:rsidRPr="00DE7D30" w:rsidRDefault="00A34F12"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D63B20">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53DDCC1" w:rsidR="00F1171E" w:rsidRPr="003202B5" w:rsidRDefault="003202B5" w:rsidP="003202B5">
            <w:pPr>
              <w:pStyle w:val="ListParagraph"/>
              <w:ind w:left="0"/>
              <w:jc w:val="both"/>
              <w:rPr>
                <w:sz w:val="20"/>
                <w:szCs w:val="20"/>
                <w:lang w:val="en-GB"/>
              </w:rPr>
            </w:pPr>
            <w:r w:rsidRPr="003202B5">
              <w:rPr>
                <w:sz w:val="20"/>
                <w:szCs w:val="20"/>
                <w:lang w:val="en-GB"/>
              </w:rPr>
              <w:t>This book chapter addresses an important topic in the context of climate change and agricultural sustainability. By synthesizing the scientific literature on agroforestry and diversified farming systems, the chapter highlights their role as effective strategies for improving climate resilience and supporting sustainable food production. The manuscript provides a clear overview of ecological, agronomic, and socio-economic mechanisms through which agroforestry systems can buffer climate variability. As a review-based book chapter, it contributes valuable knowledge for researchers, policymakers, and practitioners interested in climate-adaptive agricultural systems.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34E5209" w14:textId="77777777" w:rsidR="003202B5" w:rsidRPr="003202B5" w:rsidRDefault="003202B5" w:rsidP="003202B5">
            <w:pPr>
              <w:rPr>
                <w:sz w:val="20"/>
                <w:szCs w:val="20"/>
                <w:lang w:val="en-GB"/>
              </w:rPr>
            </w:pPr>
            <w:r w:rsidRPr="003202B5">
              <w:rPr>
                <w:sz w:val="20"/>
                <w:szCs w:val="20"/>
                <w:lang w:val="en-GB"/>
              </w:rPr>
              <w:t>Yes, the title is appropriate and clearly reflects the content of the book chapter.</w:t>
            </w:r>
          </w:p>
          <w:p w14:paraId="6EADD1CC" w14:textId="77777777" w:rsidR="003202B5" w:rsidRPr="003202B5" w:rsidRDefault="003202B5" w:rsidP="003202B5">
            <w:pPr>
              <w:rPr>
                <w:sz w:val="20"/>
                <w:szCs w:val="20"/>
                <w:lang w:val="en-GB"/>
              </w:rPr>
            </w:pPr>
          </w:p>
          <w:p w14:paraId="1D567799" w14:textId="77777777" w:rsidR="003202B5" w:rsidRPr="003202B5" w:rsidRDefault="003202B5" w:rsidP="003202B5">
            <w:pPr>
              <w:rPr>
                <w:sz w:val="20"/>
                <w:szCs w:val="20"/>
                <w:lang w:val="en-GB"/>
              </w:rPr>
            </w:pPr>
            <w:r w:rsidRPr="003202B5">
              <w:rPr>
                <w:sz w:val="20"/>
                <w:szCs w:val="20"/>
                <w:lang w:val="en-GB"/>
              </w:rPr>
              <w:t>Optional suggestion:</w:t>
            </w:r>
          </w:p>
          <w:p w14:paraId="794AA9A7" w14:textId="1936F623" w:rsidR="00F1171E" w:rsidRPr="00900E9B" w:rsidRDefault="003202B5" w:rsidP="003202B5">
            <w:pPr>
              <w:rPr>
                <w:b/>
                <w:bCs/>
                <w:sz w:val="20"/>
                <w:szCs w:val="20"/>
                <w:lang w:val="en-GB"/>
              </w:rPr>
            </w:pPr>
            <w:r w:rsidRPr="003202B5">
              <w:rPr>
                <w:sz w:val="20"/>
                <w:szCs w:val="20"/>
                <w:lang w:val="en-GB"/>
              </w:rPr>
              <w:t>Agroforestry and Diversified Farming Systems as Climate Buffers: Implications for Climate-Resilient Agriculture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2FA9BC45" w:rsidR="00F1171E" w:rsidRPr="003202B5" w:rsidRDefault="003202B5" w:rsidP="003202B5">
            <w:pPr>
              <w:jc w:val="both"/>
              <w:rPr>
                <w:sz w:val="20"/>
                <w:szCs w:val="20"/>
                <w:lang w:val="en-GB"/>
              </w:rPr>
            </w:pPr>
            <w:r w:rsidRPr="003202B5">
              <w:rPr>
                <w:sz w:val="20"/>
                <w:szCs w:val="20"/>
                <w:lang w:val="en-GB"/>
              </w:rPr>
              <w:t>The abstract is generally clear and informative. It effectively summarizes the purpose of the chapter and its relevance to climate change and agricultural resilience. However, it may benefit from briefly mentioning the method used for literature selection and emphasizing the main synthesis outcomes of the chapter.</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04056E13" w:rsidR="00F1171E" w:rsidRPr="003202B5" w:rsidRDefault="003202B5" w:rsidP="003202B5">
            <w:pPr>
              <w:pStyle w:val="ListParagraph"/>
              <w:ind w:left="0"/>
              <w:jc w:val="both"/>
              <w:rPr>
                <w:sz w:val="20"/>
                <w:szCs w:val="20"/>
                <w:lang w:val="en-GB"/>
              </w:rPr>
            </w:pPr>
            <w:r w:rsidRPr="003202B5">
              <w:rPr>
                <w:sz w:val="20"/>
                <w:szCs w:val="20"/>
                <w:lang w:val="en-GB"/>
              </w:rPr>
              <w:t>Yes, the manuscript is scientifically sound and well organized. The chapter presents a coherent synthesis of current knowledge regarding agroforestry, diversified farming systems, and climate resilience. The discussion on carbon sequestration, microclimate regulation, biodiversity, and soil conservation is consistent with the existing scientific literature.</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2124ABB9" w:rsidR="00F1171E" w:rsidRPr="003202B5" w:rsidRDefault="003202B5" w:rsidP="003202B5">
            <w:pPr>
              <w:pStyle w:val="ListParagraph"/>
              <w:ind w:left="0"/>
              <w:jc w:val="both"/>
              <w:rPr>
                <w:sz w:val="20"/>
                <w:szCs w:val="20"/>
                <w:lang w:val="en-GB"/>
              </w:rPr>
            </w:pPr>
            <w:r w:rsidRPr="003202B5">
              <w:rPr>
                <w:sz w:val="20"/>
                <w:szCs w:val="20"/>
                <w:lang w:val="en-GB"/>
              </w:rPr>
              <w:t>The references are generally relevant and include key publications in agroforestry, agroecology, and climate-smart agriculture. Foundational works and well-cited studies are included. However, the chapter could benefit from incorporating some additional recent references (2022–2024) to reflect the latest developments in climate-adaptive agriculture.</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3202B5">
            <w:pPr>
              <w:jc w:val="both"/>
              <w:rPr>
                <w:sz w:val="20"/>
                <w:szCs w:val="20"/>
                <w:lang w:val="en-GB"/>
              </w:rPr>
            </w:pPr>
          </w:p>
          <w:p w14:paraId="6CBA4B2A" w14:textId="6E93A776" w:rsidR="00F1171E" w:rsidRPr="00900E9B" w:rsidRDefault="003202B5" w:rsidP="003202B5">
            <w:pPr>
              <w:jc w:val="both"/>
              <w:rPr>
                <w:sz w:val="20"/>
                <w:szCs w:val="20"/>
                <w:lang w:val="en-GB"/>
              </w:rPr>
            </w:pPr>
            <w:r w:rsidRPr="003202B5">
              <w:rPr>
                <w:sz w:val="20"/>
                <w:szCs w:val="20"/>
                <w:lang w:val="en-GB"/>
              </w:rPr>
              <w:t>Yes, the language quality is generally appropriate for scholarly communication. The text is clear and understandable. Minor grammatical or stylistic revisions may further improve readability.</w:t>
            </w:r>
          </w:p>
          <w:p w14:paraId="41E28118" w14:textId="77777777" w:rsidR="00F1171E" w:rsidRPr="00900E9B" w:rsidRDefault="00F1171E" w:rsidP="003202B5">
            <w:pPr>
              <w:jc w:val="both"/>
              <w:rPr>
                <w:sz w:val="20"/>
                <w:szCs w:val="20"/>
                <w:lang w:val="en-GB"/>
              </w:rPr>
            </w:pPr>
          </w:p>
          <w:p w14:paraId="297F52DB" w14:textId="77777777" w:rsidR="00F1171E" w:rsidRPr="00900E9B" w:rsidRDefault="00F1171E" w:rsidP="003202B5">
            <w:pPr>
              <w:jc w:val="both"/>
              <w:rPr>
                <w:sz w:val="20"/>
                <w:szCs w:val="20"/>
                <w:lang w:val="en-GB"/>
              </w:rPr>
            </w:pPr>
          </w:p>
          <w:p w14:paraId="149A6CEF" w14:textId="77777777" w:rsidR="00F1171E" w:rsidRPr="00900E9B" w:rsidRDefault="00F1171E" w:rsidP="003202B5">
            <w:pPr>
              <w:jc w:val="both"/>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3315F98B" w:rsidR="00F1171E" w:rsidRPr="00900E9B" w:rsidRDefault="00966793" w:rsidP="003202B5">
            <w:pPr>
              <w:jc w:val="both"/>
              <w:rPr>
                <w:sz w:val="20"/>
                <w:szCs w:val="20"/>
                <w:lang w:val="en-GB"/>
              </w:rPr>
            </w:pPr>
            <w:r>
              <w:rPr>
                <w:lang w:val="en-GB"/>
              </w:rPr>
              <w:t>T</w:t>
            </w:r>
            <w:r w:rsidR="003202B5">
              <w:t xml:space="preserve">he chapter provides a comprehensive overview of agroforestry and diversified farming systems as climate adaptation strategies. The integration of ecological and socio-economic aspects is a strong point. To further strengthen the chapter, the authors may consider including a short section on </w:t>
            </w:r>
            <w:r w:rsidR="003202B5">
              <w:rPr>
                <w:rStyle w:val="Strong"/>
                <w:rFonts w:eastAsia="Arial Unicode MS"/>
              </w:rPr>
              <w:t>future research perspectives and practical implementation challenges of agroforestry systems in different agroecological regions</w:t>
            </w:r>
            <w:r w:rsidR="003202B5">
              <w:t>.</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7B654B67" w14:textId="41F0D2C6" w:rsidR="00F1171E" w:rsidRPr="003202B5" w:rsidRDefault="003202B5" w:rsidP="003202B5">
            <w:r w:rsidRPr="003202B5">
              <w:t>No ethical issues were identified in this manuscript.</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48DC05A4" w14:textId="2E8FEB7D" w:rsidR="004C3DF1" w:rsidRDefault="004C3DF1">
      <w:pPr>
        <w:rPr>
          <w:rFonts w:ascii="Arial" w:hAnsi="Arial" w:cs="Arial"/>
          <w:b/>
          <w:sz w:val="20"/>
          <w:szCs w:val="20"/>
          <w:lang w:val="en-GB"/>
        </w:rPr>
      </w:pPr>
    </w:p>
    <w:p w14:paraId="6CF2D96E" w14:textId="77777777" w:rsidR="00830382" w:rsidRDefault="00830382" w:rsidP="00830382">
      <w:pPr>
        <w:pStyle w:val="Affiliation"/>
        <w:spacing w:after="0" w:line="240" w:lineRule="auto"/>
        <w:jc w:val="left"/>
        <w:rPr>
          <w:rFonts w:ascii="Arial" w:hAnsi="Arial" w:cs="Arial"/>
          <w:b/>
          <w:sz w:val="16"/>
          <w:szCs w:val="16"/>
          <w:u w:val="single"/>
        </w:rPr>
      </w:pPr>
      <w:r>
        <w:rPr>
          <w:rFonts w:ascii="Arial" w:hAnsi="Arial" w:cs="Arial"/>
          <w:b/>
          <w:sz w:val="16"/>
          <w:szCs w:val="16"/>
          <w:u w:val="single"/>
        </w:rPr>
        <w:t>Reviewer details:</w:t>
      </w:r>
    </w:p>
    <w:p w14:paraId="3B8C33B8" w14:textId="77777777" w:rsidR="00830382" w:rsidRDefault="00830382" w:rsidP="00830382">
      <w:pPr>
        <w:pStyle w:val="Affiliation"/>
        <w:spacing w:after="0" w:line="240" w:lineRule="auto"/>
        <w:jc w:val="left"/>
        <w:rPr>
          <w:rFonts w:ascii="Arial" w:hAnsi="Arial" w:cs="Arial"/>
          <w:sz w:val="16"/>
          <w:szCs w:val="16"/>
        </w:rPr>
      </w:pPr>
    </w:p>
    <w:p w14:paraId="0CA8DCE8" w14:textId="77777777" w:rsidR="00830382" w:rsidRDefault="00830382" w:rsidP="00830382">
      <w:pPr>
        <w:rPr>
          <w:rFonts w:ascii="Helvetica" w:hAnsi="Helvetica"/>
          <w:sz w:val="20"/>
          <w:szCs w:val="20"/>
        </w:rPr>
      </w:pPr>
      <w:r>
        <w:rPr>
          <w:rFonts w:ascii="Calibri" w:hAnsi="Calibri" w:cs="Calibri"/>
          <w:color w:val="000000"/>
        </w:rPr>
        <w:t xml:space="preserve">BELAGROUZ </w:t>
      </w:r>
      <w:proofErr w:type="spellStart"/>
      <w:r>
        <w:rPr>
          <w:rFonts w:ascii="Calibri" w:hAnsi="Calibri" w:cs="Calibri"/>
          <w:color w:val="000000"/>
        </w:rPr>
        <w:t>Abdenour</w:t>
      </w:r>
      <w:proofErr w:type="spellEnd"/>
      <w:r>
        <w:rPr>
          <w:rFonts w:ascii="Calibri" w:hAnsi="Calibri" w:cs="Calibri"/>
          <w:color w:val="000000"/>
        </w:rPr>
        <w:t>, National Higher School of Forests, Algeria</w:t>
      </w:r>
      <w:r>
        <w:rPr>
          <w:rFonts w:ascii="Calibri" w:hAnsi="Calibri" w:cs="Calibri"/>
          <w:color w:val="000000"/>
        </w:rPr>
        <w:br/>
      </w:r>
    </w:p>
    <w:p w14:paraId="6249EB55" w14:textId="77777777" w:rsidR="00830382" w:rsidRPr="00DE7D30" w:rsidRDefault="00830382">
      <w:pPr>
        <w:rPr>
          <w:rFonts w:ascii="Arial" w:hAnsi="Arial" w:cs="Arial"/>
          <w:b/>
          <w:sz w:val="20"/>
          <w:szCs w:val="20"/>
          <w:lang w:val="en-GB"/>
        </w:rPr>
      </w:pPr>
      <w:bookmarkStart w:id="0" w:name="_GoBack"/>
      <w:bookmarkEnd w:id="0"/>
    </w:p>
    <w:sectPr w:rsidR="00830382" w:rsidRPr="00DE7D3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847F0" w14:textId="77777777" w:rsidR="003C1397" w:rsidRPr="0000007A" w:rsidRDefault="003C1397" w:rsidP="0099583E">
      <w:r>
        <w:separator/>
      </w:r>
    </w:p>
  </w:endnote>
  <w:endnote w:type="continuationSeparator" w:id="0">
    <w:p w14:paraId="1B76EDA7" w14:textId="77777777" w:rsidR="003C1397" w:rsidRPr="0000007A" w:rsidRDefault="003C139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1D323" w14:textId="77777777" w:rsidR="003C1397" w:rsidRPr="0000007A" w:rsidRDefault="003C1397" w:rsidP="0099583E">
      <w:r>
        <w:separator/>
      </w:r>
    </w:p>
  </w:footnote>
  <w:footnote w:type="continuationSeparator" w:id="0">
    <w:p w14:paraId="4B0F689A" w14:textId="77777777" w:rsidR="003C1397" w:rsidRPr="0000007A" w:rsidRDefault="003C139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5F9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1A5"/>
    <w:rsid w:val="0017545C"/>
    <w:rsid w:val="001766DF"/>
    <w:rsid w:val="00176F0D"/>
    <w:rsid w:val="00186C8F"/>
    <w:rsid w:val="0018753A"/>
    <w:rsid w:val="00197E68"/>
    <w:rsid w:val="001A1605"/>
    <w:rsid w:val="001A2F22"/>
    <w:rsid w:val="001A6D1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2B5"/>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1397"/>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400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0382"/>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793"/>
    <w:rsid w:val="00967C62"/>
    <w:rsid w:val="00982766"/>
    <w:rsid w:val="009852C4"/>
    <w:rsid w:val="0099583E"/>
    <w:rsid w:val="009A0242"/>
    <w:rsid w:val="009A59ED"/>
    <w:rsid w:val="009B101F"/>
    <w:rsid w:val="009B239B"/>
    <w:rsid w:val="009C13D3"/>
    <w:rsid w:val="009C5642"/>
    <w:rsid w:val="009D2158"/>
    <w:rsid w:val="009E13C3"/>
    <w:rsid w:val="009E6A30"/>
    <w:rsid w:val="009F07D4"/>
    <w:rsid w:val="009F29EB"/>
    <w:rsid w:val="009F7A71"/>
    <w:rsid w:val="00A001A0"/>
    <w:rsid w:val="00A12C83"/>
    <w:rsid w:val="00A15F2F"/>
    <w:rsid w:val="00A17184"/>
    <w:rsid w:val="00A31AAC"/>
    <w:rsid w:val="00A32905"/>
    <w:rsid w:val="00A34F12"/>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3C32"/>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3B20"/>
    <w:rsid w:val="00D709EB"/>
    <w:rsid w:val="00D7603E"/>
    <w:rsid w:val="00D90124"/>
    <w:rsid w:val="00D9392F"/>
    <w:rsid w:val="00D9427C"/>
    <w:rsid w:val="00DA2679"/>
    <w:rsid w:val="00DA3C3D"/>
    <w:rsid w:val="00DA41F5"/>
    <w:rsid w:val="00DB14F7"/>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4483"/>
    <w:rsid w:val="00E9533D"/>
    <w:rsid w:val="00E972A7"/>
    <w:rsid w:val="00EA2839"/>
    <w:rsid w:val="00EB3E91"/>
    <w:rsid w:val="00EB6E15"/>
    <w:rsid w:val="00EC6894"/>
    <w:rsid w:val="00ED6B12"/>
    <w:rsid w:val="00ED7400"/>
    <w:rsid w:val="00EF326D"/>
    <w:rsid w:val="00EF4FB6"/>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3202B5"/>
    <w:rPr>
      <w:b/>
      <w:bCs/>
    </w:rPr>
  </w:style>
  <w:style w:type="paragraph" w:customStyle="1" w:styleId="Affiliation">
    <w:name w:val="Affiliation"/>
    <w:basedOn w:val="Normal"/>
    <w:rsid w:val="0083038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45850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67127704">
      <w:bodyDiv w:val="1"/>
      <w:marLeft w:val="0"/>
      <w:marRight w:val="0"/>
      <w:marTop w:val="0"/>
      <w:marBottom w:val="0"/>
      <w:divBdr>
        <w:top w:val="none" w:sz="0" w:space="0" w:color="auto"/>
        <w:left w:val="none" w:sz="0" w:space="0" w:color="auto"/>
        <w:bottom w:val="none" w:sz="0" w:space="0" w:color="auto"/>
        <w:right w:val="none" w:sz="0" w:space="0" w:color="auto"/>
      </w:divBdr>
    </w:div>
    <w:div w:id="119380636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1186</cp:lastModifiedBy>
  <cp:revision>112</cp:revision>
  <dcterms:created xsi:type="dcterms:W3CDTF">2023-08-30T09:21:00Z</dcterms:created>
  <dcterms:modified xsi:type="dcterms:W3CDTF">2026-03-20T12:14:00Z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