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142434" w14:paraId="58587305" w14:textId="77777777">
        <w:trPr>
          <w:trHeight w:val="20"/>
          <w:jc w:val="center"/>
        </w:trPr>
        <w:tc>
          <w:tcPr>
            <w:tcW w:w="1186" w:type="pct"/>
          </w:tcPr>
          <w:p w14:paraId="7AB472D9" w14:textId="77777777" w:rsidR="00777916" w:rsidRPr="0014243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77A6E2D1" w14:textId="77777777" w:rsidR="00777916" w:rsidRPr="00142434" w:rsidRDefault="0007361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tgtFrame="_blank" w:history="1">
              <w:r w:rsidRPr="00142434">
                <w:rPr>
                  <w:rFonts w:ascii="Arial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Biological Science: Research Developments and Innovations</w:t>
              </w:r>
            </w:hyperlink>
          </w:p>
        </w:tc>
      </w:tr>
      <w:tr w:rsidR="00777916" w:rsidRPr="00142434" w14:paraId="6D475CCA" w14:textId="77777777">
        <w:trPr>
          <w:trHeight w:val="20"/>
          <w:jc w:val="center"/>
        </w:trPr>
        <w:tc>
          <w:tcPr>
            <w:tcW w:w="1186" w:type="pct"/>
          </w:tcPr>
          <w:p w14:paraId="544173D6" w14:textId="77777777" w:rsidR="00777916" w:rsidRPr="0014243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E05BD98" w14:textId="77777777" w:rsidR="00777916" w:rsidRPr="00142434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371AB8" w:rsidRPr="001424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7989</w:t>
            </w:r>
          </w:p>
        </w:tc>
      </w:tr>
      <w:tr w:rsidR="00777916" w:rsidRPr="00142434" w14:paraId="0F9A0259" w14:textId="77777777">
        <w:trPr>
          <w:trHeight w:val="20"/>
          <w:jc w:val="center"/>
        </w:trPr>
        <w:tc>
          <w:tcPr>
            <w:tcW w:w="1186" w:type="pct"/>
          </w:tcPr>
          <w:p w14:paraId="65BF92DD" w14:textId="77777777" w:rsidR="00777916" w:rsidRPr="0014243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1720E44" w14:textId="77777777" w:rsidR="00777916" w:rsidRPr="00142434" w:rsidRDefault="00BB13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Engineered Biochar and </w:t>
            </w:r>
            <w:proofErr w:type="spellStart"/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>Hydrochar</w:t>
            </w:r>
            <w:proofErr w:type="spellEnd"/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Agricultural Systems: Production Technologies, Soil Conditioning and Carbon Sequestration Mechanics</w:t>
            </w:r>
          </w:p>
        </w:tc>
      </w:tr>
      <w:tr w:rsidR="00777916" w:rsidRPr="00142434" w14:paraId="34C470C0" w14:textId="77777777">
        <w:trPr>
          <w:trHeight w:val="20"/>
          <w:jc w:val="center"/>
        </w:trPr>
        <w:tc>
          <w:tcPr>
            <w:tcW w:w="1186" w:type="pct"/>
          </w:tcPr>
          <w:p w14:paraId="2258DA4A" w14:textId="77777777" w:rsidR="00777916" w:rsidRPr="0014243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5BB1293" w14:textId="77777777" w:rsidR="00777916" w:rsidRPr="00142434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29B45D74" w14:textId="0AF39F8F" w:rsidR="00777916" w:rsidRPr="00142434" w:rsidRDefault="00777916" w:rsidP="000B71F7">
      <w:pPr>
        <w:rPr>
          <w:rFonts w:ascii="Arial" w:hAnsi="Arial" w:cs="Arial"/>
          <w:sz w:val="20"/>
          <w:szCs w:val="20"/>
        </w:rPr>
      </w:pPr>
    </w:p>
    <w:p w14:paraId="07CF96BF" w14:textId="77777777" w:rsidR="00777916" w:rsidRPr="00142434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41D6C76C" w14:textId="77777777" w:rsidR="00777916" w:rsidRPr="00142434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142434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67AD5040" w14:textId="77777777" w:rsidR="00777916" w:rsidRPr="00142434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7EEC952B" w14:textId="77777777" w:rsidR="00777916" w:rsidRPr="00142434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142434" w14:paraId="6CCC6639" w14:textId="77777777">
        <w:trPr>
          <w:trHeight w:val="20"/>
          <w:jc w:val="center"/>
        </w:trPr>
        <w:tc>
          <w:tcPr>
            <w:tcW w:w="1789" w:type="pct"/>
            <w:noWrap/>
          </w:tcPr>
          <w:p w14:paraId="55237E5E" w14:textId="77777777" w:rsidR="00777916" w:rsidRPr="0014243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4DB3BDA1" w14:textId="77777777" w:rsidR="00777916" w:rsidRPr="0014243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142434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037EAF65" w14:textId="77777777" w:rsidR="00777916" w:rsidRPr="00142434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424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424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1B6A5E" w14:textId="77777777" w:rsidR="00777916" w:rsidRPr="0014243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142434" w14:paraId="08DF5E15" w14:textId="77777777">
        <w:trPr>
          <w:trHeight w:val="20"/>
          <w:jc w:val="center"/>
        </w:trPr>
        <w:tc>
          <w:tcPr>
            <w:tcW w:w="1789" w:type="pct"/>
            <w:noWrap/>
          </w:tcPr>
          <w:p w14:paraId="787A7CE2" w14:textId="77777777" w:rsidR="00777916" w:rsidRPr="00142434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4243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0E15E4C3" w14:textId="77777777" w:rsidR="00897A6C" w:rsidRPr="0014243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 xml:space="preserve">The manuscript addresses an important and timely interdisciplinary topic by integrating engineered biochar, </w:t>
            </w:r>
            <w:proofErr w:type="spellStart"/>
            <w:r w:rsidRPr="00142434">
              <w:rPr>
                <w:rFonts w:ascii="Arial" w:hAnsi="Arial" w:cs="Arial"/>
                <w:sz w:val="20"/>
                <w:szCs w:val="20"/>
              </w:rPr>
              <w:t>hydrochar</w:t>
            </w:r>
            <w:proofErr w:type="spellEnd"/>
            <w:r w:rsidRPr="00142434">
              <w:rPr>
                <w:rFonts w:ascii="Arial" w:hAnsi="Arial" w:cs="Arial"/>
                <w:sz w:val="20"/>
                <w:szCs w:val="20"/>
              </w:rPr>
              <w:t xml:space="preserve">, agricultural soil conditioning, and carbon permanence within a single production-to-function framework. Its distinction between pyrolytic biochar and </w:t>
            </w:r>
            <w:proofErr w:type="spellStart"/>
            <w:r w:rsidRPr="00142434">
              <w:rPr>
                <w:rFonts w:ascii="Arial" w:hAnsi="Arial" w:cs="Arial"/>
                <w:sz w:val="20"/>
                <w:szCs w:val="20"/>
              </w:rPr>
              <w:t>hydrochar</w:t>
            </w:r>
            <w:proofErr w:type="spellEnd"/>
            <w:r w:rsidRPr="00142434">
              <w:rPr>
                <w:rFonts w:ascii="Arial" w:hAnsi="Arial" w:cs="Arial"/>
                <w:sz w:val="20"/>
                <w:szCs w:val="20"/>
              </w:rPr>
              <w:t xml:space="preserve"> is useful, particularly regarding labile carbon, phytotoxicity, nitrogen </w:t>
            </w:r>
            <w:proofErr w:type="spellStart"/>
            <w:r w:rsidRPr="00142434">
              <w:rPr>
                <w:rFonts w:ascii="Arial" w:hAnsi="Arial" w:cs="Arial"/>
                <w:sz w:val="20"/>
                <w:szCs w:val="20"/>
              </w:rPr>
              <w:t>immobilisation</w:t>
            </w:r>
            <w:proofErr w:type="spellEnd"/>
            <w:r w:rsidRPr="00142434">
              <w:rPr>
                <w:rFonts w:ascii="Arial" w:hAnsi="Arial" w:cs="Arial"/>
                <w:sz w:val="20"/>
                <w:szCs w:val="20"/>
              </w:rPr>
              <w:t>, and permanence. The emphasis on constraint-targeted application and whole-system carbon accounting has practical value for researchers and practitioners. However, the review would be strengthened by improving the reproducibility of the literature-search methodology and by making the evidence synthesis more explicit and systematic.</w:t>
            </w:r>
          </w:p>
        </w:tc>
        <w:tc>
          <w:tcPr>
            <w:tcW w:w="1367" w:type="pct"/>
          </w:tcPr>
          <w:p w14:paraId="78F5CDA6" w14:textId="42291AEC" w:rsidR="00777916" w:rsidRPr="0014243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7C28FA02" w14:textId="77777777" w:rsidR="00777916" w:rsidRPr="00142434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4B0C0946" w14:textId="77777777" w:rsidR="00777916" w:rsidRPr="00142434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27CCA782" w14:textId="77777777" w:rsidR="00777916" w:rsidRPr="00142434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142434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142434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142434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71430156" w14:textId="77777777" w:rsidR="00777916" w:rsidRPr="00142434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142434" w14:paraId="76A0B73F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32973BA6" w14:textId="77777777" w:rsidR="00777916" w:rsidRPr="001424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ED82F6F" w14:textId="77777777" w:rsidR="00777916" w:rsidRPr="001424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142434" w14:paraId="45AB964A" w14:textId="77777777">
        <w:trPr>
          <w:trHeight w:val="20"/>
          <w:jc w:val="center"/>
        </w:trPr>
        <w:tc>
          <w:tcPr>
            <w:tcW w:w="1790" w:type="pct"/>
            <w:noWrap/>
          </w:tcPr>
          <w:p w14:paraId="0EA2EABE" w14:textId="77777777" w:rsidR="00777916" w:rsidRPr="001424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1B14426F" w14:textId="77777777" w:rsidR="00777916" w:rsidRPr="001424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142434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734553C5" w14:textId="77777777" w:rsidR="00777916" w:rsidRPr="00142434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24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424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14243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14243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D510B" w:rsidRPr="00142434" w14:paraId="40650C0E" w14:textId="77777777">
        <w:trPr>
          <w:trHeight w:val="20"/>
          <w:jc w:val="center"/>
        </w:trPr>
        <w:tc>
          <w:tcPr>
            <w:tcW w:w="1790" w:type="pct"/>
            <w:noWrap/>
          </w:tcPr>
          <w:p w14:paraId="62B17A1C" w14:textId="77777777" w:rsidR="007D510B" w:rsidRPr="00142434" w:rsidRDefault="007D510B" w:rsidP="007D510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DA66D39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B8F083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5EF8C09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4/5 – Good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The title accurately reflects the scope and major themes.</w:t>
            </w:r>
          </w:p>
        </w:tc>
        <w:tc>
          <w:tcPr>
            <w:tcW w:w="1367" w:type="pct"/>
          </w:tcPr>
          <w:p w14:paraId="11DC02D3" w14:textId="3DFAA8F9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2D9C4751" w14:textId="77777777">
        <w:trPr>
          <w:trHeight w:val="20"/>
          <w:jc w:val="center"/>
        </w:trPr>
        <w:tc>
          <w:tcPr>
            <w:tcW w:w="1790" w:type="pct"/>
            <w:noWrap/>
          </w:tcPr>
          <w:p w14:paraId="7F8C3FC9" w14:textId="77777777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142434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427805E5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86F00C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0B3A546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4/5 – Good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The abstract is comprehensive and appropriately presents scope, major findings, uncertainties, and implications.</w:t>
            </w:r>
          </w:p>
        </w:tc>
        <w:tc>
          <w:tcPr>
            <w:tcW w:w="1367" w:type="pct"/>
          </w:tcPr>
          <w:p w14:paraId="06D828A7" w14:textId="54313F1C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469B9EC2" w14:textId="77777777">
        <w:trPr>
          <w:trHeight w:val="20"/>
          <w:jc w:val="center"/>
        </w:trPr>
        <w:tc>
          <w:tcPr>
            <w:tcW w:w="1790" w:type="pct"/>
            <w:noWrap/>
          </w:tcPr>
          <w:p w14:paraId="5F68B9B1" w14:textId="77777777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142434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4FA89387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308A92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E40C56E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4/5 – Good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Keywords are relevant; adding terms such as carbon permanence or life-cycle assessment could improve discoverability.</w:t>
            </w:r>
          </w:p>
        </w:tc>
        <w:tc>
          <w:tcPr>
            <w:tcW w:w="1367" w:type="pct"/>
          </w:tcPr>
          <w:p w14:paraId="65E2BDE3" w14:textId="004EE92C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5ED78F35" w14:textId="77777777">
        <w:trPr>
          <w:trHeight w:val="20"/>
          <w:jc w:val="center"/>
        </w:trPr>
        <w:tc>
          <w:tcPr>
            <w:tcW w:w="1790" w:type="pct"/>
            <w:noWrap/>
          </w:tcPr>
          <w:p w14:paraId="5B264487" w14:textId="77777777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142434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661FD6E4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83DF96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42579DF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5/5 – Excellent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The scope, research gap, and objectives are clearly stated in Section 1.1.</w:t>
            </w:r>
          </w:p>
        </w:tc>
        <w:tc>
          <w:tcPr>
            <w:tcW w:w="1367" w:type="pct"/>
          </w:tcPr>
          <w:p w14:paraId="3CC14DEF" w14:textId="6E53E1D9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620D4525" w14:textId="77777777">
        <w:trPr>
          <w:trHeight w:val="20"/>
          <w:jc w:val="center"/>
        </w:trPr>
        <w:tc>
          <w:tcPr>
            <w:tcW w:w="1790" w:type="pct"/>
            <w:noWrap/>
          </w:tcPr>
          <w:p w14:paraId="0E9DC5BD" w14:textId="77777777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142434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55B7A333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CB692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9F4A6BF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5/5 – Excellent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 xml:space="preserve">The review covers production, engineering, soil conditioning, biology, crop response, </w:t>
            </w:r>
            <w:proofErr w:type="spellStart"/>
            <w:r w:rsidRPr="00142434">
              <w:rPr>
                <w:rFonts w:ascii="Arial" w:hAnsi="Arial" w:cs="Arial"/>
                <w:sz w:val="20"/>
                <w:szCs w:val="20"/>
              </w:rPr>
              <w:t>hydrochar</w:t>
            </w:r>
            <w:proofErr w:type="spellEnd"/>
            <w:r w:rsidRPr="00142434">
              <w:rPr>
                <w:rFonts w:ascii="Arial" w:hAnsi="Arial" w:cs="Arial"/>
                <w:sz w:val="20"/>
                <w:szCs w:val="20"/>
              </w:rPr>
              <w:t xml:space="preserve"> constraints, and carbon accounting.</w:t>
            </w:r>
          </w:p>
        </w:tc>
        <w:tc>
          <w:tcPr>
            <w:tcW w:w="1367" w:type="pct"/>
          </w:tcPr>
          <w:p w14:paraId="39ADF7EE" w14:textId="230C29C3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41E052D0" w14:textId="77777777">
        <w:trPr>
          <w:trHeight w:val="20"/>
          <w:jc w:val="center"/>
        </w:trPr>
        <w:tc>
          <w:tcPr>
            <w:tcW w:w="1790" w:type="pct"/>
            <w:noWrap/>
          </w:tcPr>
          <w:p w14:paraId="3222748F" w14:textId="77777777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142434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6EDE5CCD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B0FEB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EBE9658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4/5 – Good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The review includes recent 2023–2026 literature, although the recent evidence base could be broadened in several specialist areas.</w:t>
            </w:r>
          </w:p>
        </w:tc>
        <w:tc>
          <w:tcPr>
            <w:tcW w:w="1367" w:type="pct"/>
          </w:tcPr>
          <w:p w14:paraId="009A7DFF" w14:textId="24AADD4E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32216CEB" w14:textId="77777777">
        <w:trPr>
          <w:trHeight w:val="20"/>
          <w:jc w:val="center"/>
        </w:trPr>
        <w:tc>
          <w:tcPr>
            <w:tcW w:w="1790" w:type="pct"/>
            <w:noWrap/>
          </w:tcPr>
          <w:p w14:paraId="55D5D1B9" w14:textId="77777777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142434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06DB9B8C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EB0E92" w14:textId="77777777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19AC02C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3/5 – Satisfactory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Databases, search period, representative search strings, eligibility criteria, and appraisal principles are described, but exact database-specific strategies, search dates, screening counts, and a reproducible selection record are not provided.</w:t>
            </w:r>
          </w:p>
        </w:tc>
        <w:tc>
          <w:tcPr>
            <w:tcW w:w="1367" w:type="pct"/>
          </w:tcPr>
          <w:p w14:paraId="48CB1640" w14:textId="49F8CD68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54F2CD03" w14:textId="77777777">
        <w:trPr>
          <w:trHeight w:val="20"/>
          <w:jc w:val="center"/>
        </w:trPr>
        <w:tc>
          <w:tcPr>
            <w:tcW w:w="1790" w:type="pct"/>
            <w:noWrap/>
          </w:tcPr>
          <w:p w14:paraId="475C3AC7" w14:textId="77777777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142434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3847C21B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E492C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779DBC6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4/5 – Good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 xml:space="preserve">The manuscript critically discusses heterogeneity, moderators, trade-offs, permanence, priming, and life-cycle effects rather than merely </w:t>
            </w:r>
            <w:proofErr w:type="spellStart"/>
            <w:r w:rsidRPr="00142434">
              <w:rPr>
                <w:rFonts w:ascii="Arial" w:hAnsi="Arial" w:cs="Arial"/>
                <w:sz w:val="20"/>
                <w:szCs w:val="20"/>
              </w:rPr>
              <w:t>summarising</w:t>
            </w:r>
            <w:proofErr w:type="spellEnd"/>
            <w:r w:rsidRPr="00142434">
              <w:rPr>
                <w:rFonts w:ascii="Arial" w:hAnsi="Arial" w:cs="Arial"/>
                <w:sz w:val="20"/>
                <w:szCs w:val="20"/>
              </w:rPr>
              <w:t xml:space="preserve"> studies.</w:t>
            </w:r>
          </w:p>
        </w:tc>
        <w:tc>
          <w:tcPr>
            <w:tcW w:w="1367" w:type="pct"/>
          </w:tcPr>
          <w:p w14:paraId="78F11D02" w14:textId="68ECE0FA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19CCF68B" w14:textId="77777777">
        <w:trPr>
          <w:trHeight w:val="20"/>
          <w:jc w:val="center"/>
        </w:trPr>
        <w:tc>
          <w:tcPr>
            <w:tcW w:w="1790" w:type="pct"/>
            <w:noWrap/>
          </w:tcPr>
          <w:p w14:paraId="01AFCC87" w14:textId="77777777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142434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504601C0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BE1120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EA3B219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5/5 – Excellent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 xml:space="preserve">The research agenda is clearly articulated, including matched-feedstock comparisons, long-term validation, </w:t>
            </w:r>
            <w:proofErr w:type="spellStart"/>
            <w:r w:rsidRPr="00142434">
              <w:rPr>
                <w:rFonts w:ascii="Arial" w:hAnsi="Arial" w:cs="Arial"/>
                <w:sz w:val="20"/>
                <w:szCs w:val="20"/>
              </w:rPr>
              <w:t>hydrochar</w:t>
            </w:r>
            <w:proofErr w:type="spellEnd"/>
            <w:r w:rsidRPr="00142434">
              <w:rPr>
                <w:rFonts w:ascii="Arial" w:hAnsi="Arial" w:cs="Arial"/>
                <w:sz w:val="20"/>
                <w:szCs w:val="20"/>
              </w:rPr>
              <w:t xml:space="preserve"> maturation, permanence verification, constraint-targeted trials, and integrated LCA.</w:t>
            </w:r>
          </w:p>
        </w:tc>
        <w:tc>
          <w:tcPr>
            <w:tcW w:w="1367" w:type="pct"/>
          </w:tcPr>
          <w:p w14:paraId="08F428C6" w14:textId="627FBA9F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6441C09A" w14:textId="77777777">
        <w:trPr>
          <w:trHeight w:val="20"/>
          <w:jc w:val="center"/>
        </w:trPr>
        <w:tc>
          <w:tcPr>
            <w:tcW w:w="1790" w:type="pct"/>
            <w:noWrap/>
          </w:tcPr>
          <w:p w14:paraId="671AF854" w14:textId="77777777" w:rsidR="007D510B" w:rsidRPr="00142434" w:rsidRDefault="007D510B" w:rsidP="007D51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42434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142434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10B59372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E64998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DA20324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4/5 – Good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The conclusions follow the synthesis and are appropriately cautious, although some statements could be tied more explicitly to the strength of the underlying evidence.</w:t>
            </w:r>
          </w:p>
        </w:tc>
        <w:tc>
          <w:tcPr>
            <w:tcW w:w="1367" w:type="pct"/>
          </w:tcPr>
          <w:p w14:paraId="0B5F5B64" w14:textId="592763DD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343E0E12" w14:textId="77777777">
        <w:trPr>
          <w:trHeight w:val="20"/>
          <w:jc w:val="center"/>
        </w:trPr>
        <w:tc>
          <w:tcPr>
            <w:tcW w:w="1790" w:type="pct"/>
            <w:noWrap/>
          </w:tcPr>
          <w:p w14:paraId="4986B367" w14:textId="77777777" w:rsidR="007D510B" w:rsidRPr="00142434" w:rsidRDefault="007D510B" w:rsidP="007D51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F9D5FFE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786A7D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D9A27BC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5/5 – Excellent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 xml:space="preserve">The limitations section transparently acknowledges narrative-review bias, heterogeneity, evidence </w:t>
            </w:r>
            <w:r w:rsidRPr="00142434">
              <w:rPr>
                <w:rFonts w:ascii="Arial" w:hAnsi="Arial" w:cs="Arial"/>
                <w:sz w:val="20"/>
                <w:szCs w:val="20"/>
              </w:rPr>
              <w:lastRenderedPageBreak/>
              <w:t>imbalance, access/language limitations, publication bias, and carbon-accounting assumptions.</w:t>
            </w:r>
          </w:p>
        </w:tc>
        <w:tc>
          <w:tcPr>
            <w:tcW w:w="1367" w:type="pct"/>
          </w:tcPr>
          <w:p w14:paraId="3DF32778" w14:textId="572F0A06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54A6DF32" w14:textId="77777777">
        <w:trPr>
          <w:trHeight w:val="20"/>
          <w:jc w:val="center"/>
        </w:trPr>
        <w:tc>
          <w:tcPr>
            <w:tcW w:w="1790" w:type="pct"/>
            <w:noWrap/>
          </w:tcPr>
          <w:p w14:paraId="4BAE9C75" w14:textId="77777777" w:rsidR="007D510B" w:rsidRPr="00142434" w:rsidRDefault="007D510B" w:rsidP="007D51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4B51F21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77FAAC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CD86F7B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4/5 – Good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The reference list is largely composed of peer-reviewed and relevant sources and includes recent work; bibliographic/DOI completeness should be checked before publication.</w:t>
            </w:r>
          </w:p>
        </w:tc>
        <w:tc>
          <w:tcPr>
            <w:tcW w:w="1367" w:type="pct"/>
          </w:tcPr>
          <w:p w14:paraId="363970BD" w14:textId="42A061DE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56511192" w14:textId="77777777">
        <w:trPr>
          <w:trHeight w:val="20"/>
          <w:jc w:val="center"/>
        </w:trPr>
        <w:tc>
          <w:tcPr>
            <w:tcW w:w="1790" w:type="pct"/>
            <w:noWrap/>
          </w:tcPr>
          <w:p w14:paraId="20CD6785" w14:textId="77777777" w:rsidR="007D510B" w:rsidRPr="00142434" w:rsidRDefault="007D510B" w:rsidP="007D51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42434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3091171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EED167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E41C7D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53259723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4/5 – Good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The manuscript is generally clear, coherent, and technically readable, with only minor opportunities for tightening repetition and terminology.</w:t>
            </w:r>
          </w:p>
        </w:tc>
        <w:tc>
          <w:tcPr>
            <w:tcW w:w="1367" w:type="pct"/>
          </w:tcPr>
          <w:p w14:paraId="64240E9A" w14:textId="1DD76BC0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0171F552" w14:textId="77777777">
        <w:trPr>
          <w:trHeight w:val="20"/>
          <w:jc w:val="center"/>
        </w:trPr>
        <w:tc>
          <w:tcPr>
            <w:tcW w:w="1790" w:type="pct"/>
            <w:noWrap/>
          </w:tcPr>
          <w:p w14:paraId="7F1BEFE4" w14:textId="77777777" w:rsidR="007D510B" w:rsidRPr="00142434" w:rsidRDefault="007D510B" w:rsidP="007D510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6DCF0692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FBE9" w14:textId="77777777" w:rsidR="007D510B" w:rsidRPr="00142434" w:rsidRDefault="007D510B" w:rsidP="007D510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A3BF0A3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588B72A2" w14:textId="65172FF5" w:rsidR="007D510B" w:rsidRPr="00142434" w:rsidRDefault="007D510B" w:rsidP="007D510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4/5 – Good</w:t>
            </w:r>
            <w:r w:rsidRPr="00142434">
              <w:rPr>
                <w:rFonts w:ascii="Arial" w:hAnsi="Arial" w:cs="Arial"/>
                <w:sz w:val="20"/>
                <w:szCs w:val="20"/>
              </w:rPr>
              <w:br/>
              <w:t>The manuscript is generally clear, coherent, and technically readable, with only minor opportunities for tightening repetition and terminology.</w:t>
            </w:r>
          </w:p>
        </w:tc>
        <w:tc>
          <w:tcPr>
            <w:tcW w:w="1367" w:type="pct"/>
          </w:tcPr>
          <w:p w14:paraId="78B98D63" w14:textId="6C4D6004" w:rsidR="007D510B" w:rsidRPr="00142434" w:rsidRDefault="007D510B" w:rsidP="007D510B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0BDD02EA" w14:textId="77777777" w:rsidR="00777916" w:rsidRPr="0014243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8C5805C" w14:textId="77777777" w:rsidR="00777916" w:rsidRPr="0014243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BDA14FE" w14:textId="77777777" w:rsidR="00777916" w:rsidRPr="0014243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863FBAF" w14:textId="77777777" w:rsidR="00777916" w:rsidRPr="00142434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142434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142434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3EBB573E" w14:textId="77777777" w:rsidR="00777916" w:rsidRPr="00142434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142434" w14:paraId="13AD4F8A" w14:textId="77777777">
        <w:trPr>
          <w:trHeight w:val="20"/>
          <w:jc w:val="center"/>
        </w:trPr>
        <w:tc>
          <w:tcPr>
            <w:tcW w:w="1265" w:type="pct"/>
            <w:noWrap/>
          </w:tcPr>
          <w:p w14:paraId="340ECA3A" w14:textId="77777777" w:rsidR="00777916" w:rsidRPr="0014243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3670F1B5" w14:textId="77777777" w:rsidR="00777916" w:rsidRPr="0014243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142434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25F5700B" w14:textId="77777777" w:rsidR="00777916" w:rsidRPr="001424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3D80DD1" w14:textId="77777777" w:rsidR="00777916" w:rsidRPr="00142434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424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4243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14243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14243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2296F121" w14:textId="77777777" w:rsidR="00777916" w:rsidRPr="0014243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D510B" w:rsidRPr="00142434" w14:paraId="6B5031FF" w14:textId="77777777">
        <w:trPr>
          <w:trHeight w:val="20"/>
          <w:jc w:val="center"/>
        </w:trPr>
        <w:tc>
          <w:tcPr>
            <w:tcW w:w="1265" w:type="pct"/>
            <w:noWrap/>
          </w:tcPr>
          <w:p w14:paraId="7AD11EB8" w14:textId="77777777" w:rsidR="007D510B" w:rsidRPr="00142434" w:rsidRDefault="007D510B" w:rsidP="007D51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39484E3" w14:textId="77777777" w:rsidR="007D510B" w:rsidRPr="00142434" w:rsidRDefault="007D510B" w:rsidP="007D510B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BABEAC" w14:textId="77777777" w:rsidR="007D510B" w:rsidRPr="00142434" w:rsidRDefault="007D510B" w:rsidP="007D510B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1E31ADE5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YES – The title is suitable and accurately represents the manuscript scope. No change is essential.</w:t>
            </w:r>
          </w:p>
        </w:tc>
        <w:tc>
          <w:tcPr>
            <w:tcW w:w="1523" w:type="pct"/>
          </w:tcPr>
          <w:p w14:paraId="72E8E2C2" w14:textId="6F696D4A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510B" w:rsidRPr="00142434" w14:paraId="560937C7" w14:textId="77777777">
        <w:trPr>
          <w:trHeight w:val="20"/>
          <w:jc w:val="center"/>
        </w:trPr>
        <w:tc>
          <w:tcPr>
            <w:tcW w:w="1265" w:type="pct"/>
            <w:noWrap/>
          </w:tcPr>
          <w:p w14:paraId="7E9AF7B2" w14:textId="77777777" w:rsidR="007D510B" w:rsidRPr="00142434" w:rsidRDefault="007D510B" w:rsidP="007D510B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142434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1A1D75CE" w14:textId="77777777" w:rsidR="007D510B" w:rsidRPr="00142434" w:rsidRDefault="007D510B" w:rsidP="007D510B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3D2956" w14:textId="77777777" w:rsidR="007D510B" w:rsidRPr="00142434" w:rsidRDefault="007D510B" w:rsidP="007D510B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0067CFB7" w14:textId="77777777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YES – The abstract is comprehensive. It clearly states the review focus, principal distinctions, major findings, uncertainties, and overall implication.</w:t>
            </w:r>
          </w:p>
        </w:tc>
        <w:tc>
          <w:tcPr>
            <w:tcW w:w="1523" w:type="pct"/>
          </w:tcPr>
          <w:p w14:paraId="2998628B" w14:textId="3A92A931" w:rsidR="007D510B" w:rsidRPr="00142434" w:rsidRDefault="007D510B" w:rsidP="007D51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916" w:rsidRPr="00142434" w14:paraId="4DE0D925" w14:textId="77777777">
        <w:trPr>
          <w:trHeight w:val="20"/>
          <w:jc w:val="center"/>
        </w:trPr>
        <w:tc>
          <w:tcPr>
            <w:tcW w:w="1265" w:type="pct"/>
            <w:noWrap/>
          </w:tcPr>
          <w:p w14:paraId="3AADA7E2" w14:textId="77777777" w:rsidR="00777916" w:rsidRPr="00142434" w:rsidRDefault="00777916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142434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142434">
              <w:rPr>
                <w:rFonts w:ascii="Arial" w:hAnsi="Arial" w:cs="Arial"/>
                <w:lang w:val="en-GB" w:eastAsia="en-US"/>
              </w:rPr>
              <w:br/>
            </w:r>
          </w:p>
          <w:p w14:paraId="330E53BB" w14:textId="77777777" w:rsidR="00777916" w:rsidRPr="00142434" w:rsidRDefault="00777916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47AF037A" w14:textId="77777777" w:rsidR="00897A6C" w:rsidRPr="0014243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 xml:space="preserve">Mostly YES, with minor revision required. The scientific framing is generally sound, but several broad process/property statements should be checked against the cited primary or synthesis literature. The search methodology should also be made more reproducible, and claims comparing permanence of biochar and </w:t>
            </w:r>
            <w:proofErr w:type="spellStart"/>
            <w:r w:rsidRPr="00142434">
              <w:rPr>
                <w:rFonts w:ascii="Arial" w:hAnsi="Arial" w:cs="Arial"/>
                <w:sz w:val="20"/>
                <w:szCs w:val="20"/>
              </w:rPr>
              <w:t>hydrochar</w:t>
            </w:r>
            <w:proofErr w:type="spellEnd"/>
            <w:r w:rsidRPr="00142434">
              <w:rPr>
                <w:rFonts w:ascii="Arial" w:hAnsi="Arial" w:cs="Arial"/>
                <w:sz w:val="20"/>
                <w:szCs w:val="20"/>
              </w:rPr>
              <w:t xml:space="preserve"> should consistently distinguish qualitative evidence from quantified permanence estimates.</w:t>
            </w:r>
          </w:p>
        </w:tc>
        <w:tc>
          <w:tcPr>
            <w:tcW w:w="1523" w:type="pct"/>
          </w:tcPr>
          <w:p w14:paraId="2025314B" w14:textId="277199A4" w:rsidR="00897A6C" w:rsidRPr="00142434" w:rsidRDefault="00897A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916" w:rsidRPr="00142434" w14:paraId="55B397D8" w14:textId="77777777">
        <w:trPr>
          <w:trHeight w:val="20"/>
          <w:jc w:val="center"/>
        </w:trPr>
        <w:tc>
          <w:tcPr>
            <w:tcW w:w="1265" w:type="pct"/>
            <w:noWrap/>
          </w:tcPr>
          <w:p w14:paraId="45F7448C" w14:textId="77777777" w:rsidR="00777916" w:rsidRPr="00142434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A0D7C1C" w14:textId="77777777" w:rsidR="00777916" w:rsidRPr="00142434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5F226D" w14:textId="77777777" w:rsidR="00777916" w:rsidRPr="00142434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06B88ACA" w14:textId="77777777" w:rsidR="00897A6C" w:rsidRPr="00142434" w:rsidRDefault="0000000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42434">
              <w:rPr>
                <w:rFonts w:ascii="Arial" w:hAnsi="Arial" w:cs="Arial"/>
                <w:sz w:val="20"/>
                <w:szCs w:val="20"/>
              </w:rPr>
              <w:t>Generally</w:t>
            </w:r>
            <w:proofErr w:type="gramEnd"/>
            <w:r w:rsidRPr="00142434">
              <w:rPr>
                <w:rFonts w:ascii="Arial" w:hAnsi="Arial" w:cs="Arial"/>
                <w:sz w:val="20"/>
                <w:szCs w:val="20"/>
              </w:rPr>
              <w:t xml:space="preserve"> YES, but a final reference audit is recommended. The manuscript contains relevant recent references, including 2024–2026 literature, but the authors should verify every DOI, bibliographic detail, and citation-reference match and consider adding additional recent primary field/LCA studies where available.</w:t>
            </w:r>
          </w:p>
        </w:tc>
        <w:tc>
          <w:tcPr>
            <w:tcW w:w="1523" w:type="pct"/>
          </w:tcPr>
          <w:p w14:paraId="70B11D07" w14:textId="4C1FDE14" w:rsidR="00897A6C" w:rsidRPr="00142434" w:rsidRDefault="00897A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7916" w:rsidRPr="00142434" w14:paraId="7FF4E8CE" w14:textId="77777777">
        <w:trPr>
          <w:trHeight w:val="20"/>
          <w:jc w:val="center"/>
        </w:trPr>
        <w:tc>
          <w:tcPr>
            <w:tcW w:w="1265" w:type="pct"/>
            <w:noWrap/>
          </w:tcPr>
          <w:p w14:paraId="65D50E83" w14:textId="77777777" w:rsidR="00777916" w:rsidRPr="00142434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99A97A6" w14:textId="77777777" w:rsidR="00777916" w:rsidRPr="00142434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B88FE5" w14:textId="77777777" w:rsidR="00777916" w:rsidRPr="00142434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75472B" w14:textId="77777777" w:rsidR="00777916" w:rsidRPr="00142434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24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F380394" w14:textId="77777777" w:rsidR="00777916" w:rsidRPr="00142434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32EE1F21" w14:textId="77777777" w:rsidR="00897A6C" w:rsidRPr="0014243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142434">
              <w:rPr>
                <w:rFonts w:ascii="Arial" w:hAnsi="Arial" w:cs="Arial"/>
                <w:sz w:val="20"/>
                <w:szCs w:val="20"/>
              </w:rPr>
              <w:t>NO – No ethical issue is apparent from the manuscript content. The manuscript itself contains an AI-use declaration concerning language/reference assistance; the reviewer should follow the review platform’s separate AI policy when preparing any peer-review comments.</w:t>
            </w:r>
          </w:p>
        </w:tc>
        <w:tc>
          <w:tcPr>
            <w:tcW w:w="1523" w:type="pct"/>
          </w:tcPr>
          <w:p w14:paraId="742D1113" w14:textId="2AF48614" w:rsidR="00897A6C" w:rsidRPr="00142434" w:rsidRDefault="00897A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941E0B" w14:textId="77777777" w:rsidR="00777916" w:rsidRPr="00142434" w:rsidRDefault="00777916">
      <w:pPr>
        <w:rPr>
          <w:rFonts w:ascii="Arial" w:hAnsi="Arial" w:cs="Arial"/>
          <w:sz w:val="20"/>
          <w:szCs w:val="20"/>
          <w:lang w:val="en-GB"/>
        </w:rPr>
      </w:pPr>
    </w:p>
    <w:bookmarkEnd w:id="0"/>
    <w:bookmarkEnd w:id="1"/>
    <w:p w14:paraId="265A57BC" w14:textId="77777777" w:rsidR="00142434" w:rsidRPr="00142434" w:rsidRDefault="00142434" w:rsidP="0014243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42434">
        <w:rPr>
          <w:rFonts w:ascii="Arial" w:hAnsi="Arial" w:cs="Arial"/>
          <w:b/>
          <w:u w:val="single"/>
        </w:rPr>
        <w:t>Reviewer details:</w:t>
      </w:r>
    </w:p>
    <w:p w14:paraId="5A518BE6" w14:textId="77777777" w:rsidR="00777916" w:rsidRPr="0014243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D501426" w14:textId="56E0DF47" w:rsidR="00142434" w:rsidRPr="00142434" w:rsidRDefault="00142434" w:rsidP="00142434">
      <w:pPr>
        <w:pStyle w:val="BodyText"/>
        <w:rPr>
          <w:rFonts w:ascii="Arial" w:hAnsi="Arial" w:cs="Arial"/>
          <w:b/>
          <w:bCs/>
          <w:sz w:val="20"/>
          <w:szCs w:val="20"/>
          <w:lang w:val="en-GB"/>
        </w:rPr>
      </w:pPr>
      <w:r w:rsidRPr="00142434">
        <w:rPr>
          <w:rFonts w:ascii="Arial" w:hAnsi="Arial" w:cs="Arial"/>
          <w:b/>
          <w:bCs/>
          <w:sz w:val="20"/>
          <w:szCs w:val="20"/>
          <w:lang w:val="en-GB"/>
        </w:rPr>
        <w:t xml:space="preserve">Sweta </w:t>
      </w:r>
      <w:proofErr w:type="spellStart"/>
      <w:r w:rsidRPr="00142434">
        <w:rPr>
          <w:rFonts w:ascii="Arial" w:hAnsi="Arial" w:cs="Arial"/>
          <w:b/>
          <w:bCs/>
          <w:sz w:val="20"/>
          <w:szCs w:val="20"/>
          <w:lang w:val="en-GB"/>
        </w:rPr>
        <w:t>Rupapara</w:t>
      </w:r>
      <w:proofErr w:type="spellEnd"/>
      <w:r w:rsidRPr="00142434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142434">
        <w:rPr>
          <w:rFonts w:ascii="Arial" w:hAnsi="Arial" w:cs="Arial"/>
          <w:b/>
          <w:bCs/>
          <w:sz w:val="20"/>
          <w:szCs w:val="20"/>
          <w:lang w:val="en-GB"/>
        </w:rPr>
        <w:t>New York Institute of Technology</w:t>
      </w:r>
      <w:r w:rsidRPr="00142434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142434">
        <w:rPr>
          <w:rFonts w:ascii="Arial" w:hAnsi="Arial" w:cs="Arial"/>
          <w:b/>
          <w:bCs/>
          <w:sz w:val="20"/>
          <w:szCs w:val="20"/>
          <w:lang w:val="en-GB"/>
        </w:rPr>
        <w:t>USA</w:t>
      </w:r>
    </w:p>
    <w:sectPr w:rsidR="00142434" w:rsidRPr="0014243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467AE" w14:textId="77777777" w:rsidR="00254990" w:rsidRDefault="00254990">
      <w:r>
        <w:separator/>
      </w:r>
    </w:p>
  </w:endnote>
  <w:endnote w:type="continuationSeparator" w:id="0">
    <w:p w14:paraId="1FCD6026" w14:textId="77777777" w:rsidR="00254990" w:rsidRDefault="0025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D56D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AE9638D" w14:textId="77777777" w:rsidR="00777916" w:rsidRDefault="00777916">
    <w:pPr>
      <w:pStyle w:val="Footer"/>
      <w:jc w:val="right"/>
    </w:pPr>
  </w:p>
  <w:p w14:paraId="169D17D4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FF403" w14:textId="77777777" w:rsidR="00254990" w:rsidRDefault="00254990">
      <w:r>
        <w:separator/>
      </w:r>
    </w:p>
  </w:footnote>
  <w:footnote w:type="continuationSeparator" w:id="0">
    <w:p w14:paraId="742C11B1" w14:textId="77777777" w:rsidR="00254990" w:rsidRDefault="00254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EE7D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9A5ED95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63176877">
    <w:abstractNumId w:val="4"/>
  </w:num>
  <w:num w:numId="2" w16cid:durableId="1777603316">
    <w:abstractNumId w:val="8"/>
  </w:num>
  <w:num w:numId="3" w16cid:durableId="1436513763">
    <w:abstractNumId w:val="7"/>
  </w:num>
  <w:num w:numId="4" w16cid:durableId="1584219074">
    <w:abstractNumId w:val="9"/>
  </w:num>
  <w:num w:numId="5" w16cid:durableId="741223692">
    <w:abstractNumId w:val="6"/>
  </w:num>
  <w:num w:numId="6" w16cid:durableId="1525903933">
    <w:abstractNumId w:val="0"/>
  </w:num>
  <w:num w:numId="7" w16cid:durableId="1447626476">
    <w:abstractNumId w:val="3"/>
  </w:num>
  <w:num w:numId="8" w16cid:durableId="1273394803">
    <w:abstractNumId w:val="11"/>
  </w:num>
  <w:num w:numId="9" w16cid:durableId="1786381929">
    <w:abstractNumId w:val="10"/>
  </w:num>
  <w:num w:numId="10" w16cid:durableId="204104237">
    <w:abstractNumId w:val="2"/>
  </w:num>
  <w:num w:numId="11" w16cid:durableId="836501974">
    <w:abstractNumId w:val="1"/>
  </w:num>
  <w:num w:numId="12" w16cid:durableId="6785848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mwqAUAC93OiSwAAAA="/>
  </w:docVars>
  <w:rsids>
    <w:rsidRoot w:val="00E64431"/>
    <w:rsid w:val="0000316C"/>
    <w:rsid w:val="00041F96"/>
    <w:rsid w:val="000507C1"/>
    <w:rsid w:val="0007361F"/>
    <w:rsid w:val="0009322C"/>
    <w:rsid w:val="000B71F7"/>
    <w:rsid w:val="00142434"/>
    <w:rsid w:val="00144F0D"/>
    <w:rsid w:val="00163ED1"/>
    <w:rsid w:val="00254990"/>
    <w:rsid w:val="002965FA"/>
    <w:rsid w:val="002D13DA"/>
    <w:rsid w:val="002F3BFF"/>
    <w:rsid w:val="00305E72"/>
    <w:rsid w:val="00310179"/>
    <w:rsid w:val="00323146"/>
    <w:rsid w:val="00351244"/>
    <w:rsid w:val="003516CA"/>
    <w:rsid w:val="00371AB8"/>
    <w:rsid w:val="003D6175"/>
    <w:rsid w:val="004455E4"/>
    <w:rsid w:val="004D63E8"/>
    <w:rsid w:val="004E2817"/>
    <w:rsid w:val="00572F56"/>
    <w:rsid w:val="006F76CC"/>
    <w:rsid w:val="007113B3"/>
    <w:rsid w:val="00777916"/>
    <w:rsid w:val="007C37A4"/>
    <w:rsid w:val="007D510B"/>
    <w:rsid w:val="00875C87"/>
    <w:rsid w:val="00897A6C"/>
    <w:rsid w:val="009F63B9"/>
    <w:rsid w:val="00B7714F"/>
    <w:rsid w:val="00BB1314"/>
    <w:rsid w:val="00BB7196"/>
    <w:rsid w:val="00C0535F"/>
    <w:rsid w:val="00C33BDF"/>
    <w:rsid w:val="00C37260"/>
    <w:rsid w:val="00C73AEC"/>
    <w:rsid w:val="00CE1E59"/>
    <w:rsid w:val="00D6722C"/>
    <w:rsid w:val="00DD0405"/>
    <w:rsid w:val="00E01D86"/>
    <w:rsid w:val="00E200E8"/>
    <w:rsid w:val="00E21FC6"/>
    <w:rsid w:val="00E64431"/>
    <w:rsid w:val="00F347BB"/>
    <w:rsid w:val="00FB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AA673"/>
  <w15:chartTrackingRefBased/>
  <w15:docId w15:val="{CA0B3764-BCE4-FE44-9B5D-98E9DEEC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rsid w:val="00C73AEC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Affiliation">
    <w:name w:val="Affiliation"/>
    <w:basedOn w:val="Normal"/>
    <w:rsid w:val="0014243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biological-science-research-developments-and-innovation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1217</Words>
  <Characters>6940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8141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327706</vt:i4>
      </vt:variant>
      <vt:variant>
        <vt:i4>0</vt:i4>
      </vt:variant>
      <vt:variant>
        <vt:i4>0</vt:i4>
      </vt:variant>
      <vt:variant>
        <vt:i4>5</vt:i4>
      </vt:variant>
      <vt:variant>
        <vt:lpwstr>https://bookstore.bookpi.org/product/biological-science-research-developments-and-innovations-vol-1/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SDI 1156</cp:lastModifiedBy>
  <cp:revision>9</cp:revision>
  <dcterms:created xsi:type="dcterms:W3CDTF">2026-09-03T13:19:00Z</dcterms:created>
  <dcterms:modified xsi:type="dcterms:W3CDTF">2026-09-04T10:10:00Z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