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AD6BF5" w14:paraId="5A92CC06" w14:textId="77777777">
        <w:trPr>
          <w:trHeight w:val="20"/>
          <w:jc w:val="center"/>
        </w:trPr>
        <w:tc>
          <w:tcPr>
            <w:tcW w:w="1186" w:type="pct"/>
          </w:tcPr>
          <w:p w14:paraId="73A7F597" w14:textId="77777777" w:rsidR="00777916" w:rsidRPr="00AD6BF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0D85A189" w14:textId="77777777" w:rsidR="00777916" w:rsidRPr="00AD6BF5" w:rsidRDefault="00C8661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  <w:t>Agroforestry in the Himalayas: Ecological Significance and Socio-Cultural Heritage</w:t>
            </w:r>
          </w:p>
        </w:tc>
      </w:tr>
      <w:tr w:rsidR="00777916" w:rsidRPr="00AD6BF5" w14:paraId="719BC25C" w14:textId="77777777">
        <w:trPr>
          <w:trHeight w:val="20"/>
          <w:jc w:val="center"/>
        </w:trPr>
        <w:tc>
          <w:tcPr>
            <w:tcW w:w="1186" w:type="pct"/>
          </w:tcPr>
          <w:p w14:paraId="4CA9F86B" w14:textId="77777777" w:rsidR="00777916" w:rsidRPr="00AD6BF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FABEC7A" w14:textId="77777777" w:rsidR="00777916" w:rsidRPr="00AD6BF5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DF6EDF" w:rsidRPr="00AD6BF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8057_1</w:t>
            </w:r>
          </w:p>
        </w:tc>
      </w:tr>
      <w:tr w:rsidR="00777916" w:rsidRPr="00AD6BF5" w14:paraId="13FE3F20" w14:textId="77777777">
        <w:trPr>
          <w:trHeight w:val="20"/>
          <w:jc w:val="center"/>
        </w:trPr>
        <w:tc>
          <w:tcPr>
            <w:tcW w:w="1186" w:type="pct"/>
          </w:tcPr>
          <w:p w14:paraId="7F7C2C8B" w14:textId="77777777" w:rsidR="00777916" w:rsidRPr="00AD6BF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C5CAB4" w14:textId="77777777" w:rsidR="00777916" w:rsidRPr="00AD6BF5" w:rsidRDefault="00527E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sz w:val="20"/>
                <w:szCs w:val="20"/>
                <w:lang w:val="en-GB"/>
              </w:rPr>
              <w:t>Climate-Resilient Agroforestry in the Himalaya: A Critical Appraisal of Traditional Ecological Knowledge, Ecosystem Service Evidence and Adaptation Pathways</w:t>
            </w:r>
          </w:p>
        </w:tc>
      </w:tr>
      <w:tr w:rsidR="00777916" w:rsidRPr="00AD6BF5" w14:paraId="2AB4B885" w14:textId="77777777">
        <w:trPr>
          <w:trHeight w:val="20"/>
          <w:jc w:val="center"/>
        </w:trPr>
        <w:tc>
          <w:tcPr>
            <w:tcW w:w="1186" w:type="pct"/>
          </w:tcPr>
          <w:p w14:paraId="1BC85909" w14:textId="77777777" w:rsidR="00777916" w:rsidRPr="00AD6BF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00C80C3" w14:textId="77777777" w:rsidR="00777916" w:rsidRPr="00AD6BF5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72178D92" w14:textId="77777777" w:rsidR="00777916" w:rsidRPr="00AD6BF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C9F1048" w14:textId="77777777" w:rsidR="00777916" w:rsidRPr="00AD6BF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31B374" w14:textId="77777777" w:rsidR="00777916" w:rsidRPr="00AD6BF5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5CBE1CC4" w14:textId="77777777" w:rsidR="00777916" w:rsidRPr="00AD6BF5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AD6BF5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04626AD1" w14:textId="77777777" w:rsidR="00777916" w:rsidRPr="00AD6BF5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4EA87EB6" w14:textId="77777777" w:rsidR="00777916" w:rsidRPr="00AD6BF5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AD6BF5" w14:paraId="537CA249" w14:textId="77777777">
        <w:trPr>
          <w:trHeight w:val="20"/>
          <w:jc w:val="center"/>
        </w:trPr>
        <w:tc>
          <w:tcPr>
            <w:tcW w:w="1789" w:type="pct"/>
            <w:noWrap/>
          </w:tcPr>
          <w:p w14:paraId="3111DB18" w14:textId="77777777" w:rsidR="00777916" w:rsidRPr="00AD6BF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150EEC6E" w14:textId="77777777" w:rsidR="00777916" w:rsidRPr="00AD6BF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AD6BF5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78910116" w14:textId="77777777" w:rsidR="00777916" w:rsidRPr="00AD6BF5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D6BF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D6BF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E3B3FB" w14:textId="77777777" w:rsidR="00777916" w:rsidRPr="00AD6BF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D6BF5" w14:paraId="3ED4DA36" w14:textId="77777777">
        <w:trPr>
          <w:trHeight w:val="20"/>
          <w:jc w:val="center"/>
        </w:trPr>
        <w:tc>
          <w:tcPr>
            <w:tcW w:w="1789" w:type="pct"/>
            <w:noWrap/>
          </w:tcPr>
          <w:p w14:paraId="6F6ABF55" w14:textId="77777777" w:rsidR="00777916" w:rsidRPr="00AD6BF5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D6BF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6D3B0089" w14:textId="77777777" w:rsidR="00777916" w:rsidRPr="00AD6BF5" w:rsidRDefault="00C156D5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sz w:val="20"/>
                <w:szCs w:val="20"/>
              </w:rPr>
              <w:t xml:space="preserve">This manuscript provides a critical, timely, and conceptually rigorous appraisal of the literature on Himalayan agroforestry, bridging the gap between biophysical evidence, traditional ecological knowledge (TEK), and climate adaptation planning. By systematically evaluating cross-sectional study designs, the review highlights critical methodological limitations in existing soil organic carbon and biomass stock extrapolations. Furthermore, it reinterprets TEK not as a static repository of practices, but as a </w:t>
            </w:r>
            <w:proofErr w:type="spellStart"/>
            <w:r w:rsidRPr="00AD6BF5">
              <w:rPr>
                <w:rFonts w:ascii="Arial" w:hAnsi="Arial" w:cs="Arial"/>
                <w:sz w:val="20"/>
                <w:szCs w:val="20"/>
              </w:rPr>
              <w:t>labour</w:t>
            </w:r>
            <w:proofErr w:type="spellEnd"/>
            <w:r w:rsidRPr="00AD6BF5">
              <w:rPr>
                <w:rFonts w:ascii="Arial" w:hAnsi="Arial" w:cs="Arial"/>
                <w:sz w:val="20"/>
                <w:szCs w:val="20"/>
              </w:rPr>
              <w:t>- and institution-contingent management capacity vulnerable to ongoing rural depopulation. Finally, by introducing the adaptation pathways framing, the paper offers actionable insights to mitigate maladaptation risks and guide future longitudinal and catchment-scale research in high-altitude mountain ecosystems.</w:t>
            </w:r>
          </w:p>
        </w:tc>
        <w:tc>
          <w:tcPr>
            <w:tcW w:w="1367" w:type="pct"/>
          </w:tcPr>
          <w:p w14:paraId="0B906DE6" w14:textId="3A8DD9FD" w:rsidR="00777916" w:rsidRPr="00AD6BF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06C4124D" w14:textId="77777777" w:rsidR="00777916" w:rsidRPr="00AD6BF5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2AFECECB" w14:textId="77777777" w:rsidR="00777916" w:rsidRPr="00AD6BF5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0C500BC7" w14:textId="77777777" w:rsidR="00777916" w:rsidRPr="00AD6BF5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AD6BF5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AD6BF5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AD6BF5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75E09673" w14:textId="77777777" w:rsidR="00777916" w:rsidRPr="00AD6BF5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AD6BF5" w14:paraId="40086B0B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43F8ACB8" w14:textId="77777777" w:rsidR="00777916" w:rsidRPr="00AD6BF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606DAE6" w14:textId="77777777" w:rsidR="00777916" w:rsidRPr="00AD6BF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AD6BF5" w14:paraId="0113CC3C" w14:textId="77777777">
        <w:trPr>
          <w:trHeight w:val="20"/>
          <w:jc w:val="center"/>
        </w:trPr>
        <w:tc>
          <w:tcPr>
            <w:tcW w:w="1790" w:type="pct"/>
            <w:noWrap/>
          </w:tcPr>
          <w:p w14:paraId="1DFF5566" w14:textId="77777777" w:rsidR="00777916" w:rsidRPr="00AD6BF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677BD9B5" w14:textId="77777777" w:rsidR="00777916" w:rsidRPr="00AD6BF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AD6BF5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</w:tcPr>
          <w:p w14:paraId="155BE2AD" w14:textId="77777777" w:rsidR="00777916" w:rsidRPr="00AD6BF5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6BF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D6BF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AD6BF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AD6BF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D5D22" w:rsidRPr="00AD6BF5" w14:paraId="238A4E7F" w14:textId="77777777">
        <w:trPr>
          <w:trHeight w:val="20"/>
          <w:jc w:val="center"/>
        </w:trPr>
        <w:tc>
          <w:tcPr>
            <w:tcW w:w="1790" w:type="pct"/>
            <w:noWrap/>
          </w:tcPr>
          <w:p w14:paraId="6F8ED4EA" w14:textId="77777777" w:rsidR="009D5D22" w:rsidRPr="00AD6BF5" w:rsidRDefault="009D5D22" w:rsidP="009D5D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58AFAE9" w14:textId="77777777" w:rsidR="009D5D22" w:rsidRPr="00AD6BF5" w:rsidRDefault="009D5D22" w:rsidP="009D5D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C8A339" w14:textId="77777777" w:rsidR="009D5D22" w:rsidRPr="00AD6BF5" w:rsidRDefault="009D5D22" w:rsidP="009D5D2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F2A8EBB" w14:textId="77777777" w:rsidR="009D5D22" w:rsidRPr="00AD6BF5" w:rsidRDefault="009D5D22" w:rsidP="009D5D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The title accurately reflects the scope, methodology, and central themes of the critical appraisal.</w:t>
            </w:r>
          </w:p>
        </w:tc>
        <w:tc>
          <w:tcPr>
            <w:tcW w:w="1367" w:type="pct"/>
          </w:tcPr>
          <w:p w14:paraId="7EB291A4" w14:textId="6EF09D78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9D5D22" w:rsidRPr="00AD6BF5" w14:paraId="0D7FBDDC" w14:textId="77777777">
        <w:trPr>
          <w:trHeight w:val="20"/>
          <w:jc w:val="center"/>
        </w:trPr>
        <w:tc>
          <w:tcPr>
            <w:tcW w:w="1790" w:type="pct"/>
            <w:noWrap/>
          </w:tcPr>
          <w:p w14:paraId="0BF212D1" w14:textId="77777777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AD6BF5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60C883A3" w14:textId="77777777" w:rsidR="009D5D22" w:rsidRPr="00AD6BF5" w:rsidRDefault="009D5D22" w:rsidP="009D5D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6EE866" w14:textId="77777777" w:rsidR="009D5D22" w:rsidRPr="00AD6BF5" w:rsidRDefault="009D5D22" w:rsidP="009D5D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4D63EE9" w14:textId="77777777" w:rsidR="009D5D22" w:rsidRPr="00AD6BF5" w:rsidRDefault="009D5D22" w:rsidP="009D5D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The abstract concisely outlines the rationale, methodology, key synthesized findings, critical gaps, and research priorities.</w:t>
            </w:r>
          </w:p>
        </w:tc>
        <w:tc>
          <w:tcPr>
            <w:tcW w:w="1367" w:type="pct"/>
          </w:tcPr>
          <w:p w14:paraId="6A3850C6" w14:textId="1FD5E747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9D5D22" w:rsidRPr="00AD6BF5" w14:paraId="2AAF4B1F" w14:textId="77777777">
        <w:trPr>
          <w:trHeight w:val="20"/>
          <w:jc w:val="center"/>
        </w:trPr>
        <w:tc>
          <w:tcPr>
            <w:tcW w:w="1790" w:type="pct"/>
            <w:noWrap/>
          </w:tcPr>
          <w:p w14:paraId="78A3530C" w14:textId="77777777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D6BF5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2CB5E10E" w14:textId="77777777" w:rsidR="009D5D22" w:rsidRPr="00AD6BF5" w:rsidRDefault="009D5D22" w:rsidP="009D5D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87ACED" w14:textId="77777777" w:rsidR="009D5D22" w:rsidRPr="00AD6BF5" w:rsidRDefault="009D5D22" w:rsidP="009D5D2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801EDF1" w14:textId="77777777" w:rsidR="009D5D22" w:rsidRPr="00AD6BF5" w:rsidRDefault="009D5D22" w:rsidP="009D5D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Keywords are well-targeted, standard, and align directly with indexing norms for agroforestry and climate adaptation</w:t>
            </w:r>
          </w:p>
        </w:tc>
        <w:tc>
          <w:tcPr>
            <w:tcW w:w="1367" w:type="pct"/>
          </w:tcPr>
          <w:p w14:paraId="2D121B55" w14:textId="6C164ACF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9D5D22" w:rsidRPr="00AD6BF5" w14:paraId="246B0062" w14:textId="77777777">
        <w:trPr>
          <w:trHeight w:val="20"/>
          <w:jc w:val="center"/>
        </w:trPr>
        <w:tc>
          <w:tcPr>
            <w:tcW w:w="1790" w:type="pct"/>
            <w:noWrap/>
          </w:tcPr>
          <w:p w14:paraId="21E1A36E" w14:textId="77777777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D6BF5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68476B28" w14:textId="77777777" w:rsidR="009D5D22" w:rsidRPr="00AD6BF5" w:rsidRDefault="009D5D22" w:rsidP="009D5D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E6C037" w14:textId="77777777" w:rsidR="009D5D22" w:rsidRPr="00AD6BF5" w:rsidRDefault="009D5D22" w:rsidP="009D5D2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D68B9ED" w14:textId="77777777" w:rsidR="009D5D22" w:rsidRPr="00AD6BF5" w:rsidRDefault="009D5D22" w:rsidP="009D5D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Introduction establishes the steep vertical gradients, climate/</w:t>
            </w:r>
            <w:proofErr w:type="spellStart"/>
            <w:r w:rsidRPr="00AD6BF5">
              <w:rPr>
                <w:rFonts w:ascii="Arial" w:hAnsi="Arial" w:cs="Arial"/>
                <w:sz w:val="20"/>
                <w:szCs w:val="20"/>
              </w:rPr>
              <w:t>cryospheric</w:t>
            </w:r>
            <w:proofErr w:type="spellEnd"/>
            <w:r w:rsidRPr="00AD6BF5">
              <w:rPr>
                <w:rFonts w:ascii="Arial" w:hAnsi="Arial" w:cs="Arial"/>
                <w:sz w:val="20"/>
                <w:szCs w:val="20"/>
              </w:rPr>
              <w:t xml:space="preserve"> drivers, and existing literature limits effectively.</w:t>
            </w:r>
          </w:p>
        </w:tc>
        <w:tc>
          <w:tcPr>
            <w:tcW w:w="1367" w:type="pct"/>
          </w:tcPr>
          <w:p w14:paraId="25B17890" w14:textId="2E40D3FF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9D5D22" w:rsidRPr="00AD6BF5" w14:paraId="704B863C" w14:textId="77777777">
        <w:trPr>
          <w:trHeight w:val="20"/>
          <w:jc w:val="center"/>
        </w:trPr>
        <w:tc>
          <w:tcPr>
            <w:tcW w:w="1790" w:type="pct"/>
            <w:noWrap/>
          </w:tcPr>
          <w:p w14:paraId="37FA81CC" w14:textId="77777777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D6BF5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205252EB" w14:textId="77777777" w:rsidR="009D5D22" w:rsidRPr="00AD6BF5" w:rsidRDefault="009D5D22" w:rsidP="009D5D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43B2C1" w14:textId="77777777" w:rsidR="009D5D22" w:rsidRPr="00AD6BF5" w:rsidRDefault="009D5D22" w:rsidP="009D5D2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D2D3E1F" w14:textId="77777777" w:rsidR="009D5D22" w:rsidRPr="00AD6BF5" w:rsidRDefault="009D5D22" w:rsidP="009D5D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Four clear, highly specific research objectives are presented at the end of Section 1.1.</w:t>
            </w:r>
          </w:p>
        </w:tc>
        <w:tc>
          <w:tcPr>
            <w:tcW w:w="1367" w:type="pct"/>
          </w:tcPr>
          <w:p w14:paraId="7BB52B50" w14:textId="0811AD97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9D5D22" w:rsidRPr="00AD6BF5" w14:paraId="66B2F7C0" w14:textId="77777777">
        <w:trPr>
          <w:trHeight w:val="20"/>
          <w:jc w:val="center"/>
        </w:trPr>
        <w:tc>
          <w:tcPr>
            <w:tcW w:w="1790" w:type="pct"/>
            <w:noWrap/>
          </w:tcPr>
          <w:p w14:paraId="1C699479" w14:textId="77777777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D6BF5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1971B65C" w14:textId="77777777" w:rsidR="009D5D22" w:rsidRPr="00AD6BF5" w:rsidRDefault="009D5D22" w:rsidP="009D5D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6D9714" w14:textId="77777777" w:rsidR="009D5D22" w:rsidRPr="00AD6BF5" w:rsidRDefault="009D5D22" w:rsidP="009D5D2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949A1D3" w14:textId="77777777" w:rsidR="009D5D22" w:rsidRPr="00AD6BF5" w:rsidRDefault="009D5D22" w:rsidP="009D5D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Cites essential regional and global conceptual literature covering biophysical, socio-economic, and methodological domains.</w:t>
            </w:r>
          </w:p>
        </w:tc>
        <w:tc>
          <w:tcPr>
            <w:tcW w:w="1367" w:type="pct"/>
          </w:tcPr>
          <w:p w14:paraId="38D1E109" w14:textId="293D2611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9D5D22" w:rsidRPr="00AD6BF5" w14:paraId="32801AF0" w14:textId="77777777">
        <w:trPr>
          <w:trHeight w:val="20"/>
          <w:jc w:val="center"/>
        </w:trPr>
        <w:tc>
          <w:tcPr>
            <w:tcW w:w="1790" w:type="pct"/>
            <w:noWrap/>
          </w:tcPr>
          <w:p w14:paraId="7AD766A6" w14:textId="77777777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D6BF5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3489EFB5" w14:textId="77777777" w:rsidR="009D5D22" w:rsidRPr="00AD6BF5" w:rsidRDefault="009D5D22" w:rsidP="009D5D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BDC0E8" w14:textId="77777777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C9E4911" w14:textId="77777777" w:rsidR="009D5D22" w:rsidRPr="00AD6BF5" w:rsidRDefault="009D5D22" w:rsidP="009D5D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The search window spans up to July 2026, incorporating the most up-to-date regional studies and assessments.</w:t>
            </w:r>
          </w:p>
        </w:tc>
        <w:tc>
          <w:tcPr>
            <w:tcW w:w="1367" w:type="pct"/>
          </w:tcPr>
          <w:p w14:paraId="6F65E146" w14:textId="29EA1419" w:rsidR="009D5D22" w:rsidRPr="00AD6BF5" w:rsidRDefault="009D5D22" w:rsidP="009D5D2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C156D5" w:rsidRPr="00AD6BF5" w14:paraId="7F7B40E0" w14:textId="77777777">
        <w:trPr>
          <w:trHeight w:val="20"/>
          <w:jc w:val="center"/>
        </w:trPr>
        <w:tc>
          <w:tcPr>
            <w:tcW w:w="1790" w:type="pct"/>
            <w:noWrap/>
          </w:tcPr>
          <w:p w14:paraId="7796413A" w14:textId="77777777" w:rsidR="00C156D5" w:rsidRPr="00AD6BF5" w:rsidRDefault="00C156D5" w:rsidP="00C156D5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D6BF5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5A513851" w14:textId="77777777" w:rsidR="00C156D5" w:rsidRPr="00AD6BF5" w:rsidRDefault="00C156D5" w:rsidP="00C15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EA6B24" w14:textId="77777777" w:rsidR="00C156D5" w:rsidRPr="00AD6BF5" w:rsidRDefault="00C156D5" w:rsidP="00C156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41D3D9C" w14:textId="77777777" w:rsidR="00C156D5" w:rsidRPr="00AD6BF5" w:rsidRDefault="00C156D5" w:rsidP="00C85A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4</w:t>
            </w: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Search terms, sources, inclusion/exclusion rules, and critical appraisal approaches are thoroughly detailed.</w:t>
            </w:r>
            <w:r w:rsidR="00C85A17" w:rsidRPr="00AD6BF5">
              <w:rPr>
                <w:rFonts w:ascii="Arial" w:hAnsi="Arial" w:cs="Arial"/>
                <w:sz w:val="20"/>
                <w:szCs w:val="20"/>
              </w:rPr>
              <w:br/>
            </w:r>
            <w:r w:rsidR="00C85A17"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(Section 2.5 and Section 10): the authors do not specify the number of records found or selected; the search was conducted only in open indexes (Google Scholar, DOAJ, Semantic Scholar, Crossref, PubMed), excluding Scopus, Web of Science and - critically for agroforestry - CAB Abstracts, and was restricted to English-language records.</w:t>
            </w:r>
          </w:p>
        </w:tc>
        <w:tc>
          <w:tcPr>
            <w:tcW w:w="1367" w:type="pct"/>
          </w:tcPr>
          <w:p w14:paraId="00D17B7E" w14:textId="1411C639" w:rsidR="00C156D5" w:rsidRPr="00AD6BF5" w:rsidRDefault="00C156D5" w:rsidP="00C156D5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C156D5" w:rsidRPr="00AD6BF5" w14:paraId="1C4D51BE" w14:textId="77777777">
        <w:trPr>
          <w:trHeight w:val="20"/>
          <w:jc w:val="center"/>
        </w:trPr>
        <w:tc>
          <w:tcPr>
            <w:tcW w:w="1790" w:type="pct"/>
            <w:noWrap/>
          </w:tcPr>
          <w:p w14:paraId="3674C2BE" w14:textId="77777777" w:rsidR="00C156D5" w:rsidRPr="00AD6BF5" w:rsidRDefault="00C156D5" w:rsidP="00C156D5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D6BF5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385FD1A9" w14:textId="77777777" w:rsidR="00C156D5" w:rsidRPr="00AD6BF5" w:rsidRDefault="00C156D5" w:rsidP="00C15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FB03AE" w14:textId="77777777" w:rsidR="00C156D5" w:rsidRPr="00AD6BF5" w:rsidRDefault="00C156D5" w:rsidP="00C156D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EC90866" w14:textId="77777777" w:rsidR="00C156D5" w:rsidRPr="00AD6BF5" w:rsidRDefault="00AC1299" w:rsidP="00AC12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  <w:r w:rsidR="00C156D5" w:rsidRPr="00AD6BF5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 xml:space="preserve">Outstanding critical depth. The appraisal moves well beyond cataloguing to evaluate design validity, notably space-for-time substitution in carbon accounting, scale mismatch between plot infiltration and catchment recharge, and the </w:t>
            </w:r>
            <w:r w:rsidRPr="00AD6BF5">
              <w:rPr>
                <w:rFonts w:ascii="Arial" w:hAnsi="Arial" w:cs="Arial"/>
                <w:sz w:val="20"/>
                <w:szCs w:val="20"/>
              </w:rPr>
              <w:lastRenderedPageBreak/>
              <w:t xml:space="preserve">conflation of species richness with conservation value. Tables 3 and 4 are particularly effective in separating direction of effect from confidence in magnitude. One addition would strengthen this further: the confidence levels assigned in Table 3 (very low / low / moderate / high) are not accompanied by stated criteria, so the reader cannot reconstruct how each grade was reached. A brief rubric </w:t>
            </w:r>
            <w:r w:rsidRPr="00AD6BF5">
              <w:rPr>
                <w:rFonts w:ascii="Arial" w:hAnsi="Arial" w:cs="Arial"/>
                <w:sz w:val="20"/>
                <w:szCs w:val="20"/>
                <w:lang w:val="uk-UA"/>
              </w:rPr>
              <w:t>-</w:t>
            </w:r>
            <w:r w:rsidRPr="00AD6BF5">
              <w:rPr>
                <w:rFonts w:ascii="Arial" w:hAnsi="Arial" w:cs="Arial"/>
                <w:sz w:val="20"/>
                <w:szCs w:val="20"/>
              </w:rPr>
              <w:t xml:space="preserve"> specifying the design type, number of independent regional studies, consistency of findings and geographical coverage required for each level, whether adapted from GRADE-</w:t>
            </w:r>
            <w:proofErr w:type="spellStart"/>
            <w:r w:rsidRPr="00AD6BF5">
              <w:rPr>
                <w:rFonts w:ascii="Arial" w:hAnsi="Arial" w:cs="Arial"/>
                <w:sz w:val="20"/>
                <w:szCs w:val="20"/>
              </w:rPr>
              <w:t>CERQual</w:t>
            </w:r>
            <w:proofErr w:type="spellEnd"/>
            <w:r w:rsidRPr="00AD6BF5">
              <w:rPr>
                <w:rFonts w:ascii="Arial" w:hAnsi="Arial" w:cs="Arial"/>
                <w:sz w:val="20"/>
                <w:szCs w:val="20"/>
              </w:rPr>
              <w:t xml:space="preserve"> or devised by the authors </w:t>
            </w:r>
            <w:r w:rsidRPr="00AD6BF5">
              <w:rPr>
                <w:rFonts w:ascii="Arial" w:hAnsi="Arial" w:cs="Arial"/>
                <w:sz w:val="20"/>
                <w:szCs w:val="20"/>
                <w:lang w:val="uk-UA"/>
              </w:rPr>
              <w:t>-</w:t>
            </w:r>
            <w:r w:rsidRPr="00AD6BF5">
              <w:rPr>
                <w:rFonts w:ascii="Arial" w:hAnsi="Arial" w:cs="Arial"/>
                <w:sz w:val="20"/>
                <w:szCs w:val="20"/>
              </w:rPr>
              <w:t xml:space="preserve"> would make the grading reproducible and would reinforce the manuscript's own argument about the handling of evidential strength in this </w:t>
            </w:r>
            <w:proofErr w:type="gramStart"/>
            <w:r w:rsidRPr="00AD6BF5">
              <w:rPr>
                <w:rFonts w:ascii="Arial" w:hAnsi="Arial" w:cs="Arial"/>
                <w:sz w:val="20"/>
                <w:szCs w:val="20"/>
              </w:rPr>
              <w:t>field.</w:t>
            </w:r>
            <w:r w:rsidR="00C156D5" w:rsidRPr="00AD6BF5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367" w:type="pct"/>
          </w:tcPr>
          <w:p w14:paraId="5153F0E5" w14:textId="08EE2298" w:rsidR="00C156D5" w:rsidRPr="00AD6BF5" w:rsidRDefault="00C156D5" w:rsidP="00C156D5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C156D5" w:rsidRPr="00AD6BF5" w14:paraId="567258E0" w14:textId="77777777">
        <w:trPr>
          <w:trHeight w:val="20"/>
          <w:jc w:val="center"/>
        </w:trPr>
        <w:tc>
          <w:tcPr>
            <w:tcW w:w="1790" w:type="pct"/>
            <w:noWrap/>
          </w:tcPr>
          <w:p w14:paraId="5D45A39D" w14:textId="77777777" w:rsidR="00C156D5" w:rsidRPr="00AD6BF5" w:rsidRDefault="00C156D5" w:rsidP="00C156D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AD6BF5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AD6BF5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AD6BF5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53A2A3B6" w14:textId="77777777" w:rsidR="00C156D5" w:rsidRPr="00AD6BF5" w:rsidRDefault="00C156D5" w:rsidP="00C15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6F699E" w14:textId="77777777" w:rsidR="00C156D5" w:rsidRPr="00AD6BF5" w:rsidRDefault="00C156D5" w:rsidP="00C156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A338679" w14:textId="77777777" w:rsidR="00C156D5" w:rsidRPr="00AD6BF5" w:rsidRDefault="00C156D5" w:rsidP="00C156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Section 8 provides structured, highly actionable future research priorities (e.g., permanent plots, paired-catchment tests).</w:t>
            </w:r>
          </w:p>
        </w:tc>
        <w:tc>
          <w:tcPr>
            <w:tcW w:w="1367" w:type="pct"/>
          </w:tcPr>
          <w:p w14:paraId="35BAB303" w14:textId="77777777" w:rsidR="00C156D5" w:rsidRPr="00AD6BF5" w:rsidRDefault="00C156D5" w:rsidP="00C156D5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C19ED" w:rsidRPr="00AD6BF5" w14:paraId="027A74E4" w14:textId="77777777">
        <w:trPr>
          <w:trHeight w:val="20"/>
          <w:jc w:val="center"/>
        </w:trPr>
        <w:tc>
          <w:tcPr>
            <w:tcW w:w="1790" w:type="pct"/>
            <w:noWrap/>
          </w:tcPr>
          <w:p w14:paraId="7BC85A98" w14:textId="77777777" w:rsidR="006C19ED" w:rsidRPr="00AD6BF5" w:rsidRDefault="006C19ED" w:rsidP="006C19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50487586" w14:textId="77777777" w:rsidR="006C19ED" w:rsidRPr="00AD6BF5" w:rsidRDefault="006C19ED" w:rsidP="006C19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D17CB6" w14:textId="77777777" w:rsidR="006C19ED" w:rsidRPr="00AD6BF5" w:rsidRDefault="006C19ED" w:rsidP="006C19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DA9FC3A" w14:textId="77777777" w:rsidR="006C19ED" w:rsidRPr="00AD6BF5" w:rsidRDefault="006C19ED" w:rsidP="006C19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Conclusions strictly follow from the appraised evidence regarding evidence grading, TEK constraints, and adaptation risks.</w:t>
            </w:r>
          </w:p>
        </w:tc>
        <w:tc>
          <w:tcPr>
            <w:tcW w:w="1367" w:type="pct"/>
          </w:tcPr>
          <w:p w14:paraId="6D3E1A0E" w14:textId="32B1E94D" w:rsidR="006C19ED" w:rsidRPr="00AD6BF5" w:rsidRDefault="006C19ED" w:rsidP="006C19ED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C19ED" w:rsidRPr="00AD6BF5" w14:paraId="03B0828B" w14:textId="77777777">
        <w:trPr>
          <w:trHeight w:val="20"/>
          <w:jc w:val="center"/>
        </w:trPr>
        <w:tc>
          <w:tcPr>
            <w:tcW w:w="1790" w:type="pct"/>
            <w:noWrap/>
          </w:tcPr>
          <w:p w14:paraId="2EE2EE39" w14:textId="77777777" w:rsidR="006C19ED" w:rsidRPr="00AD6BF5" w:rsidRDefault="006C19ED" w:rsidP="006C19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2D9DEAB" w14:textId="77777777" w:rsidR="006C19ED" w:rsidRPr="00AD6BF5" w:rsidRDefault="006C19ED" w:rsidP="006C19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02E6D" w14:textId="77777777" w:rsidR="006C19ED" w:rsidRPr="00AD6BF5" w:rsidRDefault="006C19ED" w:rsidP="006C19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841B914" w14:textId="77777777" w:rsidR="006C19ED" w:rsidRPr="00AD6BF5" w:rsidRDefault="006C19ED" w:rsidP="006C19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Section 10 offers an honest and balanced discussion of narrative design limits, language restrictions, and primary data heterogeneity.</w:t>
            </w:r>
          </w:p>
        </w:tc>
        <w:tc>
          <w:tcPr>
            <w:tcW w:w="1367" w:type="pct"/>
          </w:tcPr>
          <w:p w14:paraId="4C6617EB" w14:textId="6E4FFEC5" w:rsidR="006C19ED" w:rsidRPr="00AD6BF5" w:rsidRDefault="006C19ED" w:rsidP="006C19ED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C19ED" w:rsidRPr="00AD6BF5" w14:paraId="3A0D02EC" w14:textId="77777777">
        <w:trPr>
          <w:trHeight w:val="20"/>
          <w:jc w:val="center"/>
        </w:trPr>
        <w:tc>
          <w:tcPr>
            <w:tcW w:w="1790" w:type="pct"/>
            <w:noWrap/>
          </w:tcPr>
          <w:p w14:paraId="258CBEC0" w14:textId="77777777" w:rsidR="006C19ED" w:rsidRPr="00AD6BF5" w:rsidRDefault="006C19ED" w:rsidP="006C19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AD6BF5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37EA4B1" w14:textId="77777777" w:rsidR="006C19ED" w:rsidRPr="00AD6BF5" w:rsidRDefault="006C19ED" w:rsidP="006C19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80E514" w14:textId="77777777" w:rsidR="006C19ED" w:rsidRPr="00AD6BF5" w:rsidRDefault="006C19ED" w:rsidP="006C19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7E114C0" w14:textId="77777777" w:rsidR="006C19ED" w:rsidRPr="00AD6BF5" w:rsidRDefault="006C19ED" w:rsidP="006C19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60E5AD1D" w14:textId="77777777" w:rsidR="006C19ED" w:rsidRPr="00AD6BF5" w:rsidRDefault="006C19ED" w:rsidP="006C19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High-quality, peer-reviewed sources from top-tier environmental, ecological, and interdisciplinary journals.</w:t>
            </w:r>
          </w:p>
        </w:tc>
        <w:tc>
          <w:tcPr>
            <w:tcW w:w="1367" w:type="pct"/>
          </w:tcPr>
          <w:p w14:paraId="662F278C" w14:textId="0DEDB691" w:rsidR="006C19ED" w:rsidRPr="00AD6BF5" w:rsidRDefault="006C19ED" w:rsidP="006C19ED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C19ED" w:rsidRPr="00AD6BF5" w14:paraId="400E4FA7" w14:textId="77777777">
        <w:trPr>
          <w:trHeight w:val="20"/>
          <w:jc w:val="center"/>
        </w:trPr>
        <w:tc>
          <w:tcPr>
            <w:tcW w:w="1790" w:type="pct"/>
            <w:noWrap/>
          </w:tcPr>
          <w:p w14:paraId="2035E224" w14:textId="77777777" w:rsidR="006C19ED" w:rsidRPr="00AD6BF5" w:rsidRDefault="006C19ED" w:rsidP="006C19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E3140B7" w14:textId="77777777" w:rsidR="006C19ED" w:rsidRPr="00AD6BF5" w:rsidRDefault="006C19ED" w:rsidP="006C19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8C8AD0" w14:textId="77777777" w:rsidR="006C19ED" w:rsidRPr="00AD6BF5" w:rsidRDefault="006C19ED" w:rsidP="006C19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4B641B3" w14:textId="77777777" w:rsidR="006C19ED" w:rsidRPr="00AD6BF5" w:rsidRDefault="006C19ED" w:rsidP="006C19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0F035EB3" w14:textId="77777777" w:rsidR="006C19ED" w:rsidRPr="00AD6BF5" w:rsidRDefault="006C19ED" w:rsidP="006C19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uk-UA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uk-UA"/>
              </w:rPr>
              <w:t>5</w:t>
            </w:r>
            <w:r w:rsidRPr="00AD6BF5">
              <w:rPr>
                <w:rFonts w:ascii="Arial" w:hAnsi="Arial" w:cs="Arial"/>
                <w:bCs/>
                <w:sz w:val="20"/>
                <w:szCs w:val="20"/>
                <w:lang w:val="uk-UA"/>
              </w:rPr>
              <w:br/>
            </w:r>
            <w:r w:rsidRPr="00AD6BF5">
              <w:rPr>
                <w:rFonts w:ascii="Arial" w:hAnsi="Arial" w:cs="Arial"/>
                <w:sz w:val="20"/>
                <w:szCs w:val="20"/>
              </w:rPr>
              <w:t>Academic English is polished, precise, and structurally coherent throughout.</w:t>
            </w:r>
          </w:p>
        </w:tc>
        <w:tc>
          <w:tcPr>
            <w:tcW w:w="1367" w:type="pct"/>
          </w:tcPr>
          <w:p w14:paraId="0F54B772" w14:textId="73819AD6" w:rsidR="006C19ED" w:rsidRPr="00AD6BF5" w:rsidRDefault="006C19ED" w:rsidP="006C19ED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00129F33" w14:textId="77777777" w:rsidR="00777916" w:rsidRPr="00AD6BF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5721FB9" w14:textId="77777777" w:rsidR="00777916" w:rsidRPr="00AD6BF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637DEE3" w14:textId="77777777" w:rsidR="00777916" w:rsidRPr="00AD6BF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6E9A69" w14:textId="77777777" w:rsidR="00777916" w:rsidRPr="00AD6BF5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AD6BF5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AD6BF5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16266FDC" w14:textId="77777777" w:rsidR="00777916" w:rsidRPr="00AD6BF5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AD6BF5" w14:paraId="49E55E1F" w14:textId="77777777">
        <w:trPr>
          <w:trHeight w:val="20"/>
          <w:jc w:val="center"/>
        </w:trPr>
        <w:tc>
          <w:tcPr>
            <w:tcW w:w="1265" w:type="pct"/>
            <w:noWrap/>
          </w:tcPr>
          <w:p w14:paraId="5B9E09DC" w14:textId="77777777" w:rsidR="00777916" w:rsidRPr="00AD6BF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2212" w:type="pct"/>
          </w:tcPr>
          <w:p w14:paraId="58ED2CF0" w14:textId="77777777" w:rsidR="00777916" w:rsidRPr="00AD6BF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AD6BF5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1DE1E23C" w14:textId="77777777" w:rsidR="00777916" w:rsidRPr="00AD6BF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7DB0D29D" w14:textId="77777777" w:rsidR="00777916" w:rsidRPr="00AD6BF5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D6BF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D6BF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AD6BF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AD6BF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038CC16E" w14:textId="77777777" w:rsidR="00777916" w:rsidRPr="00AD6BF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C19ED" w:rsidRPr="00AD6BF5" w14:paraId="21EFF3D7" w14:textId="77777777">
        <w:trPr>
          <w:trHeight w:val="20"/>
          <w:jc w:val="center"/>
        </w:trPr>
        <w:tc>
          <w:tcPr>
            <w:tcW w:w="1265" w:type="pct"/>
            <w:noWrap/>
          </w:tcPr>
          <w:p w14:paraId="7F5897D6" w14:textId="77777777" w:rsidR="006C19ED" w:rsidRPr="00AD6BF5" w:rsidRDefault="006C19ED" w:rsidP="006C19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4C5DF03" w14:textId="77777777" w:rsidR="006C19ED" w:rsidRPr="00AD6BF5" w:rsidRDefault="006C19ED" w:rsidP="006C19E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0929B7" w14:textId="77777777" w:rsidR="006C19ED" w:rsidRPr="00AD6BF5" w:rsidRDefault="006C19ED" w:rsidP="006C19ED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18923117" w14:textId="77777777" w:rsidR="006C19ED" w:rsidRPr="00AD6BF5" w:rsidRDefault="006C19ED" w:rsidP="006C19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AD6BF5">
              <w:rPr>
                <w:rFonts w:ascii="Arial" w:hAnsi="Arial" w:cs="Arial"/>
                <w:sz w:val="20"/>
                <w:szCs w:val="20"/>
              </w:rPr>
              <w:t xml:space="preserve"> The title accurately captures the core themes, geographical focus, and analytical framework of the review.</w:t>
            </w:r>
          </w:p>
        </w:tc>
        <w:tc>
          <w:tcPr>
            <w:tcW w:w="1523" w:type="pct"/>
          </w:tcPr>
          <w:p w14:paraId="3B721081" w14:textId="4E1DEC7E" w:rsidR="006C19ED" w:rsidRPr="00AD6BF5" w:rsidRDefault="006C19ED" w:rsidP="006C19ED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C19ED" w:rsidRPr="00AD6BF5" w14:paraId="07FE112C" w14:textId="77777777">
        <w:trPr>
          <w:trHeight w:val="20"/>
          <w:jc w:val="center"/>
        </w:trPr>
        <w:tc>
          <w:tcPr>
            <w:tcW w:w="1265" w:type="pct"/>
            <w:noWrap/>
          </w:tcPr>
          <w:p w14:paraId="0D6A43D1" w14:textId="77777777" w:rsidR="006C19ED" w:rsidRPr="00AD6BF5" w:rsidRDefault="006C19ED" w:rsidP="006C19ED">
            <w:pPr>
              <w:pStyle w:val="Heading2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AD6BF5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40B8720E" w14:textId="77777777" w:rsidR="006C19ED" w:rsidRPr="00AD6BF5" w:rsidRDefault="006C19ED" w:rsidP="006C19ED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FC67B6" w14:textId="77777777" w:rsidR="006C19ED" w:rsidRPr="00AD6BF5" w:rsidRDefault="006C19ED" w:rsidP="006C19ED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3423AF26" w14:textId="77777777" w:rsidR="006C19ED" w:rsidRPr="00AD6BF5" w:rsidRDefault="006C19ED" w:rsidP="006C19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AD6BF5">
              <w:rPr>
                <w:rFonts w:ascii="Arial" w:hAnsi="Arial" w:cs="Arial"/>
                <w:sz w:val="20"/>
                <w:szCs w:val="20"/>
              </w:rPr>
              <w:t xml:space="preserve"> It provides a clear summary of background, methods, key critical insights (space-for-time substitution, TEK capacity, lack of threshold specifications), and recommended priorities.</w:t>
            </w:r>
          </w:p>
        </w:tc>
        <w:tc>
          <w:tcPr>
            <w:tcW w:w="1523" w:type="pct"/>
          </w:tcPr>
          <w:p w14:paraId="58030C5C" w14:textId="6D067536" w:rsidR="006C19ED" w:rsidRPr="00AD6BF5" w:rsidRDefault="006C19ED" w:rsidP="006C19ED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C19ED" w:rsidRPr="00AD6BF5" w14:paraId="64F8F0AB" w14:textId="77777777">
        <w:trPr>
          <w:trHeight w:val="20"/>
          <w:jc w:val="center"/>
        </w:trPr>
        <w:tc>
          <w:tcPr>
            <w:tcW w:w="1265" w:type="pct"/>
            <w:noWrap/>
          </w:tcPr>
          <w:p w14:paraId="38E5801B" w14:textId="77777777" w:rsidR="006C19ED" w:rsidRPr="00AD6BF5" w:rsidRDefault="006C19ED" w:rsidP="006C19ED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AD6BF5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AD6BF5">
              <w:rPr>
                <w:rFonts w:ascii="Arial" w:hAnsi="Arial" w:cs="Arial"/>
                <w:lang w:val="en-GB" w:eastAsia="en-US"/>
              </w:rPr>
              <w:br/>
            </w:r>
          </w:p>
          <w:p w14:paraId="57704B59" w14:textId="77777777" w:rsidR="006C19ED" w:rsidRPr="00AD6BF5" w:rsidRDefault="006C19ED" w:rsidP="006C19ED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0A077060" w14:textId="77777777" w:rsidR="006C19ED" w:rsidRPr="00AD6BF5" w:rsidRDefault="006C19ED" w:rsidP="006C19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AD6BF5">
              <w:rPr>
                <w:rFonts w:ascii="Arial" w:hAnsi="Arial" w:cs="Arial"/>
                <w:sz w:val="20"/>
                <w:szCs w:val="20"/>
              </w:rPr>
              <w:t xml:space="preserve"> The critical evaluation of ecological study designs (e.g., distinguishing plot-scale infiltration from catchment-scale spring recharge) and socio-economic dynamics (demographic labor constraints) is methodologically sound and well-reasoned.</w:t>
            </w:r>
          </w:p>
        </w:tc>
        <w:tc>
          <w:tcPr>
            <w:tcW w:w="1523" w:type="pct"/>
          </w:tcPr>
          <w:p w14:paraId="5A6EBA96" w14:textId="2BCB97D9" w:rsidR="006C19ED" w:rsidRPr="00AD6BF5" w:rsidRDefault="006C19ED" w:rsidP="006C19ED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C19ED" w:rsidRPr="00AD6BF5" w14:paraId="029F2BDE" w14:textId="77777777">
        <w:trPr>
          <w:trHeight w:val="20"/>
          <w:jc w:val="center"/>
        </w:trPr>
        <w:tc>
          <w:tcPr>
            <w:tcW w:w="1265" w:type="pct"/>
            <w:noWrap/>
          </w:tcPr>
          <w:p w14:paraId="3D35CAB4" w14:textId="77777777" w:rsidR="006C19ED" w:rsidRPr="00AD6BF5" w:rsidRDefault="006C19ED" w:rsidP="006C19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3AE3B86" w14:textId="77777777" w:rsidR="006C19ED" w:rsidRPr="00AD6BF5" w:rsidRDefault="006C19ED" w:rsidP="006C19E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E2E5F3E" w14:textId="77777777" w:rsidR="006C19ED" w:rsidRPr="00AD6BF5" w:rsidRDefault="006C19ED" w:rsidP="006C19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3408A604" w14:textId="77777777" w:rsidR="006C19ED" w:rsidRPr="00AD6BF5" w:rsidRDefault="006C19ED" w:rsidP="006C19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AD6BF5">
              <w:rPr>
                <w:rFonts w:ascii="Arial" w:hAnsi="Arial" w:cs="Arial"/>
                <w:sz w:val="20"/>
                <w:szCs w:val="20"/>
              </w:rPr>
              <w:t xml:space="preserve"> The literature coverage is extensive, highly relevant, and includes recent publications up to 2026.</w:t>
            </w:r>
          </w:p>
        </w:tc>
        <w:tc>
          <w:tcPr>
            <w:tcW w:w="1523" w:type="pct"/>
          </w:tcPr>
          <w:p w14:paraId="4AD5AEC9" w14:textId="3C8D23CB" w:rsidR="006C19ED" w:rsidRPr="00AD6BF5" w:rsidRDefault="006C19ED" w:rsidP="006C19ED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C156D5" w:rsidRPr="00AD6BF5" w14:paraId="5CEC0884" w14:textId="77777777">
        <w:trPr>
          <w:trHeight w:val="20"/>
          <w:jc w:val="center"/>
        </w:trPr>
        <w:tc>
          <w:tcPr>
            <w:tcW w:w="1265" w:type="pct"/>
            <w:noWrap/>
          </w:tcPr>
          <w:p w14:paraId="2F6284C5" w14:textId="77777777" w:rsidR="00C156D5" w:rsidRPr="00AD6BF5" w:rsidRDefault="00C156D5" w:rsidP="00C156D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18C37FB" w14:textId="77777777" w:rsidR="00C156D5" w:rsidRPr="00AD6BF5" w:rsidRDefault="00C156D5" w:rsidP="00C15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B4C94CA" w14:textId="77777777" w:rsidR="00C156D5" w:rsidRPr="00AD6BF5" w:rsidRDefault="00C156D5" w:rsidP="00C15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F4E5EC" w14:textId="77777777" w:rsidR="00C156D5" w:rsidRPr="00AD6BF5" w:rsidRDefault="00C156D5" w:rsidP="00C15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5254EB9" w14:textId="77777777" w:rsidR="00C156D5" w:rsidRPr="00AD6BF5" w:rsidRDefault="00C156D5" w:rsidP="00C156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1349EDB2" w14:textId="77777777" w:rsidR="00C156D5" w:rsidRPr="00AD6BF5" w:rsidRDefault="00C156D5" w:rsidP="00C156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6BF5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1523" w:type="pct"/>
          </w:tcPr>
          <w:p w14:paraId="16307B04" w14:textId="77777777" w:rsidR="00C156D5" w:rsidRPr="00AD6BF5" w:rsidRDefault="00C156D5" w:rsidP="00C156D5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660F9567" w14:textId="77777777" w:rsidR="00777916" w:rsidRPr="00AD6BF5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01C6F812" w14:textId="77777777" w:rsidR="00AD6BF5" w:rsidRPr="00AD6BF5" w:rsidRDefault="00AD6BF5" w:rsidP="00AD6BF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D6BF5">
        <w:rPr>
          <w:rFonts w:ascii="Arial" w:hAnsi="Arial" w:cs="Arial"/>
          <w:b/>
          <w:u w:val="single"/>
        </w:rPr>
        <w:t>Reviewer details:</w:t>
      </w:r>
    </w:p>
    <w:p w14:paraId="11F4DA99" w14:textId="77777777" w:rsidR="002C2D46" w:rsidRPr="00AD6BF5" w:rsidRDefault="002C2D46">
      <w:pPr>
        <w:rPr>
          <w:rFonts w:ascii="Arial" w:hAnsi="Arial" w:cs="Arial"/>
          <w:sz w:val="20"/>
          <w:szCs w:val="20"/>
          <w:lang w:val="en-GB"/>
        </w:rPr>
      </w:pPr>
    </w:p>
    <w:p w14:paraId="0E12128D" w14:textId="1C2A4DC9" w:rsidR="00AD6BF5" w:rsidRPr="00AD6BF5" w:rsidRDefault="00AD6BF5" w:rsidP="00AD6BF5">
      <w:pPr>
        <w:rPr>
          <w:rFonts w:ascii="Arial" w:hAnsi="Arial" w:cs="Arial"/>
          <w:sz w:val="20"/>
          <w:szCs w:val="20"/>
          <w:lang w:val="en-GB"/>
        </w:rPr>
      </w:pPr>
      <w:r w:rsidRPr="00AD6BF5">
        <w:rPr>
          <w:rFonts w:ascii="Arial" w:hAnsi="Arial" w:cs="Arial"/>
          <w:sz w:val="20"/>
          <w:szCs w:val="20"/>
          <w:lang w:val="en-GB"/>
        </w:rPr>
        <w:t>Mykola Kovalov</w:t>
      </w:r>
      <w:r w:rsidRPr="00AD6BF5">
        <w:rPr>
          <w:rFonts w:ascii="Arial" w:hAnsi="Arial" w:cs="Arial"/>
          <w:sz w:val="20"/>
          <w:szCs w:val="20"/>
          <w:lang w:val="en-GB"/>
        </w:rPr>
        <w:t xml:space="preserve">, </w:t>
      </w:r>
      <w:r w:rsidRPr="00AD6BF5">
        <w:rPr>
          <w:rFonts w:ascii="Arial" w:hAnsi="Arial" w:cs="Arial"/>
          <w:sz w:val="20"/>
          <w:szCs w:val="20"/>
          <w:lang w:val="en-GB"/>
        </w:rPr>
        <w:t>Central Ukrainian National Technical University</w:t>
      </w:r>
      <w:r w:rsidRPr="00AD6BF5">
        <w:rPr>
          <w:rFonts w:ascii="Arial" w:hAnsi="Arial" w:cs="Arial"/>
          <w:sz w:val="20"/>
          <w:szCs w:val="20"/>
          <w:lang w:val="en-GB"/>
        </w:rPr>
        <w:t xml:space="preserve">, </w:t>
      </w:r>
      <w:r w:rsidRPr="00AD6BF5">
        <w:rPr>
          <w:rFonts w:ascii="Arial" w:hAnsi="Arial" w:cs="Arial"/>
          <w:sz w:val="20"/>
          <w:szCs w:val="20"/>
          <w:lang w:val="en-GB"/>
        </w:rPr>
        <w:t>Ukraine</w:t>
      </w:r>
      <w:bookmarkEnd w:id="0"/>
      <w:bookmarkEnd w:id="1"/>
    </w:p>
    <w:sectPr w:rsidR="00AD6BF5" w:rsidRPr="00AD6BF5">
      <w:headerReference w:type="default" r:id="rId7"/>
      <w:footerReference w:type="default" r:id="rId8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64B06" w14:textId="77777777" w:rsidR="00D560FB" w:rsidRDefault="00D560FB">
      <w:r>
        <w:separator/>
      </w:r>
    </w:p>
  </w:endnote>
  <w:endnote w:type="continuationSeparator" w:id="0">
    <w:p w14:paraId="080FC88E" w14:textId="77777777" w:rsidR="00D560FB" w:rsidRDefault="00D5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0F2AC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9221F3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9221F3"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76EA5F9C" w14:textId="77777777" w:rsidR="00777916" w:rsidRDefault="00777916">
    <w:pPr>
      <w:pStyle w:val="Footer"/>
      <w:jc w:val="right"/>
    </w:pPr>
  </w:p>
  <w:p w14:paraId="1862ED8B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50BA6" w14:textId="77777777" w:rsidR="00D560FB" w:rsidRDefault="00D560FB">
      <w:r>
        <w:separator/>
      </w:r>
    </w:p>
  </w:footnote>
  <w:footnote w:type="continuationSeparator" w:id="0">
    <w:p w14:paraId="2CAB6057" w14:textId="77777777" w:rsidR="00D560FB" w:rsidRDefault="00D56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4F95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FA9DAC0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5790104">
    <w:abstractNumId w:val="4"/>
  </w:num>
  <w:num w:numId="2" w16cid:durableId="375281817">
    <w:abstractNumId w:val="8"/>
  </w:num>
  <w:num w:numId="3" w16cid:durableId="870528540">
    <w:abstractNumId w:val="7"/>
  </w:num>
  <w:num w:numId="4" w16cid:durableId="2048483087">
    <w:abstractNumId w:val="9"/>
  </w:num>
  <w:num w:numId="5" w16cid:durableId="1191143613">
    <w:abstractNumId w:val="6"/>
  </w:num>
  <w:num w:numId="6" w16cid:durableId="1289049657">
    <w:abstractNumId w:val="0"/>
  </w:num>
  <w:num w:numId="7" w16cid:durableId="1643149679">
    <w:abstractNumId w:val="3"/>
  </w:num>
  <w:num w:numId="8" w16cid:durableId="1319193518">
    <w:abstractNumId w:val="11"/>
  </w:num>
  <w:num w:numId="9" w16cid:durableId="243031014">
    <w:abstractNumId w:val="10"/>
  </w:num>
  <w:num w:numId="10" w16cid:durableId="112941054">
    <w:abstractNumId w:val="2"/>
  </w:num>
  <w:num w:numId="11" w16cid:durableId="522524945">
    <w:abstractNumId w:val="1"/>
  </w:num>
  <w:num w:numId="12" w16cid:durableId="12905558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LAwNDAyNzA1MTAztDRV0lEKTi0uzszPAykwNKwFAN/O8DgtAAAA"/>
  </w:docVars>
  <w:rsids>
    <w:rsidRoot w:val="00E64431"/>
    <w:rsid w:val="0000316C"/>
    <w:rsid w:val="000420CE"/>
    <w:rsid w:val="000507C1"/>
    <w:rsid w:val="0009322C"/>
    <w:rsid w:val="00163ED1"/>
    <w:rsid w:val="001F507B"/>
    <w:rsid w:val="00260726"/>
    <w:rsid w:val="002965FA"/>
    <w:rsid w:val="002C2D46"/>
    <w:rsid w:val="002D3047"/>
    <w:rsid w:val="00305E72"/>
    <w:rsid w:val="00351244"/>
    <w:rsid w:val="003D6175"/>
    <w:rsid w:val="004D63E8"/>
    <w:rsid w:val="004F7224"/>
    <w:rsid w:val="00501946"/>
    <w:rsid w:val="0051652A"/>
    <w:rsid w:val="00527EC4"/>
    <w:rsid w:val="006C19ED"/>
    <w:rsid w:val="006F76CC"/>
    <w:rsid w:val="00777916"/>
    <w:rsid w:val="007C37A4"/>
    <w:rsid w:val="008D46CC"/>
    <w:rsid w:val="009221F3"/>
    <w:rsid w:val="009B44F0"/>
    <w:rsid w:val="009C5A46"/>
    <w:rsid w:val="009D5D22"/>
    <w:rsid w:val="009F63B9"/>
    <w:rsid w:val="00A14F88"/>
    <w:rsid w:val="00AC1299"/>
    <w:rsid w:val="00AD6BF5"/>
    <w:rsid w:val="00B47143"/>
    <w:rsid w:val="00C156D5"/>
    <w:rsid w:val="00C37260"/>
    <w:rsid w:val="00C85A17"/>
    <w:rsid w:val="00C86610"/>
    <w:rsid w:val="00D560FB"/>
    <w:rsid w:val="00D6722C"/>
    <w:rsid w:val="00DD0405"/>
    <w:rsid w:val="00DF6EDF"/>
    <w:rsid w:val="00E64431"/>
    <w:rsid w:val="00ED2994"/>
    <w:rsid w:val="00F317E4"/>
    <w:rsid w:val="00FC7208"/>
    <w:rsid w:val="00FE7EBB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C86F0"/>
  <w15:chartTrackingRefBased/>
  <w15:docId w15:val="{BEF620A5-5E8E-41A9-B112-E0175E8A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D4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C85A1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C720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D6BF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1226</Words>
  <Characters>6994</Characters>
  <Application>Microsoft Office Word</Application>
  <DocSecurity>0</DocSecurity>
  <Lines>58</Lines>
  <Paragraphs>16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8204</CharactersWithSpaces>
  <SharedDoc>false</SharedDoc>
  <HLinks>
    <vt:vector size="18" baseType="variant">
      <vt:variant>
        <vt:i4>8323183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0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SDI 1156</cp:lastModifiedBy>
  <cp:revision>9</cp:revision>
  <dcterms:created xsi:type="dcterms:W3CDTF">2026-09-14T08:27:00Z</dcterms:created>
  <dcterms:modified xsi:type="dcterms:W3CDTF">2026-09-21T07:39:00Z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