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365B51" w14:paraId="4F4F120F" w14:textId="77777777">
        <w:trPr>
          <w:trHeight w:val="20"/>
          <w:jc w:val="center"/>
        </w:trPr>
        <w:tc>
          <w:tcPr>
            <w:tcW w:w="1186" w:type="pct"/>
          </w:tcPr>
          <w:p w14:paraId="51D8C2F2" w14:textId="77777777" w:rsidR="00777916" w:rsidRPr="00365B5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03BB9BA7" w14:textId="77777777" w:rsidR="00777916" w:rsidRPr="00365B51" w:rsidRDefault="00C8661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Agroforestry in the Himalayas: Ecological Significance and Socio-Cultural Heritage</w:t>
            </w:r>
          </w:p>
        </w:tc>
      </w:tr>
      <w:tr w:rsidR="00777916" w:rsidRPr="00365B51" w14:paraId="6FD59973" w14:textId="77777777">
        <w:trPr>
          <w:trHeight w:val="20"/>
          <w:jc w:val="center"/>
        </w:trPr>
        <w:tc>
          <w:tcPr>
            <w:tcW w:w="1186" w:type="pct"/>
          </w:tcPr>
          <w:p w14:paraId="2774B2BA" w14:textId="77777777" w:rsidR="00777916" w:rsidRPr="00365B5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2F944EA" w14:textId="77777777" w:rsidR="00777916" w:rsidRPr="00365B51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E90CB1"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8057_8</w:t>
            </w:r>
          </w:p>
        </w:tc>
      </w:tr>
      <w:tr w:rsidR="00777916" w:rsidRPr="00365B51" w14:paraId="14D74F51" w14:textId="77777777">
        <w:trPr>
          <w:trHeight w:val="20"/>
          <w:jc w:val="center"/>
        </w:trPr>
        <w:tc>
          <w:tcPr>
            <w:tcW w:w="1186" w:type="pct"/>
          </w:tcPr>
          <w:p w14:paraId="706CC5D0" w14:textId="77777777" w:rsidR="00777916" w:rsidRPr="00365B5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7EDB221" w14:textId="77777777" w:rsidR="00777916" w:rsidRPr="00365B51" w:rsidRDefault="00B535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>Reconciling Production, Conservation and Cultural Values in Himalayan Agroforestry: A Critical Review of Ecosystem Service Trade-Offs and Synergies</w:t>
            </w:r>
          </w:p>
        </w:tc>
      </w:tr>
      <w:tr w:rsidR="00777916" w:rsidRPr="00365B51" w14:paraId="00F32086" w14:textId="77777777">
        <w:trPr>
          <w:trHeight w:val="20"/>
          <w:jc w:val="center"/>
        </w:trPr>
        <w:tc>
          <w:tcPr>
            <w:tcW w:w="1186" w:type="pct"/>
          </w:tcPr>
          <w:p w14:paraId="230A9A2A" w14:textId="77777777" w:rsidR="00777916" w:rsidRPr="00365B5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8C8F886" w14:textId="77777777" w:rsidR="00777916" w:rsidRPr="00365B51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6C450E7B" w14:textId="77777777" w:rsidR="00777916" w:rsidRPr="00365B51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3049888F" w14:textId="77777777" w:rsidR="00777916" w:rsidRPr="00365B51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1008A3CE" w14:textId="77777777" w:rsidR="00777916" w:rsidRPr="00365B51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65B51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680BEBF" w14:textId="77777777" w:rsidR="00777916" w:rsidRPr="00365B51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042285F9" w14:textId="77777777" w:rsidR="00777916" w:rsidRPr="00365B51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365B51" w14:paraId="2E19DB48" w14:textId="77777777" w:rsidTr="002B651D">
        <w:trPr>
          <w:trHeight w:val="20"/>
          <w:jc w:val="center"/>
        </w:trPr>
        <w:tc>
          <w:tcPr>
            <w:tcW w:w="1789" w:type="pct"/>
            <w:noWrap/>
          </w:tcPr>
          <w:p w14:paraId="3B7A5A1A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5FDF7D92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1BE139FC" w14:textId="77777777" w:rsidR="00777916" w:rsidRPr="00365B51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65B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5B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A7A3A43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16C4C6C9" w14:textId="77777777" w:rsidTr="002B651D">
        <w:trPr>
          <w:trHeight w:val="20"/>
          <w:jc w:val="center"/>
        </w:trPr>
        <w:tc>
          <w:tcPr>
            <w:tcW w:w="1789" w:type="pct"/>
            <w:noWrap/>
          </w:tcPr>
          <w:p w14:paraId="30FE22D0" w14:textId="77777777" w:rsidR="00777916" w:rsidRPr="00365B51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7C3A885C" w14:textId="1D2771BD" w:rsidR="002B651D" w:rsidRPr="00365B51" w:rsidRDefault="002B651D" w:rsidP="002B65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addresses the critical challenge of balancing agricultural production, environmental conservation, and cultural values in Himalayan agroforestry systems.</w:t>
            </w:r>
          </w:p>
          <w:p w14:paraId="6C8E2B41" w14:textId="77777777" w:rsidR="002B651D" w:rsidRPr="00365B51" w:rsidRDefault="002B651D" w:rsidP="002B65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Critical perspective: It challenges overly optimistic “win-win” narratives by highlighting trade-offs among different objectives.</w:t>
            </w:r>
          </w:p>
          <w:p w14:paraId="251E43CB" w14:textId="77777777" w:rsidR="002B651D" w:rsidRPr="00365B51" w:rsidRDefault="002B651D" w:rsidP="002B651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Conceptual contribution: It integrates production, conservation, and cultural dimensions while considering differences across spatial, temporal, and stakeholder scales.</w:t>
            </w:r>
          </w:p>
          <w:p w14:paraId="208A4E3F" w14:textId="151B7ADF" w:rsidR="00777916" w:rsidRPr="00365B51" w:rsidRDefault="002B651D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Practical value: The framework can support researchers, policymakers, and practitioners in developing ecologically sound and socially legitimate agroforestry interventions, particularly through distributional accounting and recognition of cultural values.</w:t>
            </w:r>
          </w:p>
        </w:tc>
        <w:tc>
          <w:tcPr>
            <w:tcW w:w="1367" w:type="pct"/>
          </w:tcPr>
          <w:p w14:paraId="74E881B4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60AD22E" w14:textId="77777777" w:rsidR="00777916" w:rsidRPr="00365B51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382DFB4A" w14:textId="77777777" w:rsidR="00777916" w:rsidRPr="00365B51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570E11C9" w14:textId="77777777" w:rsidR="00777916" w:rsidRPr="00365B51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365B51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365B51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365B51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51CD25EF" w14:textId="77777777" w:rsidR="00777916" w:rsidRPr="00365B51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365B51" w14:paraId="3C63291A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46351A77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451C7F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365B51" w14:paraId="56CF2994" w14:textId="77777777">
        <w:trPr>
          <w:trHeight w:val="20"/>
          <w:jc w:val="center"/>
        </w:trPr>
        <w:tc>
          <w:tcPr>
            <w:tcW w:w="1790" w:type="pct"/>
            <w:noWrap/>
          </w:tcPr>
          <w:p w14:paraId="432C92C0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2006B475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3C45A4C7" w14:textId="77777777" w:rsidR="00777916" w:rsidRPr="00365B51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5B5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365B5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365B5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365B51" w14:paraId="3C6FFD13" w14:textId="77777777">
        <w:trPr>
          <w:trHeight w:val="20"/>
          <w:jc w:val="center"/>
        </w:trPr>
        <w:tc>
          <w:tcPr>
            <w:tcW w:w="1790" w:type="pct"/>
            <w:noWrap/>
          </w:tcPr>
          <w:p w14:paraId="647AF0F3" w14:textId="77777777" w:rsidR="00777916" w:rsidRPr="00365B51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B7A807A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9FBF3C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C781E63" w14:textId="1F326E2C" w:rsidR="00777916" w:rsidRPr="00365B51" w:rsidRDefault="00730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0732A1A5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45FDC33B" w14:textId="77777777">
        <w:trPr>
          <w:trHeight w:val="20"/>
          <w:jc w:val="center"/>
        </w:trPr>
        <w:tc>
          <w:tcPr>
            <w:tcW w:w="1790" w:type="pct"/>
            <w:noWrap/>
          </w:tcPr>
          <w:p w14:paraId="2F4C9C58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291698AA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EB6A2D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C5537EE" w14:textId="6CB96280" w:rsidR="00777916" w:rsidRPr="00365B51" w:rsidRDefault="00730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6C4FA1C4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522A874D" w14:textId="77777777">
        <w:trPr>
          <w:trHeight w:val="20"/>
          <w:jc w:val="center"/>
        </w:trPr>
        <w:tc>
          <w:tcPr>
            <w:tcW w:w="1790" w:type="pct"/>
            <w:noWrap/>
          </w:tcPr>
          <w:p w14:paraId="33377EFC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730F4723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28EF65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974BBE6" w14:textId="1F04C482" w:rsidR="00777916" w:rsidRPr="00365B51" w:rsidRDefault="00730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4E5947F6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4ED0D9ED" w14:textId="77777777">
        <w:trPr>
          <w:trHeight w:val="20"/>
          <w:jc w:val="center"/>
        </w:trPr>
        <w:tc>
          <w:tcPr>
            <w:tcW w:w="1790" w:type="pct"/>
            <w:noWrap/>
          </w:tcPr>
          <w:p w14:paraId="44957422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34950A0E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AF7C6C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B45240F" w14:textId="04D27963" w:rsidR="00777916" w:rsidRPr="00365B51" w:rsidRDefault="006B5A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68531B5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577394F0" w14:textId="77777777">
        <w:trPr>
          <w:trHeight w:val="20"/>
          <w:jc w:val="center"/>
        </w:trPr>
        <w:tc>
          <w:tcPr>
            <w:tcW w:w="1790" w:type="pct"/>
            <w:noWrap/>
          </w:tcPr>
          <w:p w14:paraId="3D452586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20BD6A03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98B0E3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5C6A5FF" w14:textId="19876C50" w:rsidR="00777916" w:rsidRPr="00365B51" w:rsidRDefault="006B5A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30DADD96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4607643F" w14:textId="77777777">
        <w:trPr>
          <w:trHeight w:val="20"/>
          <w:jc w:val="center"/>
        </w:trPr>
        <w:tc>
          <w:tcPr>
            <w:tcW w:w="1790" w:type="pct"/>
            <w:noWrap/>
          </w:tcPr>
          <w:p w14:paraId="0825A60A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275F81DC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059F8E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0C6BAC3" w14:textId="7B52E604" w:rsidR="00777916" w:rsidRPr="00365B51" w:rsidRDefault="006B5A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2F7C32E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5EFE4D62" w14:textId="77777777">
        <w:trPr>
          <w:trHeight w:val="20"/>
          <w:jc w:val="center"/>
        </w:trPr>
        <w:tc>
          <w:tcPr>
            <w:tcW w:w="1790" w:type="pct"/>
            <w:noWrap/>
          </w:tcPr>
          <w:p w14:paraId="249DA8FE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4F68E586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3A29F0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0679104" w14:textId="08D8F3A0" w:rsidR="00777916" w:rsidRPr="00365B51" w:rsidRDefault="00CE1A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032FC1B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1BB7E4BD" w14:textId="77777777">
        <w:trPr>
          <w:trHeight w:val="20"/>
          <w:jc w:val="center"/>
        </w:trPr>
        <w:tc>
          <w:tcPr>
            <w:tcW w:w="1790" w:type="pct"/>
            <w:noWrap/>
          </w:tcPr>
          <w:p w14:paraId="5CEB8BF4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53650A4C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48ECB5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6ADD990" w14:textId="0606F3B5" w:rsidR="00777916" w:rsidRPr="00365B51" w:rsidRDefault="00CE1A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6801BD1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7DD5682D" w14:textId="77777777">
        <w:trPr>
          <w:trHeight w:val="20"/>
          <w:jc w:val="center"/>
        </w:trPr>
        <w:tc>
          <w:tcPr>
            <w:tcW w:w="1790" w:type="pct"/>
            <w:noWrap/>
          </w:tcPr>
          <w:p w14:paraId="78CEE8E5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365B51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34C988E9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9625E4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5386E19" w14:textId="55FF36AB" w:rsidR="00777916" w:rsidRPr="00365B51" w:rsidRDefault="004021F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20E49FDB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248E8AF6" w14:textId="77777777">
        <w:trPr>
          <w:trHeight w:val="20"/>
          <w:jc w:val="center"/>
        </w:trPr>
        <w:tc>
          <w:tcPr>
            <w:tcW w:w="1790" w:type="pct"/>
            <w:noWrap/>
          </w:tcPr>
          <w:p w14:paraId="7F0A7B75" w14:textId="77777777" w:rsidR="00777916" w:rsidRPr="00365B51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02F341C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EEF2B5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2E1F01C" w14:textId="3AE11257" w:rsidR="00777916" w:rsidRPr="00365B51" w:rsidRDefault="004021F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00C51A4C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03296758" w14:textId="77777777">
        <w:trPr>
          <w:trHeight w:val="20"/>
          <w:jc w:val="center"/>
        </w:trPr>
        <w:tc>
          <w:tcPr>
            <w:tcW w:w="1790" w:type="pct"/>
            <w:noWrap/>
          </w:tcPr>
          <w:p w14:paraId="0B75BF70" w14:textId="77777777" w:rsidR="00777916" w:rsidRPr="00365B51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F3DCFEA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E2A3F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4879A23" w14:textId="678973BD" w:rsidR="00777916" w:rsidRPr="00365B51" w:rsidRDefault="004021F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1311617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662A1176" w14:textId="77777777">
        <w:trPr>
          <w:trHeight w:val="20"/>
          <w:jc w:val="center"/>
        </w:trPr>
        <w:tc>
          <w:tcPr>
            <w:tcW w:w="1790" w:type="pct"/>
            <w:noWrap/>
          </w:tcPr>
          <w:p w14:paraId="666E5F87" w14:textId="77777777" w:rsidR="00777916" w:rsidRPr="00365B51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33539F9A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1EB475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6FDBA5A" w14:textId="1F29F53A" w:rsidR="00777916" w:rsidRPr="00365B51" w:rsidRDefault="004021F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EE30454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6A95B1EF" w14:textId="77777777">
        <w:trPr>
          <w:trHeight w:val="20"/>
          <w:jc w:val="center"/>
        </w:trPr>
        <w:tc>
          <w:tcPr>
            <w:tcW w:w="1790" w:type="pct"/>
            <w:noWrap/>
          </w:tcPr>
          <w:p w14:paraId="76ECBAF3" w14:textId="77777777" w:rsidR="00777916" w:rsidRPr="00365B51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72CCE95F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21CD56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CF1E68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4DCE3E2B" w14:textId="27B16433" w:rsidR="00777916" w:rsidRPr="00365B51" w:rsidRDefault="004021F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C33CEE9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149F449B" w14:textId="77777777">
        <w:trPr>
          <w:trHeight w:val="20"/>
          <w:jc w:val="center"/>
        </w:trPr>
        <w:tc>
          <w:tcPr>
            <w:tcW w:w="1790" w:type="pct"/>
            <w:noWrap/>
          </w:tcPr>
          <w:p w14:paraId="0BD8103E" w14:textId="77777777" w:rsidR="00777916" w:rsidRPr="00365B51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AF3DC02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4C2F7C" w14:textId="77777777" w:rsidR="00777916" w:rsidRPr="00365B51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C6A481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8A1B776" w14:textId="2DDCFF84" w:rsidR="00777916" w:rsidRPr="00365B51" w:rsidRDefault="00B90C0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F081877" w14:textId="77777777" w:rsidR="00777916" w:rsidRPr="00365B5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3D17AAB4" w14:textId="77777777" w:rsidR="00777916" w:rsidRPr="00365B5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FFC7E4D" w14:textId="77777777" w:rsidR="00777916" w:rsidRPr="00365B5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48631AE" w14:textId="77777777" w:rsidR="00777916" w:rsidRPr="00365B5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B2CB4A8" w14:textId="77777777" w:rsidR="00777916" w:rsidRPr="00365B51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365B51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365B51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0D1B5FB6" w14:textId="77777777" w:rsidR="00777916" w:rsidRPr="00365B51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365B51" w14:paraId="511CD102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6E3371F3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46A77741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2196DBBF" w14:textId="77777777" w:rsidR="00777916" w:rsidRPr="00365B5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378EDC7" w14:textId="77777777" w:rsidR="00777916" w:rsidRPr="00365B51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65B5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65B5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365B5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365B5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4146B865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362B0245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598B1D28" w14:textId="77777777" w:rsidR="00777916" w:rsidRPr="00365B51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EA62CB" w14:textId="77777777" w:rsidR="00777916" w:rsidRPr="00365B51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DCE8B9" w14:textId="77777777" w:rsidR="00777916" w:rsidRPr="00365B51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FD8FF63" w14:textId="5C562E07" w:rsidR="00777916" w:rsidRPr="00365B51" w:rsidRDefault="00C207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Style w:val="Strong"/>
                <w:rFonts w:ascii="Arial" w:hAnsi="Arial" w:cs="Arial"/>
                <w:color w:val="0F1115"/>
                <w:sz w:val="20"/>
                <w:szCs w:val="20"/>
                <w:shd w:val="clear" w:color="auto" w:fill="FFFFFF"/>
              </w:rPr>
              <w:t>YES.</w:t>
            </w:r>
            <w:r w:rsidRPr="00365B51">
              <w:rPr>
                <w:rFonts w:ascii="Arial" w:hAnsi="Arial" w:cs="Arial"/>
                <w:color w:val="0F1115"/>
                <w:sz w:val="20"/>
                <w:szCs w:val="20"/>
                <w:shd w:val="clear" w:color="auto" w:fill="FFFFFF"/>
              </w:rPr>
              <w:t> The title accurately reflects the scope and critical nature of the review. It appropriately signals that the manuscript examines both trade-offs and synergies, and the term "Critical Narrative Review" honestly describes the methodology.</w:t>
            </w:r>
          </w:p>
        </w:tc>
        <w:tc>
          <w:tcPr>
            <w:tcW w:w="1523" w:type="pct"/>
          </w:tcPr>
          <w:p w14:paraId="52CA4E4F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616A02EB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2B02D52E" w14:textId="77777777" w:rsidR="00777916" w:rsidRPr="00365B51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26B8FD76" w14:textId="77777777" w:rsidR="00777916" w:rsidRPr="00365B51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050BD" w14:textId="77777777" w:rsidR="00777916" w:rsidRPr="00365B51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35863755" w14:textId="0C6BBA06" w:rsidR="00777916" w:rsidRPr="00365B51" w:rsidRDefault="008C29C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abstract is well-structured and comprehensive. It clearly states the scope, methodology, key findings, and the central argument against a simple win-win framing. The inclusion of priority research needs is appropriate.</w:t>
            </w:r>
          </w:p>
        </w:tc>
        <w:tc>
          <w:tcPr>
            <w:tcW w:w="1523" w:type="pct"/>
          </w:tcPr>
          <w:p w14:paraId="79057518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2F650837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3AFECC1C" w14:textId="77777777" w:rsidR="00777916" w:rsidRPr="00365B51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365B51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365B51">
              <w:rPr>
                <w:rFonts w:ascii="Arial" w:hAnsi="Arial" w:cs="Arial"/>
                <w:lang w:val="en-GB" w:eastAsia="en-US"/>
              </w:rPr>
              <w:br/>
            </w:r>
          </w:p>
          <w:p w14:paraId="5BE926BC" w14:textId="77777777" w:rsidR="00777916" w:rsidRPr="00365B51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C207F17" w14:textId="77777777" w:rsidR="00777916" w:rsidRPr="00365B51" w:rsidRDefault="00B2174B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365B51">
              <w:rPr>
                <w:rFonts w:ascii="Arial" w:hAnsi="Arial" w:cs="Arial"/>
                <w:sz w:val="20"/>
                <w:szCs w:val="20"/>
              </w:rPr>
              <w:t xml:space="preserve"> The manuscript demonstrates scientific rigor, properly distinguishes between ecosystem supply and realized benefits, and critically evaluates methodological nuances across studies.</w:t>
            </w:r>
          </w:p>
          <w:p w14:paraId="05B89F4E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Minor issues to address before publication:</w:t>
            </w:r>
          </w:p>
          <w:p w14:paraId="16C426D1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rtl/>
                <w:lang w:val="en-GB"/>
              </w:rPr>
            </w:pPr>
          </w:p>
          <w:p w14:paraId="7E11CB3B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Typographical errors: “</w:t>
            </w:r>
            <w:proofErr w:type="spellStart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Baethe</w:t>
            </w:r>
            <w:proofErr w:type="spellEnd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 xml:space="preserve"> et al., 2019” (should be </w:t>
            </w:r>
            <w:proofErr w:type="spellStart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Baethge</w:t>
            </w:r>
            <w:proofErr w:type="spellEnd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 xml:space="preserve"> et al., 2019); “Tokyo et al.” In Tables 2 and 3 (should be </w:t>
            </w:r>
            <w:proofErr w:type="spellStart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Toky</w:t>
            </w:r>
            <w:proofErr w:type="spellEnd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 xml:space="preserve"> et al.); “</w:t>
            </w:r>
            <w:proofErr w:type="spellStart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allotmetry</w:t>
            </w:r>
            <w:proofErr w:type="spellEnd"/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” (should be allometry); “underrepresented” (should be underrepresented).</w:t>
            </w:r>
          </w:p>
          <w:p w14:paraId="0BAE9631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rtl/>
                <w:lang w:val="en-GB"/>
              </w:rPr>
            </w:pPr>
          </w:p>
          <w:p w14:paraId="43C47DBD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rtl/>
                <w:lang w:val="en-GB"/>
              </w:rPr>
            </w:pP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Table 3 formatting: The table appears to be duplicated or split awkwardly across pages 13–14. The authors should ensure the table is presented as a single, coherent unit.</w:t>
            </w:r>
          </w:p>
          <w:p w14:paraId="64188E61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D1B0D76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Reference formatting: Some references lack DOIs (e.g., Sarkar et al., 2020; Kanwal et al., 2024), while others include them. Consistent formatting should be applied.</w:t>
            </w:r>
          </w:p>
          <w:p w14:paraId="31E022C3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A263D5" w14:textId="77777777" w:rsidR="00CD2642" w:rsidRPr="00365B51" w:rsidRDefault="00CD2642" w:rsidP="00CD264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sz w:val="20"/>
                <w:szCs w:val="20"/>
                <w:lang w:val="en-GB"/>
              </w:rPr>
              <w:t>Figure/Table numbering: Ensure all tables are numbered sequentially and referenced correctly in the text.</w:t>
            </w:r>
          </w:p>
          <w:p w14:paraId="1A7FEEF6" w14:textId="496D16DE" w:rsidR="00CD2642" w:rsidRPr="00365B51" w:rsidRDefault="00CD264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8FF2617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02811210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51F8E0E0" w14:textId="77777777" w:rsidR="00777916" w:rsidRPr="00365B51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3D7C25F" w14:textId="77777777" w:rsidR="00777916" w:rsidRPr="00365B51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489DEA" w14:textId="77777777" w:rsidR="00777916" w:rsidRPr="00365B51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57DEE6F5" w14:textId="6A092A65" w:rsidR="00777916" w:rsidRPr="00365B51" w:rsidRDefault="00C264CD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365B51">
              <w:rPr>
                <w:rFonts w:ascii="Arial" w:hAnsi="Arial" w:cs="Arial"/>
                <w:sz w:val="20"/>
                <w:szCs w:val="20"/>
              </w:rPr>
              <w:t xml:space="preserve"> The review covers a robust chronological range (1989–2026), incorporating foundational classical studies alongside high-impact contemporary peer-reviewed literature.</w:t>
            </w:r>
          </w:p>
        </w:tc>
        <w:tc>
          <w:tcPr>
            <w:tcW w:w="1523" w:type="pct"/>
          </w:tcPr>
          <w:p w14:paraId="1D4F33C0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365B51" w14:paraId="6C86B922" w14:textId="77777777" w:rsidTr="00C264CD">
        <w:trPr>
          <w:trHeight w:val="20"/>
          <w:jc w:val="center"/>
        </w:trPr>
        <w:tc>
          <w:tcPr>
            <w:tcW w:w="1265" w:type="pct"/>
            <w:noWrap/>
          </w:tcPr>
          <w:p w14:paraId="2C9EA3F7" w14:textId="77777777" w:rsidR="00777916" w:rsidRPr="00365B51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D04FE64" w14:textId="77777777" w:rsidR="00777916" w:rsidRPr="00365B51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A033FF" w14:textId="77777777" w:rsidR="00777916" w:rsidRPr="00365B51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3F7862B" w14:textId="77777777" w:rsidR="00777916" w:rsidRPr="00365B51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9E2F2DD" w14:textId="77777777" w:rsidR="00777916" w:rsidRPr="00365B51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28C00EB" w14:textId="7EEDE2F3" w:rsidR="00777916" w:rsidRPr="00365B51" w:rsidRDefault="00903756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5B51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365B51">
              <w:rPr>
                <w:rFonts w:ascii="Arial" w:hAnsi="Arial" w:cs="Arial"/>
                <w:sz w:val="20"/>
                <w:szCs w:val="20"/>
              </w:rPr>
              <w:t xml:space="preserve"> There are no apparent ethical issues, plagiarism concerns, or unaddressed competing interests.</w:t>
            </w:r>
          </w:p>
        </w:tc>
        <w:tc>
          <w:tcPr>
            <w:tcW w:w="1523" w:type="pct"/>
          </w:tcPr>
          <w:p w14:paraId="000C2226" w14:textId="77777777" w:rsidR="00777916" w:rsidRPr="00365B5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bookmarkEnd w:id="0"/>
      <w:bookmarkEnd w:id="1"/>
    </w:tbl>
    <w:p w14:paraId="5AF786E1" w14:textId="77777777" w:rsidR="00777916" w:rsidRPr="00365B51" w:rsidRDefault="00777916" w:rsidP="00365B51">
      <w:pPr>
        <w:rPr>
          <w:rFonts w:ascii="Arial" w:hAnsi="Arial" w:cs="Arial"/>
          <w:sz w:val="20"/>
          <w:szCs w:val="20"/>
          <w:lang w:val="en-GB"/>
        </w:rPr>
      </w:pPr>
    </w:p>
    <w:p w14:paraId="55207F2A" w14:textId="77777777" w:rsidR="00365B51" w:rsidRPr="00365B51" w:rsidRDefault="00365B51" w:rsidP="00365B51">
      <w:pPr>
        <w:rPr>
          <w:rFonts w:ascii="Arial" w:hAnsi="Arial" w:cs="Arial"/>
          <w:sz w:val="20"/>
          <w:szCs w:val="20"/>
          <w:lang w:val="en-GB"/>
        </w:rPr>
      </w:pPr>
    </w:p>
    <w:p w14:paraId="1CC2F27C" w14:textId="77777777" w:rsidR="00365B51" w:rsidRPr="00365B51" w:rsidRDefault="00365B51" w:rsidP="00365B51">
      <w:pPr>
        <w:rPr>
          <w:rFonts w:ascii="Arial" w:hAnsi="Arial" w:cs="Arial"/>
          <w:b/>
          <w:sz w:val="20"/>
          <w:szCs w:val="20"/>
          <w:u w:val="single"/>
        </w:rPr>
      </w:pPr>
      <w:r w:rsidRPr="00365B5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CC44DC9" w14:textId="77777777" w:rsidR="00365B51" w:rsidRPr="00365B51" w:rsidRDefault="00365B51" w:rsidP="00365B51">
      <w:pPr>
        <w:rPr>
          <w:rFonts w:ascii="Arial" w:hAnsi="Arial" w:cs="Arial"/>
          <w:sz w:val="20"/>
          <w:szCs w:val="20"/>
          <w:lang w:val="en-GB"/>
        </w:rPr>
      </w:pPr>
    </w:p>
    <w:p w14:paraId="0A5640B8" w14:textId="7C499702" w:rsidR="00365B51" w:rsidRPr="00365B51" w:rsidRDefault="00365B51" w:rsidP="00365B51">
      <w:pPr>
        <w:rPr>
          <w:rFonts w:ascii="Arial" w:hAnsi="Arial" w:cs="Arial"/>
          <w:sz w:val="20"/>
          <w:szCs w:val="20"/>
          <w:lang w:val="en-GB"/>
        </w:rPr>
      </w:pPr>
      <w:r w:rsidRPr="00365B51">
        <w:rPr>
          <w:rFonts w:ascii="Arial" w:hAnsi="Arial" w:cs="Arial"/>
          <w:sz w:val="20"/>
          <w:szCs w:val="20"/>
          <w:lang w:val="en-GB"/>
        </w:rPr>
        <w:t>Doaa Abd Elrahman Khalil Elhertaniy</w:t>
      </w:r>
      <w:r w:rsidRPr="00365B51">
        <w:rPr>
          <w:rFonts w:ascii="Arial" w:hAnsi="Arial" w:cs="Arial"/>
          <w:sz w:val="20"/>
          <w:szCs w:val="20"/>
          <w:lang w:val="en-GB"/>
        </w:rPr>
        <w:t xml:space="preserve">, </w:t>
      </w:r>
      <w:r w:rsidRPr="00365B51">
        <w:rPr>
          <w:rFonts w:ascii="Arial" w:hAnsi="Arial" w:cs="Arial"/>
          <w:sz w:val="20"/>
          <w:szCs w:val="20"/>
          <w:lang w:val="en-GB"/>
        </w:rPr>
        <w:t>Sudan</w:t>
      </w:r>
    </w:p>
    <w:sectPr w:rsidR="00365B51" w:rsidRPr="00365B51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F6770" w14:textId="77777777" w:rsidR="00936836" w:rsidRDefault="00936836">
      <w:r>
        <w:separator/>
      </w:r>
    </w:p>
  </w:endnote>
  <w:endnote w:type="continuationSeparator" w:id="0">
    <w:p w14:paraId="027E317D" w14:textId="77777777" w:rsidR="00936836" w:rsidRDefault="0093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BFB7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C11A80C" w14:textId="77777777" w:rsidR="00777916" w:rsidRDefault="00777916">
    <w:pPr>
      <w:pStyle w:val="Footer"/>
      <w:jc w:val="right"/>
    </w:pPr>
  </w:p>
  <w:p w14:paraId="6C68A2A8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A2515" w14:textId="77777777" w:rsidR="00936836" w:rsidRDefault="00936836">
      <w:r>
        <w:separator/>
      </w:r>
    </w:p>
  </w:footnote>
  <w:footnote w:type="continuationSeparator" w:id="0">
    <w:p w14:paraId="1C416BA0" w14:textId="77777777" w:rsidR="00936836" w:rsidRDefault="00936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DF674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5847D5C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3362453">
    <w:abstractNumId w:val="4"/>
  </w:num>
  <w:num w:numId="2" w16cid:durableId="1492326440">
    <w:abstractNumId w:val="8"/>
  </w:num>
  <w:num w:numId="3" w16cid:durableId="1856650349">
    <w:abstractNumId w:val="7"/>
  </w:num>
  <w:num w:numId="4" w16cid:durableId="1400666211">
    <w:abstractNumId w:val="9"/>
  </w:num>
  <w:num w:numId="5" w16cid:durableId="760371105">
    <w:abstractNumId w:val="6"/>
  </w:num>
  <w:num w:numId="6" w16cid:durableId="1968197889">
    <w:abstractNumId w:val="0"/>
  </w:num>
  <w:num w:numId="7" w16cid:durableId="1796828314">
    <w:abstractNumId w:val="3"/>
  </w:num>
  <w:num w:numId="8" w16cid:durableId="587153157">
    <w:abstractNumId w:val="11"/>
  </w:num>
  <w:num w:numId="9" w16cid:durableId="1761563170">
    <w:abstractNumId w:val="10"/>
  </w:num>
  <w:num w:numId="10" w16cid:durableId="428811827">
    <w:abstractNumId w:val="2"/>
  </w:num>
  <w:num w:numId="11" w16cid:durableId="481846802">
    <w:abstractNumId w:val="1"/>
  </w:num>
  <w:num w:numId="12" w16cid:durableId="21178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mwrAUASuzVkCwAAAA="/>
  </w:docVars>
  <w:rsids>
    <w:rsidRoot w:val="00E64431"/>
    <w:rsid w:val="0000316C"/>
    <w:rsid w:val="000507C1"/>
    <w:rsid w:val="0009322C"/>
    <w:rsid w:val="00094186"/>
    <w:rsid w:val="00163ED1"/>
    <w:rsid w:val="001A3878"/>
    <w:rsid w:val="0029387D"/>
    <w:rsid w:val="002965FA"/>
    <w:rsid w:val="002B651D"/>
    <w:rsid w:val="00305E72"/>
    <w:rsid w:val="00351244"/>
    <w:rsid w:val="00365B51"/>
    <w:rsid w:val="003D6175"/>
    <w:rsid w:val="004021FB"/>
    <w:rsid w:val="004D63E8"/>
    <w:rsid w:val="00531478"/>
    <w:rsid w:val="005A62DC"/>
    <w:rsid w:val="006B5A3C"/>
    <w:rsid w:val="006F76CC"/>
    <w:rsid w:val="00730EF2"/>
    <w:rsid w:val="00777916"/>
    <w:rsid w:val="007C37A4"/>
    <w:rsid w:val="007D694D"/>
    <w:rsid w:val="00814C5D"/>
    <w:rsid w:val="008C29C1"/>
    <w:rsid w:val="00903756"/>
    <w:rsid w:val="00910F8A"/>
    <w:rsid w:val="00926CF9"/>
    <w:rsid w:val="00936836"/>
    <w:rsid w:val="009B44F0"/>
    <w:rsid w:val="009F0EA4"/>
    <w:rsid w:val="009F63B9"/>
    <w:rsid w:val="00A230FC"/>
    <w:rsid w:val="00A42478"/>
    <w:rsid w:val="00A77BFB"/>
    <w:rsid w:val="00B2174B"/>
    <w:rsid w:val="00B53524"/>
    <w:rsid w:val="00B90C04"/>
    <w:rsid w:val="00BC3BC4"/>
    <w:rsid w:val="00C20787"/>
    <w:rsid w:val="00C264CD"/>
    <w:rsid w:val="00C37260"/>
    <w:rsid w:val="00C86610"/>
    <w:rsid w:val="00CA0860"/>
    <w:rsid w:val="00CD2642"/>
    <w:rsid w:val="00CE1A42"/>
    <w:rsid w:val="00CF25BE"/>
    <w:rsid w:val="00D03D28"/>
    <w:rsid w:val="00D6722C"/>
    <w:rsid w:val="00DD0405"/>
    <w:rsid w:val="00E64431"/>
    <w:rsid w:val="00E807AB"/>
    <w:rsid w:val="00E90CB1"/>
    <w:rsid w:val="00EB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19BCE"/>
  <w15:chartTrackingRefBased/>
  <w15:docId w15:val="{50A2129B-CC4F-A84D-BD62-A0F0E869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642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207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935</Words>
  <Characters>5333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6256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0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27</cp:revision>
  <dcterms:created xsi:type="dcterms:W3CDTF">2026-09-15T16:55:00Z</dcterms:created>
  <dcterms:modified xsi:type="dcterms:W3CDTF">2026-09-18T12:15:00Z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